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QC-WI-067 — Review release evidence intake and the nineteen gates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Verify evidence provenance, candidate binding and gate applicability before release approval.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Named owner; Authorized release reviewer; Trusted evidence provider</w:t>
      </w:r>
    </w:p>
    <w:p>
      <w:r>
        <w:t>Review: Named owner; Authorized release reviewer; Trusted evidence provider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QC-SOP-030</w:t>
      </w:r>
    </w:p>
    <w:p>
      <w:pPr>
        <w:pStyle w:val="Heading1"/>
      </w:pPr>
      <w:r>
        <w:t>3. Before you start</w:t>
      </w:r>
    </w:p>
    <w:p>
      <w:r>
        <w:t>- The nineteen-gate registry and trusted provider authority are approved.</w:t>
      </w:r>
    </w:p>
    <w:p>
      <w:r>
        <w:t>- Current runtime/build identity and candidate evidence exist.</w:t>
      </w:r>
    </w:p>
    <w:p>
      <w:pPr>
        <w:pStyle w:val="Heading1"/>
      </w:pPr>
      <w:r>
        <w:t>4. Work steps and checks</w:t>
      </w:r>
    </w:p>
    <w:p>
      <w:r>
        <w:t>1. Open /governance/releases/[releaseId] and identify the release/candidate context.</w:t>
      </w:r>
    </w:p>
    <w:p>
      <w:r>
        <w:t>2. Read each canonical gate and its required owner/provider evidence.</w:t>
      </w:r>
    </w:p>
    <w:p>
      <w:r>
        <w:t>3. Check provider identity, attestation payload, candidate binding, freshness and supported signature verification.</w:t>
      </w:r>
    </w:p>
    <w:p>
      <w:r>
        <w:t>4. Verify nonce/replay handling; a repeated provider attestation must not be accepted as new evidence.</w:t>
      </w:r>
    </w:p>
    <w:p>
      <w:r>
        <w:t>5. Distinguish unavailable evidence source from no evidence and denied access.</w:t>
      </w:r>
    </w:p>
    <w:p>
      <w:r>
        <w:t>6. Compare runtime identity, applied migration ledger and artifact digest with the candidate.</w:t>
      </w:r>
    </w:p>
    <w:p>
      <w:r>
        <w:t>7. Keep unresolved gates and authority sources explicit; do not use this documentation pack as test evidence.</w:t>
      </w:r>
    </w:p>
    <w:p>
      <w:r>
        <w:t>8. Approve only through the authorized release workflow after all required gates pass; otherwise retain NO-GO.</w:t>
      </w:r>
    </w:p>
    <w:p>
      <w:pPr>
        <w:pStyle w:val="Heading1"/>
      </w:pPr>
      <w:r>
        <w:t>5. Decisions, errors and stop conditions</w:t>
      </w:r>
    </w:p>
    <w:p>
      <w:r>
        <w:t>- Trusted intake connectivity is not gate acceptance.</w:t>
      </w:r>
    </w:p>
    <w:p>
      <w:r>
        <w:t>- Historical evidence from another SHA/dirty tree must be rebound or rerun.</w:t>
      </w:r>
    </w:p>
    <w:p>
      <w:pPr>
        <w:pStyle w:val="Heading1"/>
      </w:pPr>
      <w:r>
        <w:t>6. Records and handoff</w:t>
      </w:r>
    </w:p>
    <w:p>
      <w:r>
        <w:t>- Gate register</w:t>
      </w:r>
    </w:p>
    <w:p>
      <w:r>
        <w:t>- Trusted attestation</w:t>
      </w:r>
    </w:p>
    <w:p>
      <w:r>
        <w:t>- Runtime/schema identity</w:t>
      </w:r>
    </w:p>
    <w:p>
      <w:r>
        <w:t>- Release decision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src/modules/release-governance</w:t>
      </w:r>
    </w:p>
    <w:p>
      <w:r>
        <w:t>- Documents/RELEASE-RUNBOOK.md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DEC-024 — Release gates, applicability and human acceptance</w:t>
      </w:r>
    </w:p>
    <w:p>
      <w:r>
        <w:t>- DEC-025 — Performance budgets and representative environment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/governance/releases/[releaseId]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DEC-024 — Release and human UAT evidence</w:t>
      </w:r>
    </w:p>
    <w:p>
      <w:r>
        <w:t>Freeze source SHA, dirty fingerprint, build/runtime identity and migration state. Define real UAT roles and scenarios, including receiving, inspection/lab review, denial, stale version, uncertain submission, reports and recovery intent. Participants execute with their own authorized accounts and record observed outcome, evidence and defects. Preserve failed and blocked cases.</w:t>
      </w:r>
    </w:p>
    <w:p>
      <w:r>
        <w:t>Decision and exception check: A verification lead checks candidate binding and unresolved defects; the authorized acceptor signs only real participant evidence. A source test, authored script or planned scenario cannot be substituted for the session. If the candidate changes, assess affected evidence and rebind/rerun as required. Gate PASS does not itself execute release or deployment.</w:t>
      </w:r>
    </w:p>
    <w:p>
      <w:r>
        <w:t>Record: QC-REC-017 release gate and UAT session; QC-SOP-030; route-coverage register.</w:t>
      </w:r>
    </w:p>
    <w:p>
      <w:r>
        <w:t>DEC-025 — Performance measurement contract</w:t>
      </w:r>
    </w:p>
    <w:p>
      <w:r>
        <w:t>Capture request/query counts, payload size and the relevant timing metric with clock/method details. For p95, retain all raw samples, sample count and percentile method; do not report a percentile from one observation. Compare before/after with equivalent data and conditions. Include errors and timeouts in the stated analysis rather than silently dropping them.</w:t>
      </w:r>
    </w:p>
    <w:p>
      <w:r>
        <w:t>Decision and exception check: For interactive pages, define the measured user interaction and tooling; page load time is not INP. Record server and browser segments separately. If a budget is absent, report measured values and request the acceptance decision without claiming a pass. A local loopback benchmark does not establish provider latency.</w:t>
      </w:r>
    </w:p>
    <w:p>
      <w:r>
        <w:t>Record: QC-REC-018 performance plan and measurements; QC-WI-061.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