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 Universe</w:t>
      </w:r>
    </w:p>
    <w:p>
      <w:pPr>
        <w:jc w:val="center"/>
      </w:pPr>
      <w:r>
        <w:rPr>
          <w:b/>
        </w:rPr>
        <w:t>تدقيق الجاهزية المؤسسية | تحليل شامل وتحسينات تشغيل الشركة</w:t>
      </w:r>
    </w:p>
    <w:p>
      <w:pPr>
        <w:jc w:val="center"/>
      </w:pPr>
      <w:r>
        <w:t>READ-ONLY SOURCE AUDIT  •  UPDATED 28 OCT 2026</w:t>
      </w:r>
    </w:p>
    <w:p>
      <w:pPr>
        <w:jc w:val="center"/>
      </w:pPr>
      <w:r>
        <w:t>HEAD: d183e6c293f5a7cebb7bf737a40b5cbc2134832d</w:t>
      </w:r>
    </w:p>
    <w:p>
      <w:pPr>
        <w:pStyle w:val="Heading1"/>
        <w:jc w:val="right"/>
        <w:bidi w:val="1"/>
      </w:pPr>
      <w:r>
        <w:t>1 — القرار التنفيذي</w:t>
      </w:r>
    </w:p>
    <w:p>
      <w:pPr>
        <w:jc w:val="right"/>
        <w:bidi w:val="1"/>
      </w:pPr>
      <w:r>
        <w:t>غير جاهز للإطلاق التشغيلي (NO-GO) على النسخة المقروءة. الأساس المعماري جيد، لكن هناك فجوات تشغيل حرجة: CI الحالي فاشل؛ CAPA Create وRetest واعتماد الوثائق محجوبة؛ بيانات الشركة المرجعية غير مثبتة؛ وتسلسل الرفض مع Focus غير مكتمل. يسمح فقط بتحضير بيئة تجربة منفصلة لا تعتمد قرارات إنتاج نافذة.</w:t>
      </w:r>
      <w:r>
        <w:rPr>
          <w:b/>
          <w:color w:val="104B71"/>
        </w:rPr>
        <w:t xml:space="preserve"> | مؤشر النضج المصدري: 53% تقديري؛ بوابات القبول المثبتة 0/5 (0%).</w:t>
      </w:r>
    </w:p>
    <w:p>
      <w:pPr>
        <w:jc w:val="right"/>
        <w:bidi w:val="1"/>
      </w:pPr>
      <w:r>
        <w:t>نطاق التدقيق: مصدر GitHub لفرع main بتاريخ 27 أكتوبر 2026، وترحيلات PostgreSQL، وتكوين CI/Render، وأدلة جاهزية سابقة، مع مقارنة قرارات مالك النظام. لم يحدث اتصال بقاعدة بيانات الشركة، أو تشغيل اختبارات، أو فحص الموقع المنشور، أو تعديل للمستودع. كل نتيجة أدناه تميز بين «مثبت من الكود»، «مثبت من GitHub Actions»، و«غير متحقق تشغيليًا».</w:t>
      </w:r>
    </w:p>
    <w:p>
      <w:pPr>
        <w:pStyle w:val="Heading1"/>
        <w:jc w:val="right"/>
        <w:bidi w:val="1"/>
      </w:pPr>
      <w:r>
        <w:t>2 — نسب الوضع الحالي وطريقة الحساب</w:t>
      </w:r>
    </w:p>
    <w:p>
      <w:pPr>
        <w:keepLines/>
        <w:spacing w:after="80"/>
      </w:pPr>
      <w:r>
        <w:rPr>
          <w:b/>
          <w:color w:val="104B71"/>
          <w:sz w:val="18"/>
        </w:rPr>
        <w:t>مؤشر اكتمال المصدر (تقديري): 53%  |  متوسط 18 مجالًا متساوية الوزن.</w:t>
      </w:r>
    </w:p>
    <w:p>
      <w:pPr>
        <w:keepLines/>
        <w:spacing w:after="80"/>
      </w:pPr>
      <w:r>
        <w:rPr>
          <w:b/>
          <w:color w:val="104B71"/>
          <w:sz w:val="18"/>
        </w:rPr>
        <w:t>بوابات القبول التشغيلي المثبتة على النسخة: 0 من 5 = 0%  |  قرار التشغيل: NO-GO.</w:t>
      </w:r>
    </w:p>
    <w:p>
      <w:pPr>
        <w:keepLines/>
        <w:spacing w:after="80"/>
      </w:pPr>
      <w:r>
        <w:rPr>
          <w:sz w:val="18"/>
        </w:rPr>
        <w:t>آلية الحساب: 18 مجالًا × تقدير 0–100 بخطوات 5 نقاط حسب وجود البنية، الوظائف، ضوابط التحكم، الترابط، وأدلة القبول في GitHub. المتوسط غير موزون: 950 ÷ 18 = 52.8% ≈ 53%. لا تحسب التغييرات النصية أو كثرة الملفات كنسبة نجاح.</w:t>
      </w:r>
    </w:p>
    <w:p>
      <w:pPr>
        <w:keepLines/>
        <w:spacing w:after="80"/>
      </w:pPr>
      <w:r>
        <w:rPr>
          <w:sz w:val="18"/>
        </w:rPr>
        <w:t>تحديث مصدر القراءة: 28 أكتوبر 2026 (Asia/Riyadh)، GitHub HEAD d183e6c293f5a7cebb7bf737a40b5cbc2134832d؛ 51 ملف Migration. آخر تشغيل CI وPages على هذا Commit: FAILED. أضيفت طبقة Pilot/Staging وRelease Intent في Shadow Mode؛ لم يتحول هذا إلى تصريح إفراج إنتاجي.</w:t>
      </w:r>
    </w:p>
    <w:p>
      <w:pPr>
        <w:keepLines/>
        <w:spacing w:after="80"/>
      </w:pPr>
      <w:r>
        <w:rPr>
          <w:sz w:val="18"/>
        </w:rPr>
        <w:t>تنبيه: هذه تقديرات تخطيطية وليست نتائج اختبارات أو قياساً من بيئة الشركة. صفر بالمئة للبوابات يعني عدم وجود إثبات قبول رسمي لأي Gate على HEAD، ولا يعني أن وظائف النظام معدومة.</w:t>
      </w:r>
    </w:p>
    <w:tbl>
      <w:tblPr>
        <w:tblStyle w:val="LightShading-Accent1"/>
        <w:tblW w:type="auto" w:w="0"/>
        <w:jc w:val="center"/>
        <w:tblLook w:firstColumn="1" w:firstRow="1" w:lastColumn="0" w:lastRow="0" w:noHBand="0" w:noVBand="1" w:val="04A0"/>
      </w:tblPr>
      <w:tblGrid>
        <w:gridCol w:w="5083"/>
        <w:gridCol w:w="5083"/>
      </w:tblGrid>
      <w:tr>
        <w:trPr>
          <w:tblHeader w:val="true"/>
        </w:trPr>
        <w:tc>
          <w:tcPr>
            <w:tcW w:type="dxa" w:w="5083"/>
            <w:vAlign w:val="center"/>
          </w:tcPr>
          <w:p>
            <w:pPr>
              <w:jc w:val="right"/>
              <w:bidi w:val="1"/>
            </w:pPr>
            <w:r>
              <w:rPr>
                <w:sz w:val="16"/>
              </w:rPr>
              <w:t>المصدر / الحالة</w:t>
            </w:r>
          </w:p>
        </w:tc>
        <w:tc>
          <w:tcPr>
            <w:tcW w:type="dxa" w:w="5083"/>
            <w:vAlign w:val="center"/>
          </w:tcPr>
          <w:p>
            <w:pPr>
              <w:jc w:val="right"/>
              <w:bidi w:val="1"/>
            </w:pPr>
            <w:r>
              <w:rPr>
                <w:sz w:val="16"/>
              </w:rPr>
              <w:t>الملاحظة</w:t>
            </w:r>
          </w:p>
        </w:tc>
      </w:tr>
      <w:tr>
        <w:tc>
          <w:tcPr>
            <w:tcW w:type="dxa" w:w="5083"/>
            <w:vAlign w:val="center"/>
          </w:tcPr>
          <w:p>
            <w:pPr>
              <w:jc w:val="right"/>
              <w:bidi w:val="1"/>
            </w:pPr>
            <w:r>
              <w:rPr>
                <w:sz w:val="16"/>
              </w:rPr>
              <w:t>GitHub HEAD</w:t>
            </w:r>
          </w:p>
        </w:tc>
        <w:tc>
          <w:tcPr>
            <w:tcW w:type="dxa" w:w="5083"/>
            <w:vAlign w:val="center"/>
          </w:tcPr>
          <w:p>
            <w:r>
              <w:t>d183e6c293f5a7cebb7bf737a40b5cbc2134832d</w:t>
            </w:r>
          </w:p>
        </w:tc>
      </w:tr>
      <w:tr>
        <w:tc>
          <w:tcPr>
            <w:tcW w:type="dxa" w:w="5083"/>
            <w:vAlign w:val="center"/>
          </w:tcPr>
          <w:p>
            <w:pPr>
              <w:jc w:val="right"/>
              <w:bidi w:val="1"/>
            </w:pPr>
            <w:r>
              <w:rPr>
                <w:sz w:val="16"/>
              </w:rPr>
              <w:t>CI Verification</w:t>
            </w:r>
          </w:p>
        </w:tc>
        <w:tc>
          <w:tcPr>
            <w:tcW w:type="dxa" w:w="5083"/>
            <w:vAlign w:val="center"/>
          </w:tcPr>
          <w:p>
            <w:r>
              <w:t>FAIL على HEAD الجديد d183e6c — 28 أكتوبر 2026؛ سبب الفشل النهائي غير مثبت</w:t>
            </w:r>
          </w:p>
        </w:tc>
      </w:tr>
      <w:tr>
        <w:tc>
          <w:tcPr>
            <w:tcW w:type="dxa" w:w="5083"/>
            <w:vAlign w:val="center"/>
          </w:tcPr>
          <w:p>
            <w:pPr>
              <w:jc w:val="right"/>
              <w:bidi w:val="1"/>
            </w:pPr>
            <w:r>
              <w:rPr>
                <w:sz w:val="16"/>
              </w:rPr>
              <w:t>GitHub Pages</w:t>
            </w:r>
          </w:p>
        </w:tc>
        <w:tc>
          <w:tcPr>
            <w:tcW w:type="dxa" w:w="5083"/>
            <w:vAlign w:val="center"/>
          </w:tcPr>
          <w:p>
            <w:pPr>
              <w:jc w:val="right"/>
              <w:bidi w:val="1"/>
            </w:pPr>
            <w:r>
              <w:rPr>
                <w:sz w:val="16"/>
              </w:rPr>
              <w:t>فشل Jekyll لمعالجة Astro source؛ غير مكافئ لفشل Astro build</w:t>
            </w:r>
          </w:p>
        </w:tc>
      </w:tr>
      <w:tr>
        <w:tc>
          <w:tcPr>
            <w:tcW w:type="dxa" w:w="5083"/>
            <w:vAlign w:val="center"/>
          </w:tcPr>
          <w:p>
            <w:pPr>
              <w:jc w:val="right"/>
              <w:bidi w:val="1"/>
            </w:pPr>
            <w:r>
              <w:rPr>
                <w:sz w:val="16"/>
              </w:rPr>
              <w:t>DB migrations</w:t>
            </w:r>
          </w:p>
        </w:tc>
        <w:tc>
          <w:tcPr>
            <w:tcW w:type="dxa" w:w="5083"/>
            <w:vAlign w:val="center"/>
          </w:tcPr>
          <w:p>
            <w:r>
              <w:t>51 ملف SQL؛ التحقق من Applied في بيئة الشركة غير متاح</w:t>
            </w:r>
          </w:p>
        </w:tc>
      </w:tr>
      <w:tr>
        <w:tc>
          <w:tcPr>
            <w:tcW w:type="dxa" w:w="5083"/>
            <w:vAlign w:val="center"/>
          </w:tcPr>
          <w:p>
            <w:pPr>
              <w:jc w:val="right"/>
              <w:bidi w:val="1"/>
            </w:pPr>
            <w:r>
              <w:rPr>
                <w:sz w:val="16"/>
              </w:rPr>
              <w:t>صفحات المستخدم</w:t>
            </w:r>
          </w:p>
        </w:tc>
        <w:tc>
          <w:tcPr>
            <w:tcW w:type="dxa" w:w="5083"/>
            <w:vAlign w:val="center"/>
          </w:tcPr>
          <w:p>
            <w:pPr>
              <w:jc w:val="right"/>
              <w:bidi w:val="1"/>
            </w:pPr>
            <w:r>
              <w:rPr>
                <w:sz w:val="16"/>
              </w:rPr>
              <w:t>86 شاشة / 2 redirects وفق سجل الجرد</w:t>
            </w:r>
          </w:p>
        </w:tc>
      </w:tr>
      <w:tr>
        <w:tc>
          <w:tcPr>
            <w:tcW w:type="dxa" w:w="5083"/>
            <w:vAlign w:val="center"/>
          </w:tcPr>
          <w:p>
            <w:pPr>
              <w:jc w:val="right"/>
              <w:bidi w:val="1"/>
            </w:pPr>
            <w:r>
              <w:rPr>
                <w:sz w:val="16"/>
              </w:rPr>
              <w:t>Reports</w:t>
            </w:r>
          </w:p>
        </w:tc>
        <w:tc>
          <w:tcPr>
            <w:tcW w:type="dxa" w:w="5083"/>
            <w:vAlign w:val="center"/>
          </w:tcPr>
          <w:p>
            <w:pPr>
              <w:jc w:val="right"/>
              <w:bidi w:val="1"/>
            </w:pPr>
            <w:r>
              <w:rPr>
                <w:sz w:val="16"/>
              </w:rPr>
              <w:t>Report Registry يحتوي Quarantine Aging فقط</w:t>
            </w:r>
          </w:p>
        </w:tc>
      </w:tr>
    </w:tbl>
    <w:p>
      <w:pPr>
        <w:pStyle w:val="Heading1"/>
        <w:jc w:val="right"/>
        <w:bidi w:val="1"/>
      </w:pPr>
      <w:r>
        <w:t>3 — خريطة الأجزاء التشغيلية</w:t>
      </w:r>
    </w:p>
    <w:tbl>
      <w:tblPr>
        <w:tblStyle w:val="LightShading-Accent1"/>
        <w:tblW w:type="auto" w:w="0"/>
        <w:jc w:val="center"/>
        <w:tblLayout w:type="fixed"/>
        <w:tblLook w:firstColumn="1" w:firstRow="1" w:lastColumn="0" w:lastRow="0" w:noHBand="0" w:noVBand="1" w:val="04A0"/>
      </w:tblPr>
      <w:tblGrid>
        <w:gridCol w:w="2203"/>
        <w:gridCol w:w="1440"/>
        <w:gridCol w:w="1786"/>
        <w:gridCol w:w="4738"/>
      </w:tblGrid>
      <w:tr>
        <w:tc>
          <w:tcPr>
            <w:tcW w:type="dxa" w:w="2541"/>
            <w:vAlign w:val="center"/>
          </w:tcPr>
          <w:p>
            <w:pPr>
              <w:spacing w:after="0"/>
            </w:pPr>
            <w:r>
              <w:rPr>
                <w:b/>
                <w:sz w:val="16"/>
              </w:rPr>
              <w:t>المجال</w:t>
            </w:r>
          </w:p>
        </w:tc>
        <w:tc>
          <w:tcPr>
            <w:tcW w:type="dxa" w:w="2541"/>
            <w:vAlign w:val="center"/>
          </w:tcPr>
          <w:p>
            <w:pPr>
              <w:spacing w:after="0"/>
            </w:pPr>
            <w:r>
              <w:rPr>
                <w:b/>
                <w:sz w:val="16"/>
              </w:rPr>
              <w:t>نسبة التطوير التقديرية</w:t>
            </w:r>
          </w:p>
        </w:tc>
        <w:tc>
          <w:tcPr>
            <w:tcW w:type="dxa" w:w="2541"/>
            <w:vAlign w:val="center"/>
          </w:tcPr>
          <w:p>
            <w:pPr>
              <w:spacing w:after="0"/>
            </w:pPr>
            <w:r>
              <w:rPr>
                <w:b/>
                <w:sz w:val="16"/>
              </w:rPr>
              <w:t>وضع المصدر</w:t>
            </w:r>
          </w:p>
        </w:tc>
        <w:tc>
          <w:tcPr>
            <w:tcW w:type="dxa" w:w="2541"/>
            <w:vAlign w:val="center"/>
          </w:tcPr>
          <w:p>
            <w:pPr>
              <w:spacing w:after="0"/>
            </w:pPr>
            <w:r>
              <w:rPr>
                <w:b/>
                <w:sz w:val="16"/>
              </w:rPr>
              <w:t>مطلوب قبل التجربة</w:t>
            </w:r>
          </w:p>
        </w:tc>
      </w:tr>
      <w:tr>
        <w:tc>
          <w:tcPr>
            <w:tcW w:type="dxa" w:w="2203"/>
          </w:tcPr>
          <w:p>
            <w:pPr>
              <w:spacing w:after="0"/>
            </w:pPr>
            <w:r>
              <w:rPr>
                <w:sz w:val="16"/>
              </w:rPr>
              <w:t>Identity / RBAC</w:t>
            </w:r>
          </w:p>
        </w:tc>
        <w:tc>
          <w:tcPr>
            <w:tcW w:type="dxa" w:w="1440"/>
            <w:vAlign w:val="center"/>
          </w:tcPr>
          <w:p>
            <w:pPr>
              <w:spacing w:after="0"/>
              <w:jc w:val="center"/>
            </w:pPr>
            <w:r>
              <w:rPr>
                <w:b/>
                <w:color w:val="1D7851"/>
                <w:sz w:val="16"/>
              </w:rPr>
              <w:t>70%</w:t>
            </w:r>
          </w:p>
        </w:tc>
        <w:tc>
          <w:tcPr>
            <w:tcW w:type="dxa" w:w="1786"/>
          </w:tcPr>
          <w:p>
            <w:pPr>
              <w:spacing w:after="0"/>
            </w:pPr>
            <w:r>
              <w:rPr>
                <w:sz w:val="16"/>
              </w:rPr>
              <w:t>موجود جزئيًا</w:t>
            </w:r>
          </w:p>
        </w:tc>
        <w:tc>
          <w:tcPr>
            <w:tcW w:type="dxa" w:w="4738"/>
          </w:tcPr>
          <w:p>
            <w:pPr>
              <w:spacing w:after="0"/>
            </w:pPr>
            <w:r>
              <w:rPr>
                <w:sz w:val="16"/>
              </w:rPr>
              <w:t>مصفوفة وصول للأقسام والثلاث شفتات، MFA وسياسة حسابات الموظفين</w:t>
            </w:r>
          </w:p>
        </w:tc>
      </w:tr>
      <w:tr>
        <w:tc>
          <w:tcPr>
            <w:tcW w:type="dxa" w:w="2203"/>
          </w:tcPr>
          <w:p>
            <w:pPr>
              <w:spacing w:after="0"/>
            </w:pPr>
            <w:r>
              <w:rPr>
                <w:sz w:val="16"/>
              </w:rPr>
              <w:t>Receiving &amp; Quarantine</w:t>
            </w:r>
          </w:p>
        </w:tc>
        <w:tc>
          <w:tcPr>
            <w:tcW w:type="dxa" w:w="1440"/>
            <w:vAlign w:val="center"/>
          </w:tcPr>
          <w:p>
            <w:pPr>
              <w:spacing w:after="0"/>
              <w:jc w:val="center"/>
            </w:pPr>
            <w:r>
              <w:rPr>
                <w:b/>
                <w:color w:val="1D7851"/>
                <w:sz w:val="16"/>
              </w:rPr>
              <w:t>70%</w:t>
            </w:r>
          </w:p>
        </w:tc>
        <w:tc>
          <w:tcPr>
            <w:tcW w:type="dxa" w:w="1786"/>
          </w:tcPr>
          <w:p>
            <w:pPr>
              <w:spacing w:after="0"/>
            </w:pPr>
            <w:r>
              <w:rPr>
                <w:sz w:val="16"/>
              </w:rPr>
              <w:t>موجود جزئيًا</w:t>
            </w:r>
          </w:p>
        </w:tc>
        <w:tc>
          <w:tcPr>
            <w:tcW w:type="dxa" w:w="4738"/>
          </w:tcPr>
          <w:p>
            <w:pPr>
              <w:spacing w:after="0"/>
            </w:pPr>
            <w:r>
              <w:rPr>
                <w:sz w:val="16"/>
              </w:rPr>
              <w:t>إثبات بيئة/بيانات وقواعد إطلاق ومواقع المخزن</w:t>
            </w:r>
          </w:p>
        </w:tc>
      </w:tr>
      <w:tr>
        <w:tc>
          <w:tcPr>
            <w:tcW w:type="dxa" w:w="2203"/>
          </w:tcPr>
          <w:p>
            <w:pPr>
              <w:spacing w:after="0"/>
            </w:pPr>
            <w:r>
              <w:rPr>
                <w:sz w:val="16"/>
              </w:rPr>
              <w:t>Inspection</w:t>
            </w:r>
          </w:p>
        </w:tc>
        <w:tc>
          <w:tcPr>
            <w:tcW w:type="dxa" w:w="1440"/>
            <w:vAlign w:val="center"/>
          </w:tcPr>
          <w:p>
            <w:pPr>
              <w:spacing w:after="0"/>
              <w:jc w:val="center"/>
            </w:pPr>
            <w:r>
              <w:rPr>
                <w:b/>
                <w:color w:val="B97414"/>
                <w:sz w:val="16"/>
              </w:rPr>
              <w:t>60%</w:t>
            </w:r>
          </w:p>
        </w:tc>
        <w:tc>
          <w:tcPr>
            <w:tcW w:type="dxa" w:w="1786"/>
          </w:tcPr>
          <w:p>
            <w:pPr>
              <w:spacing w:after="0"/>
            </w:pPr>
            <w:r>
              <w:rPr>
                <w:sz w:val="16"/>
              </w:rPr>
              <w:t>موجود جزئيًا</w:t>
            </w:r>
          </w:p>
        </w:tc>
        <w:tc>
          <w:tcPr>
            <w:tcW w:type="dxa" w:w="4738"/>
          </w:tcPr>
          <w:p>
            <w:pPr>
              <w:spacing w:after="0"/>
            </w:pPr>
            <w:r>
              <w:rPr>
                <w:sz w:val="16"/>
              </w:rPr>
              <w:t>اعتماد نسخ القوالب وسجلات التحقق، مع فصل عن In-Process</w:t>
            </w:r>
          </w:p>
        </w:tc>
      </w:tr>
      <w:tr>
        <w:tc>
          <w:tcPr>
            <w:tcW w:type="dxa" w:w="2203"/>
          </w:tcPr>
          <w:p>
            <w:pPr>
              <w:spacing w:after="0"/>
            </w:pPr>
            <w:r>
              <w:rPr>
                <w:sz w:val="16"/>
              </w:rPr>
              <w:t>In-Process Controls</w:t>
            </w:r>
          </w:p>
        </w:tc>
        <w:tc>
          <w:tcPr>
            <w:tcW w:type="dxa" w:w="1440"/>
            <w:vAlign w:val="center"/>
          </w:tcPr>
          <w:p>
            <w:pPr>
              <w:spacing w:after="0"/>
              <w:jc w:val="center"/>
            </w:pPr>
            <w:r>
              <w:rPr>
                <w:b/>
                <w:color w:val="AC3D31"/>
                <w:sz w:val="16"/>
              </w:rPr>
              <w:t>20%</w:t>
            </w:r>
          </w:p>
        </w:tc>
        <w:tc>
          <w:tcPr>
            <w:tcW w:type="dxa" w:w="1786"/>
          </w:tcPr>
          <w:p>
            <w:pPr>
              <w:spacing w:after="0"/>
            </w:pPr>
            <w:r>
              <w:rPr>
                <w:sz w:val="16"/>
              </w:rPr>
              <w:t>غير مثبت مكتملًا</w:t>
            </w:r>
          </w:p>
        </w:tc>
        <w:tc>
          <w:tcPr>
            <w:tcW w:type="dxa" w:w="4738"/>
          </w:tcPr>
          <w:p>
            <w:pPr>
              <w:spacing w:after="0"/>
            </w:pPr>
            <w:r>
              <w:rPr>
                <w:sz w:val="16"/>
              </w:rPr>
              <w:t>WI-only حسب المنتج وF-823 وخط الإنتاج والوردية</w:t>
            </w:r>
          </w:p>
        </w:tc>
      </w:tr>
      <w:tr>
        <w:tc>
          <w:tcPr>
            <w:tcW w:type="dxa" w:w="2203"/>
          </w:tcPr>
          <w:p>
            <w:pPr>
              <w:spacing w:after="0"/>
            </w:pPr>
            <w:r>
              <w:rPr>
                <w:sz w:val="16"/>
              </w:rPr>
              <w:t>Laboratory</w:t>
            </w:r>
          </w:p>
        </w:tc>
        <w:tc>
          <w:tcPr>
            <w:tcW w:type="dxa" w:w="1440"/>
            <w:vAlign w:val="center"/>
          </w:tcPr>
          <w:p>
            <w:pPr>
              <w:spacing w:after="0"/>
              <w:jc w:val="center"/>
            </w:pPr>
            <w:r>
              <w:rPr>
                <w:b/>
                <w:color w:val="B97414"/>
                <w:sz w:val="16"/>
              </w:rPr>
              <w:t>55%</w:t>
            </w:r>
          </w:p>
        </w:tc>
        <w:tc>
          <w:tcPr>
            <w:tcW w:type="dxa" w:w="1786"/>
          </w:tcPr>
          <w:p>
            <w:pPr>
              <w:spacing w:after="0"/>
            </w:pPr>
            <w:r>
              <w:rPr>
                <w:sz w:val="16"/>
              </w:rPr>
              <w:t>موجود جزئيًا</w:t>
            </w:r>
          </w:p>
        </w:tc>
        <w:tc>
          <w:tcPr>
            <w:tcW w:type="dxa" w:w="4738"/>
          </w:tcPr>
          <w:p>
            <w:pPr>
              <w:spacing w:after="0"/>
            </w:pPr>
            <w:r>
              <w:rPr>
                <w:sz w:val="16"/>
              </w:rPr>
              <w:t>Retest Policy، method master، قبول الخبراء</w:t>
            </w:r>
          </w:p>
        </w:tc>
      </w:tr>
      <w:tr>
        <w:tc>
          <w:tcPr>
            <w:tcW w:type="dxa" w:w="2203"/>
          </w:tcPr>
          <w:p>
            <w:pPr>
              <w:spacing w:after="0"/>
            </w:pPr>
            <w:r>
              <w:rPr>
                <w:sz w:val="16"/>
              </w:rPr>
              <w:t>Quality / Findings/NCR/RCA/CAPA</w:t>
            </w:r>
          </w:p>
        </w:tc>
        <w:tc>
          <w:tcPr>
            <w:tcW w:type="dxa" w:w="1440"/>
            <w:vAlign w:val="center"/>
          </w:tcPr>
          <w:p>
            <w:pPr>
              <w:spacing w:after="0"/>
              <w:jc w:val="center"/>
            </w:pPr>
            <w:r>
              <w:rPr>
                <w:b/>
                <w:color w:val="AC3D31"/>
                <w:sz w:val="16"/>
              </w:rPr>
              <w:t>40%</w:t>
            </w:r>
          </w:p>
        </w:tc>
        <w:tc>
          <w:tcPr>
            <w:tcW w:type="dxa" w:w="1786"/>
          </w:tcPr>
          <w:p>
            <w:pPr>
              <w:spacing w:after="0"/>
            </w:pPr>
            <w:r>
              <w:rPr>
                <w:sz w:val="16"/>
              </w:rPr>
              <w:t>جزئي / فجوة حرجة</w:t>
            </w:r>
          </w:p>
        </w:tc>
        <w:tc>
          <w:tcPr>
            <w:tcW w:type="dxa" w:w="4738"/>
          </w:tcPr>
          <w:p>
            <w:pPr>
              <w:spacing w:after="0"/>
            </w:pPr>
            <w:r>
              <w:rPr>
                <w:sz w:val="16"/>
              </w:rPr>
              <w:t>تنفيذ دورة كاملة وتقارير وحراس إغلاق CAPA/NCR</w:t>
            </w:r>
          </w:p>
        </w:tc>
      </w:tr>
      <w:tr>
        <w:tc>
          <w:tcPr>
            <w:tcW w:type="dxa" w:w="2203"/>
          </w:tcPr>
          <w:p>
            <w:pPr>
              <w:spacing w:after="0"/>
            </w:pPr>
            <w:r>
              <w:rPr>
                <w:sz w:val="16"/>
              </w:rPr>
              <w:t>Reject Reports</w:t>
            </w:r>
          </w:p>
        </w:tc>
        <w:tc>
          <w:tcPr>
            <w:tcW w:type="dxa" w:w="1440"/>
            <w:vAlign w:val="center"/>
          </w:tcPr>
          <w:p>
            <w:pPr>
              <w:spacing w:after="0"/>
              <w:jc w:val="center"/>
            </w:pPr>
            <w:r>
              <w:rPr>
                <w:b/>
                <w:color w:val="B97414"/>
                <w:sz w:val="16"/>
              </w:rPr>
              <w:t>60%</w:t>
            </w:r>
          </w:p>
        </w:tc>
        <w:tc>
          <w:tcPr>
            <w:tcW w:type="dxa" w:w="1786"/>
          </w:tcPr>
          <w:p>
            <w:pPr>
              <w:spacing w:after="0"/>
            </w:pPr>
            <w:r>
              <w:rPr>
                <w:sz w:val="16"/>
              </w:rPr>
              <w:t>موجود جزئيًا</w:t>
            </w:r>
          </w:p>
        </w:tc>
        <w:tc>
          <w:tcPr>
            <w:tcW w:type="dxa" w:w="4738"/>
          </w:tcPr>
          <w:p>
            <w:pPr>
              <w:spacing w:after="0"/>
            </w:pPr>
            <w:r>
              <w:rPr>
                <w:sz w:val="16"/>
              </w:rPr>
              <w:t>Baseline→Workflow approval، 2025 data، Focus، المصادقة</w:t>
            </w:r>
          </w:p>
        </w:tc>
      </w:tr>
      <w:tr>
        <w:tc>
          <w:tcPr>
            <w:tcW w:type="dxa" w:w="2203"/>
          </w:tcPr>
          <w:p>
            <w:pPr>
              <w:spacing w:after="0"/>
            </w:pPr>
            <w:r>
              <w:rPr>
                <w:sz w:val="16"/>
              </w:rPr>
              <w:t>Controlled Documents</w:t>
            </w:r>
          </w:p>
        </w:tc>
        <w:tc>
          <w:tcPr>
            <w:tcW w:type="dxa" w:w="1440"/>
            <w:vAlign w:val="center"/>
          </w:tcPr>
          <w:p>
            <w:pPr>
              <w:spacing w:after="0"/>
              <w:jc w:val="center"/>
            </w:pPr>
            <w:r>
              <w:rPr>
                <w:b/>
                <w:color w:val="AC3D31"/>
                <w:sz w:val="16"/>
              </w:rPr>
              <w:t>40%</w:t>
            </w:r>
          </w:p>
        </w:tc>
        <w:tc>
          <w:tcPr>
            <w:tcW w:type="dxa" w:w="1786"/>
          </w:tcPr>
          <w:p>
            <w:pPr>
              <w:spacing w:after="0"/>
            </w:pPr>
            <w:r>
              <w:rPr>
                <w:sz w:val="16"/>
              </w:rPr>
              <w:t>جزئي / فجوة حرجة</w:t>
            </w:r>
          </w:p>
        </w:tc>
        <w:tc>
          <w:tcPr>
            <w:tcW w:type="dxa" w:w="4738"/>
          </w:tcPr>
          <w:p>
            <w:pPr>
              <w:spacing w:after="0"/>
            </w:pPr>
            <w:r>
              <w:rPr>
                <w:sz w:val="16"/>
              </w:rPr>
              <w:t>Owner approval/effectivity ودليل ISO source</w:t>
            </w:r>
          </w:p>
        </w:tc>
      </w:tr>
      <w:tr>
        <w:tc>
          <w:tcPr>
            <w:tcW w:type="dxa" w:w="2203"/>
          </w:tcPr>
          <w:p>
            <w:pPr>
              <w:spacing w:after="0"/>
            </w:pPr>
            <w:r>
              <w:rPr>
                <w:sz w:val="16"/>
              </w:rPr>
              <w:t>Equipment/Calibration/Maintenance</w:t>
            </w:r>
          </w:p>
        </w:tc>
        <w:tc>
          <w:tcPr>
            <w:tcW w:type="dxa" w:w="1440"/>
            <w:vAlign w:val="center"/>
          </w:tcPr>
          <w:p>
            <w:pPr>
              <w:spacing w:after="0"/>
              <w:jc w:val="center"/>
            </w:pPr>
            <w:r>
              <w:rPr>
                <w:b/>
                <w:color w:val="1D7851"/>
                <w:sz w:val="16"/>
              </w:rPr>
              <w:t>65%</w:t>
            </w:r>
          </w:p>
        </w:tc>
        <w:tc>
          <w:tcPr>
            <w:tcW w:type="dxa" w:w="1786"/>
          </w:tcPr>
          <w:p>
            <w:pPr>
              <w:spacing w:after="0"/>
            </w:pPr>
            <w:r>
              <w:rPr>
                <w:sz w:val="16"/>
              </w:rPr>
              <w:t>موجود جزئيًا</w:t>
            </w:r>
          </w:p>
        </w:tc>
        <w:tc>
          <w:tcPr>
            <w:tcW w:type="dxa" w:w="4738"/>
          </w:tcPr>
          <w:p>
            <w:pPr>
              <w:spacing w:after="0"/>
            </w:pPr>
            <w:r>
              <w:rPr>
                <w:sz w:val="16"/>
              </w:rPr>
              <w:t>مصدر Equipment master، expiry eligibility، دليل أجهزة الشركة</w:t>
            </w:r>
          </w:p>
        </w:tc>
      </w:tr>
      <w:tr>
        <w:tc>
          <w:tcPr>
            <w:tcW w:type="dxa" w:w="2203"/>
          </w:tcPr>
          <w:p>
            <w:pPr>
              <w:spacing w:after="0"/>
            </w:pPr>
            <w:r>
              <w:rPr>
                <w:sz w:val="16"/>
              </w:rPr>
              <w:t>Approvals / E-sign</w:t>
            </w:r>
          </w:p>
        </w:tc>
        <w:tc>
          <w:tcPr>
            <w:tcW w:type="dxa" w:w="1440"/>
            <w:vAlign w:val="center"/>
          </w:tcPr>
          <w:p>
            <w:pPr>
              <w:spacing w:after="0"/>
              <w:jc w:val="center"/>
            </w:pPr>
            <w:r>
              <w:rPr>
                <w:b/>
                <w:color w:val="B97414"/>
                <w:sz w:val="16"/>
              </w:rPr>
              <w:t>50%</w:t>
            </w:r>
          </w:p>
        </w:tc>
        <w:tc>
          <w:tcPr>
            <w:tcW w:type="dxa" w:w="1786"/>
          </w:tcPr>
          <w:p>
            <w:pPr>
              <w:spacing w:after="0"/>
            </w:pPr>
            <w:r>
              <w:rPr>
                <w:sz w:val="16"/>
              </w:rPr>
              <w:t>موجود جزئيًا</w:t>
            </w:r>
          </w:p>
        </w:tc>
        <w:tc>
          <w:tcPr>
            <w:tcW w:type="dxa" w:w="4738"/>
          </w:tcPr>
          <w:p>
            <w:pPr>
              <w:spacing w:after="0"/>
            </w:pPr>
            <w:r>
              <w:rPr>
                <w:sz w:val="16"/>
              </w:rPr>
              <w:t>سياسة موحدة Owner/Normal ومسؤوليات/أدلة</w:t>
            </w:r>
          </w:p>
        </w:tc>
      </w:tr>
      <w:tr>
        <w:tc>
          <w:tcPr>
            <w:tcW w:type="dxa" w:w="2203"/>
          </w:tcPr>
          <w:p>
            <w:pPr>
              <w:spacing w:after="0"/>
            </w:pPr>
            <w:r>
              <w:rPr>
                <w:sz w:val="16"/>
              </w:rPr>
              <w:t>Change Requests</w:t>
            </w:r>
          </w:p>
        </w:tc>
        <w:tc>
          <w:tcPr>
            <w:tcW w:type="dxa" w:w="1440"/>
            <w:vAlign w:val="center"/>
          </w:tcPr>
          <w:p>
            <w:pPr>
              <w:spacing w:after="0"/>
              <w:jc w:val="center"/>
            </w:pPr>
            <w:r>
              <w:rPr>
                <w:b/>
                <w:color w:val="B97414"/>
                <w:sz w:val="16"/>
              </w:rPr>
              <w:t>60%</w:t>
            </w:r>
          </w:p>
        </w:tc>
        <w:tc>
          <w:tcPr>
            <w:tcW w:type="dxa" w:w="1786"/>
          </w:tcPr>
          <w:p>
            <w:pPr>
              <w:spacing w:after="0"/>
            </w:pPr>
            <w:r>
              <w:rPr>
                <w:sz w:val="16"/>
              </w:rPr>
              <w:t>موجود جزئيًا</w:t>
            </w:r>
          </w:p>
        </w:tc>
        <w:tc>
          <w:tcPr>
            <w:tcW w:type="dxa" w:w="4738"/>
          </w:tcPr>
          <w:p>
            <w:pPr>
              <w:spacing w:after="0"/>
            </w:pPr>
            <w:r>
              <w:rPr>
                <w:sz w:val="16"/>
              </w:rPr>
              <w:t>Change control الفعلي للمواد والنماذج لاحقًا</w:t>
            </w:r>
          </w:p>
        </w:tc>
      </w:tr>
      <w:tr>
        <w:tc>
          <w:tcPr>
            <w:tcW w:type="dxa" w:w="2203"/>
          </w:tcPr>
          <w:p>
            <w:pPr>
              <w:spacing w:after="0"/>
            </w:pPr>
            <w:r>
              <w:rPr>
                <w:sz w:val="16"/>
              </w:rPr>
              <w:t>Tasks / Work / Notifications</w:t>
            </w:r>
          </w:p>
        </w:tc>
        <w:tc>
          <w:tcPr>
            <w:tcW w:type="dxa" w:w="1440"/>
            <w:vAlign w:val="center"/>
          </w:tcPr>
          <w:p>
            <w:pPr>
              <w:spacing w:after="0"/>
              <w:jc w:val="center"/>
            </w:pPr>
            <w:r>
              <w:rPr>
                <w:b/>
                <w:color w:val="B97414"/>
                <w:sz w:val="16"/>
              </w:rPr>
              <w:t>60%</w:t>
            </w:r>
          </w:p>
        </w:tc>
        <w:tc>
          <w:tcPr>
            <w:tcW w:type="dxa" w:w="1786"/>
          </w:tcPr>
          <w:p>
            <w:pPr>
              <w:spacing w:after="0"/>
            </w:pPr>
            <w:r>
              <w:rPr>
                <w:sz w:val="16"/>
              </w:rPr>
              <w:t>موجود جزئيًا</w:t>
            </w:r>
          </w:p>
        </w:tc>
        <w:tc>
          <w:tcPr>
            <w:tcW w:type="dxa" w:w="4738"/>
          </w:tcPr>
          <w:p>
            <w:pPr>
              <w:spacing w:after="0"/>
            </w:pPr>
            <w:r>
              <w:rPr>
                <w:sz w:val="16"/>
              </w:rPr>
              <w:t>جدولة خلفية وShift Handover وتوزيع عمل</w:t>
            </w:r>
          </w:p>
        </w:tc>
      </w:tr>
      <w:tr>
        <w:tc>
          <w:tcPr>
            <w:tcW w:type="dxa" w:w="2203"/>
          </w:tcPr>
          <w:p>
            <w:pPr>
              <w:spacing w:after="0"/>
            </w:pPr>
            <w:r>
              <w:rPr>
                <w:sz w:val="16"/>
              </w:rPr>
              <w:t>Reports &amp; Analytics</w:t>
            </w:r>
          </w:p>
        </w:tc>
        <w:tc>
          <w:tcPr>
            <w:tcW w:type="dxa" w:w="1440"/>
            <w:vAlign w:val="center"/>
          </w:tcPr>
          <w:p>
            <w:pPr>
              <w:spacing w:after="0"/>
              <w:jc w:val="center"/>
            </w:pPr>
            <w:r>
              <w:rPr>
                <w:b/>
                <w:color w:val="AC3D31"/>
                <w:sz w:val="16"/>
              </w:rPr>
              <w:t>20%</w:t>
            </w:r>
          </w:p>
        </w:tc>
        <w:tc>
          <w:tcPr>
            <w:tcW w:type="dxa" w:w="1786"/>
          </w:tcPr>
          <w:p>
            <w:pPr>
              <w:spacing w:after="0"/>
            </w:pPr>
            <w:r>
              <w:rPr>
                <w:sz w:val="16"/>
              </w:rPr>
              <w:t>محدود</w:t>
            </w:r>
          </w:p>
        </w:tc>
        <w:tc>
          <w:tcPr>
            <w:tcW w:type="dxa" w:w="4738"/>
          </w:tcPr>
          <w:p>
            <w:pPr>
              <w:spacing w:after="0"/>
            </w:pPr>
            <w:r>
              <w:rPr>
                <w:sz w:val="16"/>
              </w:rPr>
              <w:t>تقارير مصنع/مختبر/رفض/قابز كاملة</w:t>
            </w:r>
          </w:p>
        </w:tc>
      </w:tr>
      <w:tr>
        <w:tc>
          <w:tcPr>
            <w:tcW w:type="dxa" w:w="2203"/>
          </w:tcPr>
          <w:p>
            <w:pPr>
              <w:spacing w:after="0"/>
            </w:pPr>
            <w:r>
              <w:rPr>
                <w:sz w:val="16"/>
              </w:rPr>
              <w:t>Audit &amp; Traceability</w:t>
            </w:r>
          </w:p>
        </w:tc>
        <w:tc>
          <w:tcPr>
            <w:tcW w:type="dxa" w:w="1440"/>
            <w:vAlign w:val="center"/>
          </w:tcPr>
          <w:p>
            <w:pPr>
              <w:spacing w:after="0"/>
              <w:jc w:val="center"/>
            </w:pPr>
            <w:r>
              <w:rPr>
                <w:b/>
                <w:color w:val="1D7851"/>
                <w:sz w:val="16"/>
              </w:rPr>
              <w:t>65%</w:t>
            </w:r>
          </w:p>
        </w:tc>
        <w:tc>
          <w:tcPr>
            <w:tcW w:type="dxa" w:w="1786"/>
          </w:tcPr>
          <w:p>
            <w:pPr>
              <w:spacing w:after="0"/>
            </w:pPr>
            <w:r>
              <w:rPr>
                <w:sz w:val="16"/>
              </w:rPr>
              <w:t>موجود تقنيًا</w:t>
            </w:r>
          </w:p>
        </w:tc>
        <w:tc>
          <w:tcPr>
            <w:tcW w:type="dxa" w:w="4738"/>
          </w:tcPr>
          <w:p>
            <w:pPr>
              <w:spacing w:after="0"/>
            </w:pPr>
            <w:r>
              <w:rPr>
                <w:sz w:val="16"/>
              </w:rPr>
              <w:t>Traceability lot 360 وevent provenance</w:t>
            </w:r>
          </w:p>
        </w:tc>
      </w:tr>
      <w:tr>
        <w:tc>
          <w:tcPr>
            <w:tcW w:type="dxa" w:w="2203"/>
          </w:tcPr>
          <w:p>
            <w:pPr>
              <w:spacing w:after="0"/>
            </w:pPr>
            <w:r>
              <w:rPr>
                <w:sz w:val="16"/>
              </w:rPr>
              <w:t>Backup &amp; Recovery</w:t>
            </w:r>
          </w:p>
        </w:tc>
        <w:tc>
          <w:tcPr>
            <w:tcW w:type="dxa" w:w="1440"/>
            <w:vAlign w:val="center"/>
          </w:tcPr>
          <w:p>
            <w:pPr>
              <w:spacing w:after="0"/>
              <w:jc w:val="center"/>
            </w:pPr>
            <w:r>
              <w:rPr>
                <w:b/>
                <w:color w:val="B97414"/>
                <w:sz w:val="16"/>
              </w:rPr>
              <w:t>50%</w:t>
            </w:r>
          </w:p>
        </w:tc>
        <w:tc>
          <w:tcPr>
            <w:tcW w:type="dxa" w:w="1786"/>
          </w:tcPr>
          <w:p>
            <w:pPr>
              <w:spacing w:after="0"/>
            </w:pPr>
            <w:r>
              <w:rPr>
                <w:sz w:val="16"/>
              </w:rPr>
              <w:t>موجود جزئيًا</w:t>
            </w:r>
          </w:p>
        </w:tc>
        <w:tc>
          <w:tcPr>
            <w:tcW w:type="dxa" w:w="4738"/>
          </w:tcPr>
          <w:p>
            <w:pPr>
              <w:spacing w:after="0"/>
            </w:pPr>
            <w:r>
              <w:rPr>
                <w:sz w:val="16"/>
              </w:rPr>
              <w:t>جدولة فعلية + RPO/RTO + restore verified</w:t>
            </w:r>
          </w:p>
        </w:tc>
      </w:tr>
      <w:tr>
        <w:tc>
          <w:tcPr>
            <w:tcW w:type="dxa" w:w="2203"/>
          </w:tcPr>
          <w:p>
            <w:pPr>
              <w:spacing w:after="0"/>
            </w:pPr>
            <w:r>
              <w:rPr>
                <w:sz w:val="16"/>
              </w:rPr>
              <w:t>Deployment / CI / UAT</w:t>
            </w:r>
          </w:p>
        </w:tc>
        <w:tc>
          <w:tcPr>
            <w:tcW w:type="dxa" w:w="1440"/>
            <w:vAlign w:val="center"/>
          </w:tcPr>
          <w:p>
            <w:pPr>
              <w:spacing w:after="0"/>
              <w:jc w:val="center"/>
            </w:pPr>
            <w:r>
              <w:rPr>
                <w:b/>
                <w:color w:val="AC3D31"/>
                <w:sz w:val="16"/>
              </w:rPr>
              <w:t>35%</w:t>
            </w:r>
          </w:p>
        </w:tc>
        <w:tc>
          <w:tcPr>
            <w:tcW w:type="dxa" w:w="1786"/>
          </w:tcPr>
          <w:p>
            <w:pPr>
              <w:spacing w:after="0"/>
            </w:pPr>
            <w:r>
              <w:rPr>
                <w:sz w:val="16"/>
              </w:rPr>
              <w:t>محجوب على HEAD</w:t>
            </w:r>
          </w:p>
        </w:tc>
        <w:tc>
          <w:tcPr>
            <w:tcW w:type="dxa" w:w="4738"/>
          </w:tcPr>
          <w:p>
            <w:pPr>
              <w:spacing w:after="0"/>
            </w:pPr>
            <w:r>
              <w:rPr>
                <w:sz w:val="16"/>
              </w:rPr>
              <w:t>بيئة staging، CI ناجح، UAT acceptance</w:t>
            </w:r>
          </w:p>
        </w:tc>
      </w:tr>
      <w:tr>
        <w:tc>
          <w:tcPr>
            <w:tcW w:type="dxa" w:w="2203"/>
          </w:tcPr>
          <w:p>
            <w:pPr>
              <w:spacing w:after="0"/>
            </w:pPr>
            <w:r>
              <w:rPr>
                <w:sz w:val="16"/>
              </w:rPr>
              <w:t>AI Advisory</w:t>
            </w:r>
          </w:p>
        </w:tc>
        <w:tc>
          <w:tcPr>
            <w:tcW w:type="dxa" w:w="1440"/>
            <w:vAlign w:val="center"/>
          </w:tcPr>
          <w:p>
            <w:pPr>
              <w:spacing w:after="0"/>
              <w:jc w:val="center"/>
            </w:pPr>
            <w:r>
              <w:rPr>
                <w:b/>
                <w:color w:val="B97414"/>
                <w:sz w:val="16"/>
              </w:rPr>
              <w:t>60%</w:t>
            </w:r>
          </w:p>
        </w:tc>
        <w:tc>
          <w:tcPr>
            <w:tcW w:type="dxa" w:w="1786"/>
          </w:tcPr>
          <w:p>
            <w:pPr>
              <w:spacing w:after="0"/>
            </w:pPr>
            <w:r>
              <w:rPr>
                <w:sz w:val="16"/>
              </w:rPr>
              <w:t>موجود مع قيود</w:t>
            </w:r>
          </w:p>
        </w:tc>
        <w:tc>
          <w:tcPr>
            <w:tcW w:type="dxa" w:w="4738"/>
          </w:tcPr>
          <w:p>
            <w:pPr>
              <w:spacing w:after="0"/>
            </w:pPr>
            <w:r>
              <w:rPr>
                <w:sz w:val="16"/>
              </w:rPr>
              <w:t>قرار external processing وsecurity review</w:t>
            </w:r>
          </w:p>
        </w:tc>
      </w:tr>
      <w:tr>
        <w:tc>
          <w:tcPr>
            <w:tcW w:type="dxa" w:w="2203"/>
          </w:tcPr>
          <w:p>
            <w:pPr>
              <w:spacing w:after="0"/>
            </w:pPr>
            <w:r>
              <w:rPr>
                <w:sz w:val="16"/>
              </w:rPr>
              <w:t>Cinematic UI</w:t>
            </w:r>
          </w:p>
        </w:tc>
        <w:tc>
          <w:tcPr>
            <w:tcW w:type="dxa" w:w="1440"/>
            <w:vAlign w:val="center"/>
          </w:tcPr>
          <w:p>
            <w:pPr>
              <w:spacing w:after="0"/>
              <w:jc w:val="center"/>
            </w:pPr>
            <w:r>
              <w:rPr>
                <w:b/>
                <w:color w:val="1D7851"/>
                <w:sz w:val="16"/>
              </w:rPr>
              <w:t>70%</w:t>
            </w:r>
          </w:p>
        </w:tc>
        <w:tc>
          <w:tcPr>
            <w:tcW w:type="dxa" w:w="1786"/>
          </w:tcPr>
          <w:p>
            <w:pPr>
              <w:spacing w:after="0"/>
            </w:pPr>
            <w:r>
              <w:rPr>
                <w:sz w:val="16"/>
              </w:rPr>
              <w:t>موجود جزئيًا</w:t>
            </w:r>
          </w:p>
        </w:tc>
        <w:tc>
          <w:tcPr>
            <w:tcW w:type="dxa" w:w="4738"/>
          </w:tcPr>
          <w:p>
            <w:pPr>
              <w:spacing w:after="0"/>
            </w:pPr>
            <w:r>
              <w:rPr>
                <w:sz w:val="16"/>
              </w:rPr>
              <w:t>لا تقديمه على سلامة وسرعة التشغيل</w:t>
            </w:r>
          </w:p>
        </w:tc>
      </w:tr>
    </w:tbl>
    <w:p>
      <w:pPr/>
      <w:r>
        <w:rPr>
          <w:i/>
          <w:color w:val="64748B"/>
          <w:sz w:val="16"/>
        </w:rPr>
        <w:t>النسب الواردة تقدير مراجع مبني على الكود، وليست نسب اختبار. المتوسط = 52.8% ≈ 53%. لا تستخدم لاتخاذ قرار الإفراج عن منتجات الشركة.</w:t>
      </w:r>
    </w:p>
    <w:p>
      <w:pPr>
        <w:pStyle w:val="Heading1"/>
        <w:jc w:val="right"/>
        <w:bidi w:val="1"/>
      </w:pPr>
      <w:r>
        <w:t>4 — الإصلاحات الإلزامية مرتبة بالأولوية</w:t>
      </w:r>
    </w:p>
    <w:p>
      <w:pPr>
        <w:pStyle w:val="Heading2"/>
        <w:jc w:val="right"/>
        <w:bidi w:val="1"/>
      </w:pPr>
      <w:r>
        <w:t>حرج — P0</w:t>
      </w:r>
    </w:p>
    <w:p>
      <w:pPr>
        <w:jc w:val="right"/>
        <w:bidi w:val="1"/>
      </w:pPr>
      <w:r>
        <w:rPr>
          <w:b/>
        </w:rPr>
        <w:t>REL-01 | فشل Verification CI للـHEAD</w:t>
      </w:r>
    </w:p>
    <w:p>
      <w:pPr>
        <w:jc w:val="right"/>
        <w:bidi w:val="1"/>
      </w:pPr>
      <w:r>
        <w:t>الدليل: GitHub Actions: Verify = failure؛ لا يوجد دليل PASS مربوط بهذه النسخة</w:t>
      </w:r>
    </w:p>
    <w:p>
      <w:pPr>
        <w:jc w:val="right"/>
        <w:bidi w:val="1"/>
      </w:pPr>
      <w:r>
        <w:t>الإجراء: قراءة سجل الفشل من بيئة CI وإصلاح السبب الفعلي، ثم نجاح CI كامل على SHA واحد</w:t>
      </w:r>
    </w:p>
    <w:p>
      <w:pPr>
        <w:jc w:val="right"/>
        <w:bidi w:val="1"/>
      </w:pPr>
      <w:r>
        <w:t>القبول: CI ناجح وجميع الوظائف المطلوبة لا تُستثنى دون قرار موثق</w:t>
      </w:r>
    </w:p>
    <w:p>
      <w:pPr>
        <w:jc w:val="right"/>
        <w:bidi w:val="1"/>
      </w:pPr>
      <w:r>
        <w:rPr>
          <w:b/>
        </w:rPr>
        <w:t>REL-02 | GitHub Pages يفشل بمعالج Jekyll غير المناسب لـAstro</w:t>
      </w:r>
    </w:p>
    <w:p>
      <w:pPr>
        <w:jc w:val="right"/>
        <w:bidi w:val="1"/>
      </w:pPr>
      <w:r>
        <w:t>الدليل: Pages build يستخدم Jekyll ويفشل على ملفات .astro؛ هذا لا يثبت فشل astro build</w:t>
      </w:r>
    </w:p>
    <w:p>
      <w:pPr>
        <w:jc w:val="right"/>
        <w:bidi w:val="1"/>
      </w:pPr>
      <w:r>
        <w:t>الإجراء: إيقاف Pages إذا غير مستخدم أو تخصيص مصدر static منفصل، وحصر تطبيق SSR في Render</w:t>
      </w:r>
    </w:p>
    <w:p>
      <w:pPr>
        <w:jc w:val="right"/>
        <w:bidi w:val="1"/>
      </w:pPr>
      <w:r>
        <w:t>القبول: انعدام فشل نشر ضوضائي؛ تحقق من Render بصورة مستقلة</w:t>
      </w:r>
    </w:p>
    <w:p>
      <w:pPr>
        <w:jc w:val="right"/>
        <w:bidi w:val="1"/>
      </w:pPr>
      <w:r>
        <w:rPr>
          <w:b/>
        </w:rPr>
        <w:t>QMS-01 | إنشاء CAPA محجوب</w:t>
      </w:r>
    </w:p>
    <w:p>
      <w:pPr>
        <w:jc w:val="right"/>
        <w:bidi w:val="1"/>
      </w:pPr>
      <w:r>
        <w:t>الدليل: actions/capa.ts + create-capa.ts + postgres-repository.ts ترجع FORBIDDEN/POLICY_SOURCE_REQUIRED</w:t>
      </w:r>
    </w:p>
    <w:p>
      <w:pPr>
        <w:jc w:val="right"/>
        <w:bidi w:val="1"/>
      </w:pPr>
      <w:r>
        <w:t>الإجراء: اعتماد مصدر أهلية NCR/RCA، نموذج الإجراءات، مالكي المهام، خطة الفعالية، ترقيم وسجل تدقيق ثم تفعيل حفظ ذري</w:t>
      </w:r>
    </w:p>
    <w:p>
      <w:pPr>
        <w:jc w:val="right"/>
        <w:bidi w:val="1"/>
      </w:pPr>
      <w:r>
        <w:t>القبول: من NCR مخوّل ينشأ CAPA مع إجراءاتها، يعاد فتحه ويُراجع بدون فقدان</w:t>
      </w:r>
    </w:p>
    <w:p>
      <w:pPr>
        <w:jc w:val="right"/>
        <w:bidi w:val="1"/>
      </w:pPr>
      <w:r>
        <w:rPr>
          <w:b/>
        </w:rPr>
        <w:t>LAB-01 | Retest ما زال POLICY_SOURCE_REQUIRED</w:t>
      </w:r>
    </w:p>
    <w:p>
      <w:pPr>
        <w:jc w:val="right"/>
        <w:bidi w:val="1"/>
      </w:pPr>
      <w:r>
        <w:t>الدليل: laboratory/application/dependencies.ts لا يمرر سياسة Retest، والـfallback يرفض</w:t>
      </w:r>
    </w:p>
    <w:p>
      <w:pPr>
        <w:jc w:val="right"/>
        <w:bidi w:val="1"/>
      </w:pPr>
      <w:r>
        <w:t>الإجراء: ترميز SYS-05=D، 05.1=C، 05.2=A، 05.3=D في سياسة معتمدة وربطها بـuse case</w:t>
      </w:r>
    </w:p>
    <w:p>
      <w:pPr>
        <w:jc w:val="right"/>
        <w:bidi w:val="1"/>
      </w:pPr>
      <w:r>
        <w:t>القبول: حفظ الأصل والإعادة، إعادة واحدة، اعتماد المشرف أو المالك، لا PASS تلقائي</w:t>
      </w:r>
    </w:p>
    <w:p>
      <w:pPr>
        <w:jc w:val="right"/>
        <w:bidi w:val="1"/>
      </w:pPr>
      <w:r>
        <w:rPr>
          <w:b/>
        </w:rPr>
        <w:t>DOC-01 | اعتماد WI/SOP محجوب</w:t>
      </w:r>
    </w:p>
    <w:p>
      <w:pPr>
        <w:jc w:val="right"/>
        <w:bidi w:val="1"/>
      </w:pPr>
      <w:r>
        <w:t>الدليل: documents/application/approve-version.ts يرمي POLICY_SOURCE_REQUIRED دائمًا</w:t>
      </w:r>
    </w:p>
    <w:p>
      <w:pPr>
        <w:jc w:val="right"/>
        <w:bidi w:val="1"/>
      </w:pPr>
      <w:r>
        <w:t>الإجراء: تنفيذ مسار اعتماد المالك الداخلي مع سجل Auditable وفعالية فورية/مجدولة/يدوية حسب SYS-06</w:t>
      </w:r>
    </w:p>
    <w:p>
      <w:pPr>
        <w:jc w:val="right"/>
        <w:bidi w:val="1"/>
      </w:pPr>
      <w:r>
        <w:t>القبول: Draft→Review→Approved→Effective مع تاريخ سريان وارتباط الإصدار المستخدم</w:t>
      </w:r>
    </w:p>
    <w:p>
      <w:pPr>
        <w:jc w:val="right"/>
        <w:bidi w:val="1"/>
      </w:pPr>
      <w:r>
        <w:rPr>
          <w:b/>
        </w:rPr>
        <w:t>APP-01 | استثناء المالك غير معمّم على مسارات المجال</w:t>
      </w:r>
    </w:p>
    <w:p>
      <w:pPr>
        <w:jc w:val="right"/>
        <w:bidi w:val="1"/>
      </w:pPr>
      <w:r>
        <w:t>الدليل: owner-approval-policy.ts موجود، بينما CAPA close/ Lab final/template ceremony ما زالت تطلب توقيعًا</w:t>
      </w:r>
    </w:p>
    <w:p>
      <w:pPr>
        <w:jc w:val="right"/>
        <w:bidi w:val="1"/>
      </w:pPr>
      <w:r>
        <w:t>الإجراء: مصفوفة صلاحيات وإجراءات لكل مجال؛ فصل Owner Internal Approval عن scientific release؛ لا إزالة ضوابط السلامة</w:t>
      </w:r>
    </w:p>
    <w:p>
      <w:pPr>
        <w:jc w:val="right"/>
        <w:bidi w:val="1"/>
      </w:pPr>
      <w:r>
        <w:t>القبول: مسار المالك موحد حيث صُرح به دون إنشاء e-signature زائفة</w:t>
      </w:r>
    </w:p>
    <w:p>
      <w:pPr>
        <w:jc w:val="right"/>
        <w:bidi w:val="1"/>
      </w:pPr>
      <w:r>
        <w:rPr>
          <w:b/>
        </w:rPr>
        <w:t>DATA-01 | البيانات المرجعية الفعلية غير معتمدة للاستيراد</w:t>
      </w:r>
    </w:p>
    <w:p>
      <w:pPr>
        <w:jc w:val="right"/>
        <w:bidi w:val="1"/>
      </w:pPr>
      <w:r>
        <w:t>الدليل: master-data-catalog.ts يعلن PENDING؛ registered-datasets.ts يقتصر على equipment</w:t>
      </w:r>
    </w:p>
    <w:p>
      <w:pPr>
        <w:jc w:val="right"/>
        <w:bidi w:val="1"/>
      </w:pPr>
      <w:r>
        <w:t>الإجراء: اعتماد مصدر Item/Supplier/Site/Equipment/Method وتعيين Owner وترميز import validation والتعديلات</w:t>
      </w:r>
    </w:p>
    <w:p>
      <w:pPr>
        <w:jc w:val="right"/>
        <w:bidi w:val="1"/>
      </w:pPr>
      <w:r>
        <w:t>القبول: كل عناصر التجربة ذات معرفات حقيقية أو عينات منفصلة وموسومة</w:t>
      </w:r>
    </w:p>
    <w:p>
      <w:pPr>
        <w:jc w:val="right"/>
        <w:bidi w:val="1"/>
      </w:pPr>
      <w:r>
        <w:rPr>
          <w:b/>
        </w:rPr>
        <w:t>SAFE-01 | غياب دليل acceptance كامل للبيئة المستهدفة</w:t>
      </w:r>
    </w:p>
    <w:p>
      <w:pPr>
        <w:jc w:val="right"/>
        <w:bidi w:val="1"/>
      </w:pPr>
      <w:r>
        <w:t>الدليل: QC-LAUNCH-024 سابق وBLOCKED، والنسخة الحالية لا تملك قبولًا مرتبطًا بنفس SHA</w:t>
      </w:r>
    </w:p>
    <w:p>
      <w:pPr>
        <w:jc w:val="right"/>
        <w:bidi w:val="1"/>
      </w:pPr>
      <w:r>
        <w:t>الإجراء: إنشاء Staging مع PostgreSQL معزول، UAT وظيفي وأمني، خطة rollback وGo/No-Go</w:t>
      </w:r>
    </w:p>
    <w:p>
      <w:pPr>
        <w:jc w:val="right"/>
        <w:bidi w:val="1"/>
      </w:pPr>
      <w:r>
        <w:t>القبول: محضر اعتماد Pilot مرتبط بنسخة/بيئة/بيانات محددة</w:t>
      </w:r>
    </w:p>
    <w:p>
      <w:pPr>
        <w:jc w:val="right"/>
        <w:bidi w:val="1"/>
      </w:pPr>
      <w:r>
        <w:rPr>
          <w:b/>
        </w:rPr>
        <w:t>QMS-02 | عدم وجود مسار RCA/CAPA/NCR مغلق بالكامل</w:t>
      </w:r>
    </w:p>
    <w:p>
      <w:pPr>
        <w:jc w:val="right"/>
        <w:bidi w:val="1"/>
      </w:pPr>
      <w:r>
        <w:t>الدليل: SYS-01/02/03/04 قرارات مقابلة، لكن المصادر البرمجية والدليل لا تعكسها كلها</w:t>
      </w:r>
    </w:p>
    <w:p>
      <w:pPr>
        <w:jc w:val="right"/>
        <w:bidi w:val="1"/>
      </w:pPr>
      <w:r>
        <w:t>الإجراء: ربط Find→NCR→RCA optional/required by policy→CAPA→Effectiveness؛ إغلاق NCR البسيط مشروط</w:t>
      </w:r>
    </w:p>
    <w:p>
      <w:pPr>
        <w:jc w:val="right"/>
        <w:bidi w:val="1"/>
      </w:pPr>
      <w:r>
        <w:t>القبول: سجل متصل مع قواعد أهلية وتصرف وسبب أدلة وموافقة</w:t>
      </w:r>
    </w:p>
    <w:p>
      <w:pPr>
        <w:jc w:val="right"/>
        <w:bidi w:val="1"/>
      </w:pPr>
      <w:r>
        <w:rPr>
          <w:b/>
        </w:rPr>
        <w:t>REL-03 | فصل اختبار النظام عن استخدامه للإفراج الفعلي عن المنتجات</w:t>
      </w:r>
    </w:p>
    <w:p>
      <w:pPr>
        <w:jc w:val="right"/>
        <w:bidi w:val="1"/>
      </w:pPr>
      <w:r>
        <w:t>الدليل: Receiving release use case لديه حارس صلاحية وحالة، ولكن قبول الشركة غير مثبت</w:t>
      </w:r>
    </w:p>
    <w:p>
      <w:pPr>
        <w:jc w:val="right"/>
        <w:bidi w:val="1"/>
      </w:pPr>
      <w:r>
        <w:t>الإجراء: ابدأ Shadow Mode دون أن تتخذ المنصة قرارات إفراج نافذة حتى اعتماد المستخدمين والمصادر</w:t>
      </w:r>
    </w:p>
    <w:p>
      <w:pPr>
        <w:jc w:val="right"/>
        <w:bidi w:val="1"/>
      </w:pPr>
      <w:r>
        <w:t>القبول: Pilot لا يحرر أي مواد فعلية غير معتمدة خارجيًا</w:t>
      </w:r>
    </w:p>
    <w:p>
      <w:pPr>
        <w:pStyle w:val="Heading2"/>
        <w:jc w:val="right"/>
        <w:bidi w:val="1"/>
      </w:pPr>
      <w:r>
        <w:t>مهم — P1</w:t>
      </w:r>
    </w:p>
    <w:p>
      <w:pPr>
        <w:jc w:val="right"/>
        <w:bidi w:val="1"/>
      </w:pPr>
      <w:r>
        <w:rPr>
          <w:b/>
        </w:rPr>
        <w:t>REJ-01 | مقام نسبة Reject غير موحد</w:t>
      </w:r>
    </w:p>
    <w:p>
      <w:pPr>
        <w:jc w:val="right"/>
        <w:bidi w:val="1"/>
      </w:pPr>
      <w:r>
        <w:t>الدليل: reject-percentage.ts = rejectQty / goodQty؛ مثال العمل rejectQty / totalProduction</w:t>
      </w:r>
    </w:p>
    <w:p>
      <w:pPr>
        <w:jc w:val="right"/>
        <w:bidi w:val="1"/>
      </w:pPr>
      <w:r>
        <w:t>الإجراء: عرف TotalProduced/Good/Reject بوضوح ووحدات متوافقة مع نسخة معادلة مستقلة لكل التقرير</w:t>
      </w:r>
    </w:p>
    <w:p>
      <w:pPr>
        <w:jc w:val="right"/>
        <w:bidi w:val="1"/>
      </w:pPr>
      <w:r>
        <w:t>القبول: 100 reject من 1000 produced = 10% عند استخدام مقام total؛ لا تغيير صامت للسجلات التاريخية</w:t>
      </w:r>
    </w:p>
    <w:p>
      <w:pPr>
        <w:jc w:val="right"/>
        <w:bidi w:val="1"/>
      </w:pPr>
      <w:r>
        <w:rPr>
          <w:b/>
        </w:rPr>
        <w:t>REJ-02 | لا يوجد Workflow Approval تلقائي بناء على الحد الطبيعي</w:t>
      </w:r>
    </w:p>
    <w:p>
      <w:pPr>
        <w:jc w:val="right"/>
        <w:bidi w:val="1"/>
      </w:pPr>
      <w:r>
        <w:t>الدليل: لم يُثبت كود يربط baseline السنوي أو item-lot بنسبة الرفض بمسار موافقة</w:t>
      </w:r>
    </w:p>
    <w:p>
      <w:pPr>
        <w:jc w:val="right"/>
        <w:bidi w:val="1"/>
      </w:pPr>
      <w:r>
        <w:t>الإجراء: جدول قواعد limits مراجعته معتمد + evaluator عند finalize + Approval Case ID + Audit</w:t>
      </w:r>
    </w:p>
    <w:p>
      <w:pPr>
        <w:jc w:val="right"/>
        <w:bidi w:val="1"/>
      </w:pPr>
      <w:r>
        <w:t>القبول: تجاوز حد المنتج يطلب approval ولا ينشئ NCR تلقائيًا</w:t>
      </w:r>
    </w:p>
    <w:p>
      <w:pPr>
        <w:jc w:val="right"/>
        <w:bidi w:val="1"/>
      </w:pPr>
      <w:r>
        <w:rPr>
          <w:b/>
        </w:rPr>
        <w:t>REJ-03 | غياب دليل ربط تشغيلي مع Focus</w:t>
      </w:r>
    </w:p>
    <w:p>
      <w:pPr>
        <w:jc w:val="right"/>
        <w:bidi w:val="1"/>
      </w:pPr>
      <w:r>
        <w:t>الدليل: الرفض يتم داخليًا دون عقد حالة وإيصال Focus مثبت في المصدر</w:t>
      </w:r>
    </w:p>
    <w:p>
      <w:pPr>
        <w:jc w:val="right"/>
        <w:bidi w:val="1"/>
      </w:pPr>
      <w:r>
        <w:t>الإجراء: جدول FocusEntry: PENDING/ENTERED/VERIFIED، معرف خارجي، وقت، موظف، دليل/استثناء</w:t>
      </w:r>
    </w:p>
    <w:p>
      <w:pPr>
        <w:jc w:val="right"/>
        <w:bidi w:val="1"/>
      </w:pPr>
      <w:r>
        <w:t>القبول: QC Compliance يثبت الإدخال يوميًا؛ فصل إنشاء التقرير عن نقله</w:t>
      </w:r>
    </w:p>
    <w:p>
      <w:pPr>
        <w:jc w:val="right"/>
        <w:bidi w:val="1"/>
      </w:pPr>
      <w:r>
        <w:rPr>
          <w:b/>
        </w:rPr>
        <w:t>REJ-04 | موافقات Issue Slip الحالية Creator-confirmed</w:t>
      </w:r>
    </w:p>
    <w:p>
      <w:pPr>
        <w:jc w:val="right"/>
        <w:bidi w:val="1"/>
      </w:pPr>
      <w:r>
        <w:t>الدليل: confirm-issue-slip-approval.ts يتيح للمنشئ تسجيل حصول موافقة بشرية وليس توقيع المراجع</w:t>
      </w:r>
    </w:p>
    <w:p>
      <w:pPr>
        <w:jc w:val="right"/>
        <w:bidi w:val="1"/>
      </w:pPr>
      <w:r>
        <w:t>الإجراء: افصل approval_requested / external_confirmation / recorded_by؛ طابق تسلسل المصنع المعتمد</w:t>
      </w:r>
    </w:p>
    <w:p>
      <w:pPr>
        <w:jc w:val="right"/>
        <w:bidi w:val="1"/>
      </w:pPr>
      <w:r>
        <w:t>القبول: لا يُعرض Confirmed by creator باعتباره توقيع Manager/Director</w:t>
      </w:r>
    </w:p>
    <w:p>
      <w:pPr>
        <w:jc w:val="right"/>
        <w:bidi w:val="1"/>
      </w:pPr>
      <w:r>
        <w:rPr>
          <w:b/>
        </w:rPr>
        <w:t>REJ-05 | توثيق الرفض اليومي يحتاج مسار إنتاج→QC→Supervisor</w:t>
      </w:r>
    </w:p>
    <w:p>
      <w:pPr>
        <w:jc w:val="right"/>
        <w:bidi w:val="1"/>
      </w:pPr>
      <w:r>
        <w:t>الدليل: سير العمل الحالي finalize مقيّد بالمنشئ؛ اعتماد المراجعة الكامل غير مثبت</w:t>
      </w:r>
    </w:p>
    <w:p>
      <w:pPr>
        <w:jc w:val="right"/>
        <w:bidi w:val="1"/>
      </w:pPr>
      <w:r>
        <w:t>الإجراء: أضف مراجعة QC وقرار Supervisor وفق سياسة الشركة ومراحل المصنع الثلاث</w:t>
      </w:r>
    </w:p>
    <w:p>
      <w:pPr>
        <w:jc w:val="right"/>
        <w:bidi w:val="1"/>
      </w:pPr>
      <w:r>
        <w:t>القبول: كل Daily Reject له Creator/Reviewer/Approver وحالة وأزمنة منفصلة</w:t>
      </w:r>
    </w:p>
    <w:p>
      <w:pPr>
        <w:jc w:val="right"/>
        <w:bidi w:val="1"/>
      </w:pPr>
      <w:r>
        <w:rPr>
          <w:b/>
        </w:rPr>
        <w:t>INP-01 | In-Process ليس Inspection</w:t>
      </w:r>
    </w:p>
    <w:p>
      <w:pPr>
        <w:jc w:val="right"/>
        <w:bidi w:val="1"/>
      </w:pPr>
      <w:r>
        <w:t>الدليل: وحدات quarantine inspection قائمة؛ مسار F-823 مستقل بإجراءات WI للمنتجات المحددة غير مثبت</w:t>
      </w:r>
    </w:p>
    <w:p>
      <w:pPr>
        <w:jc w:val="right"/>
        <w:bidi w:val="1"/>
      </w:pPr>
      <w:r>
        <w:t>الإجراء: موديول In-Process Checks يسند WI effective، parameter/sample/line/shift، دون فرض Incoming/Final</w:t>
      </w:r>
    </w:p>
    <w:p>
      <w:pPr>
        <w:jc w:val="right"/>
        <w:bidi w:val="1"/>
      </w:pPr>
      <w:r>
        <w:t>القبول: التسجيل أثناء الإنتاج دون إنشاء Inspection Report نهائي غير مطلوب</w:t>
      </w:r>
    </w:p>
    <w:p>
      <w:pPr>
        <w:jc w:val="right"/>
        <w:bidi w:val="1"/>
      </w:pPr>
      <w:r>
        <w:rPr>
          <w:b/>
        </w:rPr>
        <w:t>TMP-01 | كتالوج Rev14 ليس قوالب Approved جاهزة</w:t>
      </w:r>
    </w:p>
    <w:p>
      <w:pPr>
        <w:jc w:val="right"/>
        <w:bidi w:val="1"/>
      </w:pPr>
      <w:r>
        <w:t>الدليل: 0046 ينشئ inspection_report_catalog وأدلة؛ القائمة ≠ القوالب الفعالة</w:t>
      </w:r>
    </w:p>
    <w:p>
      <w:pPr>
        <w:jc w:val="right"/>
        <w:bidi w:val="1"/>
      </w:pPr>
      <w:r>
        <w:t>الإجراء: نفذ Reconciliation حسب SYS-07 مع مصدر ومراجعة وتاريخ نسخة وحالة Conflict</w:t>
      </w:r>
    </w:p>
    <w:p>
      <w:pPr>
        <w:jc w:val="right"/>
        <w:bidi w:val="1"/>
      </w:pPr>
      <w:r>
        <w:t>القبول: لا يمكن اختيار قالب SOURCE_CONFLICT أو DRAFT للفحص</w:t>
      </w:r>
    </w:p>
    <w:p>
      <w:pPr>
        <w:jc w:val="right"/>
        <w:bidi w:val="1"/>
      </w:pPr>
      <w:r>
        <w:rPr>
          <w:b/>
        </w:rPr>
        <w:t>TMP-02 | ربط Item Code–Template يحتاج مسار اعتماد</w:t>
      </w:r>
    </w:p>
    <w:p>
      <w:pPr>
        <w:jc w:val="right"/>
        <w:bidi w:val="1"/>
      </w:pPr>
      <w:r>
        <w:t>الدليل: 0036 يوجد inspection_item_templates؛ قرار SYS-08=C يعتمد Manual Controlled Mapping</w:t>
      </w:r>
    </w:p>
    <w:p>
      <w:pPr>
        <w:jc w:val="right"/>
        <w:bidi w:val="1"/>
      </w:pPr>
      <w:r>
        <w:t>الإجراء: أضف مراجعة واعتماد Owner وتاريخ فعالية وقيود منع ربطين متداخلين</w:t>
      </w:r>
    </w:p>
    <w:p>
      <w:pPr>
        <w:jc w:val="right"/>
        <w:bidi w:val="1"/>
      </w:pPr>
      <w:r>
        <w:t>القبول: Item + date يعيد قالبًا فعالًا واحدًا أو خطأ واضحًا</w:t>
      </w:r>
    </w:p>
    <w:p>
      <w:pPr>
        <w:jc w:val="right"/>
        <w:bidi w:val="1"/>
      </w:pPr>
      <w:r>
        <w:rPr>
          <w:b/>
        </w:rPr>
        <w:t>DOC-02 | ضبط إصدار المستند أثناء تنفيذ الفحص</w:t>
      </w:r>
    </w:p>
    <w:p>
      <w:pPr>
        <w:jc w:val="right"/>
        <w:bidi w:val="1"/>
      </w:pPr>
      <w:r>
        <w:t>الدليل: 0033/0043 توجد بصمات وربط مستندات</w:t>
      </w:r>
    </w:p>
    <w:p>
      <w:pPr>
        <w:jc w:val="right"/>
        <w:bidi w:val="1"/>
      </w:pPr>
      <w:r>
        <w:t>الإجراء: اقفل نسخة WI/SOP/Template المستخدمة في سجل الفحص عند الإنشاء ولا تحدثها تاريخيًا</w:t>
      </w:r>
    </w:p>
    <w:p>
      <w:pPr>
        <w:jc w:val="right"/>
        <w:bidi w:val="1"/>
      </w:pPr>
      <w:r>
        <w:t>القبول: أي تحديث WI لا يعيد تفسير نتائج سابقة</w:t>
      </w:r>
    </w:p>
    <w:p>
      <w:pPr>
        <w:jc w:val="right"/>
        <w:bidi w:val="1"/>
      </w:pPr>
      <w:r>
        <w:rPr>
          <w:b/>
        </w:rPr>
        <w:t>ASSET-01 | الأجهزة والمعايرة والصيانة</w:t>
      </w:r>
    </w:p>
    <w:p>
      <w:pPr>
        <w:jc w:val="right"/>
        <w:bidi w:val="1"/>
      </w:pPr>
      <w:r>
        <w:t>الدليل: جداول ومراحل موجودة لكن واقع الأجهزة والمواعيد غير مثبت</w:t>
      </w:r>
    </w:p>
    <w:p>
      <w:pPr>
        <w:jc w:val="right"/>
        <w:bidi w:val="1"/>
      </w:pPr>
      <w:r>
        <w:t>الإجراء: أدخل قائمة معدات المؤسسة مع due-dates معتمدة وحظر المعدات غير المؤهلة</w:t>
      </w:r>
    </w:p>
    <w:p>
      <w:pPr>
        <w:jc w:val="right"/>
        <w:bidi w:val="1"/>
      </w:pPr>
      <w:r>
        <w:t>القبول: لا يعتمد اختبار مستخدم معدات Calibration Invalid</w:t>
      </w:r>
    </w:p>
    <w:p>
      <w:pPr>
        <w:jc w:val="right"/>
        <w:bidi w:val="1"/>
      </w:pPr>
      <w:r>
        <w:rPr>
          <w:b/>
        </w:rPr>
        <w:t>LAB-02 | المعايير العلمية وطريقة التقييم</w:t>
      </w:r>
    </w:p>
    <w:p>
      <w:pPr>
        <w:jc w:val="right"/>
        <w:bidi w:val="1"/>
      </w:pPr>
      <w:r>
        <w:t>الدليل: 0037 يضيف قراءات ودورات؛ الحساب مقيد بمعيار Machine-readable Approved</w:t>
      </w:r>
    </w:p>
    <w:p>
      <w:pPr>
        <w:jc w:val="right"/>
        <w:bidi w:val="1"/>
      </w:pPr>
      <w:r>
        <w:t>الإجراء: أضف Source-verified method limits لكل منتج وحماية الحساب من N/A غير مشروع</w:t>
      </w:r>
    </w:p>
    <w:p>
      <w:pPr>
        <w:jc w:val="right"/>
        <w:bidi w:val="1"/>
      </w:pPr>
      <w:r>
        <w:t>القبول: كل PASS/FAIL يذكر method/version/limit/unit/evidence</w:t>
      </w:r>
    </w:p>
    <w:p>
      <w:pPr>
        <w:jc w:val="right"/>
        <w:bidi w:val="1"/>
      </w:pPr>
      <w:r>
        <w:rPr>
          <w:b/>
        </w:rPr>
        <w:t>DATA-02 | فحص ترحيلات SQL في قاعدة الشركة</w:t>
      </w:r>
    </w:p>
    <w:p>
      <w:pPr>
        <w:jc w:val="right"/>
        <w:bidi w:val="1"/>
      </w:pPr>
      <w:r>
        <w:t>الدليل: 49 migration موجودة لكنها لا تثبت أنها Applied؛ 0035/0037 تضيف NOT VALID constraints</w:t>
      </w:r>
    </w:p>
    <w:p>
      <w:pPr>
        <w:jc w:val="right"/>
        <w:bidi w:val="1"/>
      </w:pPr>
      <w:r>
        <w:t>الإجراء: Migration checksum parity؛ استعلام pg_constraint convalidated؛ معالجة historical rows قبل VALIDATE</w:t>
      </w:r>
    </w:p>
    <w:p>
      <w:pPr>
        <w:jc w:val="right"/>
        <w:bidi w:val="1"/>
      </w:pPr>
      <w:r>
        <w:t>القبول: 0 pending migration و0 unexpected invalid constraint بعد reconciliation</w:t>
      </w:r>
    </w:p>
    <w:p>
      <w:pPr>
        <w:jc w:val="right"/>
        <w:bidi w:val="1"/>
      </w:pPr>
      <w:r>
        <w:rPr>
          <w:b/>
        </w:rPr>
        <w:t>OPS-01 | RPO/RTO والتعافي غير معتمدين</w:t>
      </w:r>
    </w:p>
    <w:p>
      <w:pPr>
        <w:jc w:val="right"/>
        <w:bidi w:val="1"/>
      </w:pPr>
      <w:r>
        <w:t>الدليل: RequestRestore يكتب intent PLANNED ولا ينفذ استعادة؛ retention يتطلب سياسة</w:t>
      </w:r>
    </w:p>
    <w:p>
      <w:pPr>
        <w:jc w:val="right"/>
        <w:bidi w:val="1"/>
      </w:pPr>
      <w:r>
        <w:t>الإجراء: اعتمد RPO/RTO وretention والتشفير/حماية النسخ واختبار استعادة معزولة</w:t>
      </w:r>
    </w:p>
    <w:p>
      <w:pPr>
        <w:jc w:val="right"/>
        <w:bidi w:val="1"/>
      </w:pPr>
      <w:r>
        <w:t>القبول: Restore drill مثبت بمراجع artifact والوقت والنطاق دون كشف بيانات</w:t>
      </w:r>
    </w:p>
    <w:p>
      <w:pPr>
        <w:jc w:val="right"/>
        <w:bidi w:val="1"/>
      </w:pPr>
      <w:r>
        <w:rPr>
          <w:b/>
        </w:rPr>
        <w:t>OPS-02 | جدولة تشغيل النسخ والـOutbox</w:t>
      </w:r>
    </w:p>
    <w:p>
      <w:pPr>
        <w:jc w:val="right"/>
        <w:bidi w:val="1"/>
      </w:pPr>
      <w:r>
        <w:t>الدليل: يوجد scripts وCalendarBackupScheduler وworker functions؛ لا دليل تشغيل مجدول في Render</w:t>
      </w:r>
    </w:p>
    <w:p>
      <w:pPr>
        <w:jc w:val="right"/>
        <w:bidi w:val="1"/>
      </w:pPr>
      <w:r>
        <w:t>الإجراء: Cron worker/queue/scheduler فعلي، heartbeat، retry/dead-letter، مراقبة واضحة</w:t>
      </w:r>
    </w:p>
    <w:p>
      <w:pPr>
        <w:jc w:val="right"/>
        <w:bidi w:val="1"/>
      </w:pPr>
      <w:r>
        <w:t>القبول: تصل إشعارات فعلية وتعمل نسخة احتياطية تلقائية وتظهر الأعطال</w:t>
      </w:r>
    </w:p>
    <w:p>
      <w:pPr>
        <w:jc w:val="right"/>
        <w:bidi w:val="1"/>
      </w:pPr>
      <w:r>
        <w:rPr>
          <w:b/>
        </w:rPr>
        <w:t>SEC-01 | صلاحيات الأدوار والنطاق</w:t>
      </w:r>
    </w:p>
    <w:p>
      <w:pPr>
        <w:jc w:val="right"/>
        <w:bidi w:val="1"/>
      </w:pPr>
      <w:r>
        <w:t>الدليل: RBAC موجود لكن صلاحيات كل قسم تحتاج إثبات عبر موظفين حقيقيين</w:t>
      </w:r>
    </w:p>
    <w:p>
      <w:pPr>
        <w:jc w:val="right"/>
        <w:bidi w:val="1"/>
      </w:pPr>
      <w:r>
        <w:t>الإجراء: مصفوفة OWNER/Admin/QCM/Supervisor/Employee عبر 3 shifts وأقسامها، مع اختبارات non-disclosure</w:t>
      </w:r>
    </w:p>
    <w:p>
      <w:pPr>
        <w:jc w:val="right"/>
        <w:bidi w:val="1"/>
      </w:pPr>
      <w:r>
        <w:t>القبول: لا يمكن لمستخدم اعتماد عمله بخلاف الاستثناء الموثق؛ لا كشف بيانات</w:t>
      </w:r>
    </w:p>
    <w:p>
      <w:pPr>
        <w:jc w:val="right"/>
        <w:bidi w:val="1"/>
      </w:pPr>
      <w:r>
        <w:rPr>
          <w:b/>
        </w:rPr>
        <w:t>SEC-02 | سجلات الدخول والأسرار والسياسات</w:t>
      </w:r>
    </w:p>
    <w:p>
      <w:pPr>
        <w:jc w:val="right"/>
        <w:bidi w:val="1"/>
      </w:pPr>
      <w:r>
        <w:t>الدليل: TLS validation وحماية كلمات مرور ظاهرة في المصادر</w:t>
      </w:r>
    </w:p>
    <w:p>
      <w:pPr>
        <w:jc w:val="right"/>
        <w:bidi w:val="1"/>
      </w:pPr>
      <w:r>
        <w:t>الإجراء: معايرة session timeout وMFA حيث مطلوب، credential rotation، access revocation، shared terminals</w:t>
      </w:r>
    </w:p>
    <w:p>
      <w:pPr>
        <w:jc w:val="right"/>
        <w:bidi w:val="1"/>
      </w:pPr>
      <w:r>
        <w:t>القبول: لا توجد حسابات مشتركة بين الشفتات أو بيانات دخول مخزنة في المستودع</w:t>
      </w:r>
    </w:p>
    <w:p>
      <w:pPr>
        <w:jc w:val="right"/>
        <w:bidi w:val="1"/>
      </w:pPr>
      <w:r>
        <w:rPr>
          <w:b/>
        </w:rPr>
        <w:t>REP-01 | Report Registry محدود جدًا</w:t>
      </w:r>
    </w:p>
    <w:p>
      <w:pPr>
        <w:jc w:val="right"/>
        <w:bidi w:val="1"/>
      </w:pPr>
      <w:r>
        <w:t>الدليل: report-registry.ts يسجل QUARANTINE_AGING_REPORT فقط</w:t>
      </w:r>
    </w:p>
    <w:p>
      <w:pPr>
        <w:jc w:val="right"/>
        <w:bidi w:val="1"/>
      </w:pPr>
      <w:r>
        <w:t>الإجراء: قوالب تقارير Incoming/In-process/Lab/Reject/NCR/CAPA/Focus/Calibration/Shift</w:t>
      </w:r>
    </w:p>
    <w:p>
      <w:pPr>
        <w:jc w:val="right"/>
        <w:bidi w:val="1"/>
      </w:pPr>
      <w:r>
        <w:t>القبول: تقرير مع مرشحات ومصدر بيانات وتصدير XLSX والنسخة المتحكم بها</w:t>
      </w:r>
    </w:p>
    <w:p>
      <w:pPr>
        <w:jc w:val="right"/>
        <w:bidi w:val="1"/>
      </w:pPr>
      <w:r>
        <w:rPr>
          <w:b/>
        </w:rPr>
        <w:t>OPS-03 | الاستمرارية والتسليم اليومي بين الشفتات</w:t>
      </w:r>
    </w:p>
    <w:p>
      <w:pPr>
        <w:jc w:val="right"/>
        <w:bidi w:val="1"/>
      </w:pPr>
      <w:r>
        <w:t>الدليل: Work/Tasks/Notifications موجودة دون Shift Handover مثبت</w:t>
      </w:r>
    </w:p>
    <w:p>
      <w:pPr>
        <w:jc w:val="right"/>
        <w:bidi w:val="1"/>
      </w:pPr>
      <w:r>
        <w:t>الإجراء: صفحة Shift Handover للـHOLD والإجراءات المفتوحة والأجهزة غير الجاهزة ومراجعات QA</w:t>
      </w:r>
    </w:p>
    <w:p>
      <w:pPr>
        <w:jc w:val="right"/>
        <w:bidi w:val="1"/>
      </w:pPr>
      <w:r>
        <w:t>القبول: يتسلم الشفت الجديد pending tasks مع acknowledgement</w:t>
      </w:r>
    </w:p>
    <w:p>
      <w:pPr>
        <w:jc w:val="right"/>
        <w:bidi w:val="1"/>
      </w:pPr>
      <w:r>
        <w:rPr>
          <w:b/>
        </w:rPr>
        <w:t>QMS-03 | إدارة الحجز والرفضيّات مع مستودع Quarantine</w:t>
      </w:r>
    </w:p>
    <w:p>
      <w:pPr>
        <w:jc w:val="right"/>
        <w:bidi w:val="1"/>
      </w:pPr>
      <w:r>
        <w:t>الدليل: Receiving HOLD/RELEASE وReject موديولات منفصلة</w:t>
      </w:r>
    </w:p>
    <w:p>
      <w:pPr>
        <w:jc w:val="right"/>
        <w:bidi w:val="1"/>
      </w:pPr>
      <w:r>
        <w:t>الإجراء: ربط Reject Slip→quarantine location→disposition/rework/return/destruction مع الأدلة</w:t>
      </w:r>
    </w:p>
    <w:p>
      <w:pPr>
        <w:jc w:val="right"/>
        <w:bidi w:val="1"/>
      </w:pPr>
      <w:r>
        <w:t>القبول: لا إتلاف/إرجاع/تصرف بلا قرار مختص وسجل Lot كامل</w:t>
      </w:r>
    </w:p>
    <w:p>
      <w:pPr>
        <w:jc w:val="right"/>
        <w:bidi w:val="1"/>
      </w:pPr>
      <w:r>
        <w:rPr>
          <w:b/>
        </w:rPr>
        <w:t>REL-04 | قائمة جاهزية ربط الكود بالأدلة</w:t>
      </w:r>
    </w:p>
    <w:p>
      <w:pPr>
        <w:jc w:val="right"/>
        <w:bidi w:val="1"/>
      </w:pPr>
      <w:r>
        <w:t>الدليل: CI workflow مفصل لكن وضعه على HEAD فشل؛ README status قديم</w:t>
      </w:r>
    </w:p>
    <w:p>
      <w:pPr>
        <w:jc w:val="right"/>
        <w:bidi w:val="1"/>
      </w:pPr>
      <w:r>
        <w:t>الإجراء: Release manifest build + DB head + effective master data + UAT approvals + restore proof</w:t>
      </w:r>
    </w:p>
    <w:p>
      <w:pPr>
        <w:jc w:val="right"/>
        <w:bidi w:val="1"/>
      </w:pPr>
      <w:r>
        <w:t>القبول: Go/No-Go بنسخة sha متطابقة وبوابات لا تقبل أرقامًا مصطنعة</w:t>
      </w:r>
    </w:p>
    <w:p>
      <w:pPr>
        <w:pStyle w:val="Heading2"/>
        <w:jc w:val="right"/>
        <w:bidi w:val="1"/>
      </w:pPr>
      <w:r>
        <w:t>تحسين — P2</w:t>
      </w:r>
    </w:p>
    <w:p>
      <w:pPr>
        <w:jc w:val="right"/>
        <w:bidi w:val="1"/>
      </w:pPr>
      <w:r>
        <w:rPr>
          <w:b/>
        </w:rPr>
        <w:t>ANL-01 | لوحة ذكاء Reject تاريخية دقيقة</w:t>
      </w:r>
    </w:p>
    <w:p>
      <w:pPr>
        <w:jc w:val="right"/>
        <w:bidi w:val="1"/>
      </w:pPr>
      <w:r>
        <w:t>الدليل: Dashboard عام وReject dashboard موجودان</w:t>
      </w:r>
    </w:p>
    <w:p>
      <w:pPr>
        <w:jc w:val="right"/>
        <w:bidi w:val="1"/>
      </w:pPr>
      <w:r>
        <w:t>الإجراء: Trending by item/line/shift/unit/lot؛ Pareto مع قواعد فصل denominator</w:t>
      </w:r>
    </w:p>
    <w:p>
      <w:pPr>
        <w:jc w:val="right"/>
        <w:bidi w:val="1"/>
      </w:pPr>
      <w:r>
        <w:t>القبول: نسب قابلة للمراجعة ورسم source provenance</w:t>
      </w:r>
    </w:p>
    <w:p>
      <w:pPr>
        <w:jc w:val="right"/>
        <w:bidi w:val="1"/>
      </w:pPr>
      <w:r>
        <w:rPr>
          <w:b/>
        </w:rPr>
        <w:t>TRC-01 | Lot Traceability 360°</w:t>
      </w:r>
    </w:p>
    <w:p>
      <w:pPr>
        <w:jc w:val="right"/>
        <w:bidi w:val="1"/>
      </w:pPr>
      <w:r>
        <w:t>الدليل: ربط Lot موجود في Receiving/Inspection/Lab/Reject بنطاقات مختلفة</w:t>
      </w:r>
    </w:p>
    <w:p>
      <w:pPr>
        <w:jc w:val="right"/>
        <w:bidi w:val="1"/>
      </w:pPr>
      <w:r>
        <w:t>الإجراء: Unified Lot Timeline مع روابط أدلة وتاريخ الكائنات دون نسخ بيانات</w:t>
      </w:r>
    </w:p>
    <w:p>
      <w:pPr>
        <w:jc w:val="right"/>
        <w:bidi w:val="1"/>
      </w:pPr>
      <w:r>
        <w:t>القبول: من Lot واحد ترى كل الأحداث المصرح بها فقط</w:t>
      </w:r>
    </w:p>
    <w:p>
      <w:pPr>
        <w:jc w:val="right"/>
        <w:bidi w:val="1"/>
      </w:pPr>
      <w:r>
        <w:rPr>
          <w:b/>
        </w:rPr>
        <w:t>INP-02 | Scan/Barcode/QR للمواد والتتبع</w:t>
      </w:r>
    </w:p>
    <w:p>
      <w:pPr>
        <w:jc w:val="right"/>
        <w:bidi w:val="1"/>
      </w:pPr>
      <w:r>
        <w:t>الدليل: غير مثبت كمسار عام في الكود</w:t>
      </w:r>
    </w:p>
    <w:p>
      <w:pPr>
        <w:jc w:val="right"/>
        <w:bidi w:val="1"/>
      </w:pPr>
      <w:r>
        <w:t>الإجراء: QR/Barcode lookup + إذن قراءة/إدخال، منع ازدواج Lot</w:t>
      </w:r>
    </w:p>
    <w:p>
      <w:pPr>
        <w:jc w:val="right"/>
        <w:bidi w:val="1"/>
      </w:pPr>
      <w:r>
        <w:t>القبول: تخفيض أخطاء الإدخال في المصنع</w:t>
      </w:r>
    </w:p>
    <w:p>
      <w:pPr>
        <w:jc w:val="right"/>
        <w:bidi w:val="1"/>
      </w:pPr>
      <w:r>
        <w:rPr>
          <w:b/>
        </w:rPr>
        <w:t>SEC-03 | صياغة AI Advisory داخل الشركة</w:t>
      </w:r>
    </w:p>
    <w:p>
      <w:pPr>
        <w:jc w:val="right"/>
        <w:bidi w:val="1"/>
      </w:pPr>
      <w:r>
        <w:t>الدليل: AI advisory يقيد الموافقة على external processing ويفصلها عن قرارات QC</w:t>
      </w:r>
    </w:p>
    <w:p>
      <w:pPr>
        <w:jc w:val="right"/>
        <w:bidi w:val="1"/>
      </w:pPr>
      <w:r>
        <w:t>الإجراء: تعطيل الإرسال الخارجي افتراضيًا واشتراط data classification مع policy/log</w:t>
      </w:r>
    </w:p>
    <w:p>
      <w:pPr>
        <w:jc w:val="right"/>
        <w:bidi w:val="1"/>
      </w:pPr>
      <w:r>
        <w:t>القبول: النموذج لا يوافق ولا يحرر منتجًا ولا يحدد حدودًا علمية</w:t>
      </w:r>
    </w:p>
    <w:p>
      <w:pPr>
        <w:jc w:val="right"/>
        <w:bidi w:val="1"/>
      </w:pPr>
      <w:r>
        <w:rPr>
          <w:b/>
        </w:rPr>
        <w:t>UX-01 | QC Universe Story Mode والرسوم</w:t>
      </w:r>
    </w:p>
    <w:p>
      <w:pPr>
        <w:jc w:val="right"/>
        <w:bidi w:val="1"/>
      </w:pPr>
      <w:r>
        <w:t>الدليل: CAPA A Visual CSS موجودة وDashboard متطور</w:t>
      </w:r>
    </w:p>
    <w:p>
      <w:pPr>
        <w:jc w:val="right"/>
        <w:bidi w:val="1"/>
      </w:pPr>
      <w:r>
        <w:t>الإجراء: Story Mode اختياري على Lot واحد بعد استقرار البيانات وUX التشغيل</w:t>
      </w:r>
    </w:p>
    <w:p>
      <w:pPr>
        <w:jc w:val="right"/>
        <w:bidi w:val="1"/>
      </w:pPr>
      <w:r>
        <w:t>القبول: لا إضعاف سرعة إدخال الرفض/التفتيش؛ Sidebar محفوظ</w:t>
      </w:r>
    </w:p>
    <w:p>
      <w:pPr>
        <w:jc w:val="right"/>
        <w:bidi w:val="1"/>
      </w:pPr>
      <w:r>
        <w:rPr>
          <w:b/>
        </w:rPr>
        <w:t>USR-01 | تهيئة العاملين وتبني النظام</w:t>
      </w:r>
    </w:p>
    <w:p>
      <w:pPr>
        <w:jc w:val="right"/>
        <w:bidi w:val="1"/>
      </w:pPr>
      <w:r>
        <w:t>الدليل: إجراءات UI موجودة، لكن التدريب التشغيلي والقبول غير مثبتين</w:t>
      </w:r>
    </w:p>
    <w:p>
      <w:pPr>
        <w:jc w:val="right"/>
        <w:bidi w:val="1"/>
      </w:pPr>
      <w:r>
        <w:t>الإجراء: Role guides + تدريب عملي + SOP adoption + قياس adoption/failures</w:t>
      </w:r>
    </w:p>
    <w:p>
      <w:pPr>
        <w:jc w:val="right"/>
        <w:bidi w:val="1"/>
      </w:pPr>
      <w:r>
        <w:t>القبول: توقيع حضور تدريب محلي، feedback واضح وسجل تحسينات</w:t>
      </w:r>
    </w:p>
    <w:p>
      <w:pPr>
        <w:pStyle w:val="Heading1"/>
        <w:jc w:val="right"/>
        <w:bidi w:val="1"/>
      </w:pPr>
      <w:r>
        <w:t>5 — نموذج شركة الأجهزة الطبية</w:t>
      </w:r>
    </w:p>
    <w:p>
      <w:pPr>
        <w:jc w:val="right"/>
        <w:bidi w:val="1"/>
      </w:pPr>
      <w:r>
        <w:t>رحلة Pilot المقترحة: Receiving → Quarantine/Inspection → Laboratory عند الحاجة → Disposition → Document/Approval Evidence → Reports. بالتوازي Daily Reject → QC check → Supervisor approval → مقارنة بالحد الموثق → Approval Workflow عند التجاوز → QC Compliance إدخال Focus. جميع الروابط تحفظ Lot، هوية المراجع، النسخ وأثر التدقيق.</w:t>
      </w:r>
    </w:p>
    <w:p>
      <w:pPr>
        <w:jc w:val="right"/>
        <w:bidi w:val="1"/>
      </w:pPr>
      <w:r>
        <w:t>In-Process يُنفّذ كمسار منفصل يطبق WI والـF-823 حيث ينطبق؛ لا يجبر المنتجات على Inspection Report أو ISO Test غير مطلوبين.</w:t>
      </w:r>
    </w:p>
    <w:p>
      <w:pPr>
        <w:jc w:val="right"/>
        <w:bidi w:val="1"/>
      </w:pPr>
      <w:r>
        <w:t>مثال: 100 مرفوض / 1000 إنتاج = 10% على أساس TotalProduced، وهو أعلى من 5.44% في سيناريو المستخدم. الكود الحالي يقسم Reject Qty على Good Qty حسب نموذج الورق؛ يجب اعتماد معادلتين منفصلتين أو سياسة موحدة موثقة دون إعادة كتابة الماضي.</w:t>
      </w:r>
    </w:p>
    <w:p>
      <w:pPr>
        <w:pStyle w:val="Heading1"/>
        <w:jc w:val="right"/>
        <w:bidi w:val="1"/>
      </w:pPr>
      <w:r>
        <w:t>6 — بوابات بدء التجربة</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Pr>
          <w:p>
            <w:pPr>
              <w:jc w:val="right"/>
              <w:bidi w:val="1"/>
            </w:pPr>
            <w:r>
              <w:rPr>
                <w:sz w:val="16"/>
              </w:rPr>
              <w:t>Gate</w:t>
            </w:r>
          </w:p>
        </w:tc>
        <w:tc>
          <w:tcPr>
            <w:tcW w:type="dxa" w:w="3389"/>
            <w:vAlign w:val="center"/>
          </w:tcPr>
          <w:p>
            <w:pPr>
              <w:jc w:val="right"/>
              <w:bidi w:val="1"/>
            </w:pPr>
            <w:r>
              <w:rPr>
                <w:sz w:val="16"/>
              </w:rPr>
              <w:t>المتطلبات الأساسية</w:t>
            </w:r>
          </w:p>
        </w:tc>
        <w:tc>
          <w:tcPr>
            <w:tcW w:type="dxa" w:w="3389"/>
            <w:vAlign w:val="center"/>
          </w:tcPr>
          <w:p>
            <w:pPr>
              <w:jc w:val="right"/>
              <w:bidi w:val="1"/>
            </w:pPr>
            <w:r>
              <w:rPr>
                <w:sz w:val="16"/>
              </w:rPr>
              <w:t>الإثبات المطلوب</w:t>
            </w:r>
          </w:p>
        </w:tc>
      </w:tr>
      <w:tr>
        <w:tc>
          <w:tcPr>
            <w:tcW w:type="dxa" w:w="3389"/>
            <w:vAlign w:val="center"/>
          </w:tcPr>
          <w:p>
            <w:pPr>
              <w:jc w:val="right"/>
              <w:bidi w:val="1"/>
            </w:pPr>
            <w:r>
              <w:rPr>
                <w:sz w:val="16"/>
              </w:rPr>
              <w:t>GATE 0 — Stabilize</w:t>
            </w:r>
          </w:p>
        </w:tc>
        <w:tc>
          <w:tcPr>
            <w:tcW w:type="dxa" w:w="3389"/>
            <w:vAlign w:val="center"/>
          </w:tcPr>
          <w:p>
            <w:pPr>
              <w:jc w:val="right"/>
              <w:bidi w:val="1"/>
            </w:pPr>
            <w:r>
              <w:rPr>
                <w:sz w:val="16"/>
              </w:rPr>
              <w:t>إصلاح Verification CI؛ فصل Pages Jekyll عن Astro SSR/Render؛ تثبيت SHA وبيئة Staging مع بيانات صناعية فقط.</w:t>
            </w:r>
          </w:p>
        </w:tc>
        <w:tc>
          <w:tcPr>
            <w:tcW w:type="dxa" w:w="3389"/>
            <w:vAlign w:val="center"/>
          </w:tcPr>
          <w:p>
            <w:pPr>
              <w:jc w:val="right"/>
              <w:bidi w:val="1"/>
            </w:pPr>
            <w:r>
              <w:rPr>
                <w:sz w:val="16"/>
              </w:rPr>
              <w:t>CI green مرتبط SHA؛ DB preflight في staging؛ لا كتابة للإنتاج.</w:t>
            </w:r>
          </w:p>
        </w:tc>
      </w:tr>
      <w:tr>
        <w:tc>
          <w:tcPr>
            <w:tcW w:type="dxa" w:w="3389"/>
            <w:vAlign w:val="center"/>
          </w:tcPr>
          <w:p>
            <w:pPr>
              <w:jc w:val="right"/>
              <w:bidi w:val="1"/>
            </w:pPr>
            <w:r>
              <w:rPr>
                <w:sz w:val="16"/>
              </w:rPr>
              <w:t>GATE 1 — Governed Core</w:t>
            </w:r>
          </w:p>
        </w:tc>
        <w:tc>
          <w:tcPr>
            <w:tcW w:type="dxa" w:w="3389"/>
            <w:vAlign w:val="center"/>
          </w:tcPr>
          <w:p>
            <w:pPr>
              <w:jc w:val="right"/>
              <w:bidi w:val="1"/>
            </w:pPr>
            <w:r>
              <w:rPr>
                <w:sz w:val="16"/>
              </w:rPr>
              <w:t>حسم/ترميز SYS-01..08، CAPA/NCR closure، Retest، WI/SOP approval/effectivity، Owner path، master data.</w:t>
            </w:r>
          </w:p>
        </w:tc>
        <w:tc>
          <w:tcPr>
            <w:tcW w:type="dxa" w:w="3389"/>
            <w:vAlign w:val="center"/>
          </w:tcPr>
          <w:p>
            <w:pPr>
              <w:jc w:val="right"/>
              <w:bidi w:val="1"/>
            </w:pPr>
            <w:r>
              <w:rPr>
                <w:sz w:val="16"/>
              </w:rPr>
              <w:t>سيناريوهات محفوظة end-to-end بالنسخ والتدقيق والاعتمادات الصحيحة.</w:t>
            </w:r>
          </w:p>
        </w:tc>
      </w:tr>
      <w:tr>
        <w:tc>
          <w:tcPr>
            <w:tcW w:type="dxa" w:w="3389"/>
            <w:vAlign w:val="center"/>
          </w:tcPr>
          <w:p>
            <w:pPr>
              <w:jc w:val="right"/>
              <w:bidi w:val="1"/>
            </w:pPr>
            <w:r>
              <w:rPr>
                <w:sz w:val="16"/>
              </w:rPr>
              <w:t>GATE 2 — Factory Pilot</w:t>
            </w:r>
          </w:p>
        </w:tc>
        <w:tc>
          <w:tcPr>
            <w:tcW w:type="dxa" w:w="3389"/>
            <w:vAlign w:val="center"/>
          </w:tcPr>
          <w:p>
            <w:pPr>
              <w:jc w:val="right"/>
              <w:bidi w:val="1"/>
            </w:pPr>
            <w:r>
              <w:rPr>
                <w:sz w:val="16"/>
              </w:rPr>
              <w:t>Receiving→Inspection/HOLD، Lab، Daily Reject + threshold Approval، Issue Slip، Focus، In-process WI؛ مستخدمون ومعدات وتدريب.</w:t>
            </w:r>
          </w:p>
        </w:tc>
        <w:tc>
          <w:tcPr>
            <w:tcW w:type="dxa" w:w="3389"/>
            <w:vAlign w:val="center"/>
          </w:tcPr>
          <w:p>
            <w:pPr>
              <w:jc w:val="right"/>
              <w:bidi w:val="1"/>
            </w:pPr>
            <w:r>
              <w:rPr>
                <w:sz w:val="16"/>
              </w:rPr>
              <w:t>Pilot مستقل/Shadow data، استجابة العاملين، مطابقة التقارير بإجراءات المصنع.</w:t>
            </w:r>
          </w:p>
        </w:tc>
      </w:tr>
      <w:tr>
        <w:tc>
          <w:tcPr>
            <w:tcW w:type="dxa" w:w="3389"/>
            <w:vAlign w:val="center"/>
          </w:tcPr>
          <w:p>
            <w:pPr>
              <w:jc w:val="right"/>
              <w:bidi w:val="1"/>
            </w:pPr>
            <w:r>
              <w:rPr>
                <w:sz w:val="16"/>
              </w:rPr>
              <w:t>GATE 3 — Control &amp; Resilience</w:t>
            </w:r>
          </w:p>
        </w:tc>
        <w:tc>
          <w:tcPr>
            <w:tcW w:type="dxa" w:w="3389"/>
            <w:vAlign w:val="center"/>
          </w:tcPr>
          <w:p>
            <w:pPr>
              <w:jc w:val="right"/>
              <w:bidi w:val="1"/>
            </w:pPr>
            <w:r>
              <w:rPr>
                <w:sz w:val="16"/>
              </w:rPr>
              <w:t>تقارير، عمليات الوردية، إشعارات فعلية، RBAC matrix، Backup/Restore، RPO/RTO، evidence bound release.</w:t>
            </w:r>
          </w:p>
        </w:tc>
        <w:tc>
          <w:tcPr>
            <w:tcW w:type="dxa" w:w="3389"/>
            <w:vAlign w:val="center"/>
          </w:tcPr>
          <w:p>
            <w:pPr>
              <w:jc w:val="right"/>
              <w:bidi w:val="1"/>
            </w:pPr>
            <w:r>
              <w:rPr>
                <w:sz w:val="16"/>
              </w:rPr>
              <w:t>مراجعة إدارة الجودة، خطة رجوع، Drill موثق، تعريف SLA والدعم.</w:t>
            </w:r>
          </w:p>
        </w:tc>
      </w:tr>
      <w:tr>
        <w:tc>
          <w:tcPr>
            <w:tcW w:type="dxa" w:w="3389"/>
            <w:vAlign w:val="center"/>
          </w:tcPr>
          <w:p>
            <w:pPr>
              <w:jc w:val="right"/>
              <w:bidi w:val="1"/>
            </w:pPr>
            <w:r>
              <w:rPr>
                <w:sz w:val="16"/>
              </w:rPr>
              <w:t>GATE 4 — Controlled Rollout</w:t>
            </w:r>
          </w:p>
        </w:tc>
        <w:tc>
          <w:tcPr>
            <w:tcW w:type="dxa" w:w="3389"/>
            <w:vAlign w:val="center"/>
          </w:tcPr>
          <w:p>
            <w:pPr>
              <w:jc w:val="right"/>
              <w:bidi w:val="1"/>
            </w:pPr>
            <w:r>
              <w:rPr>
                <w:sz w:val="16"/>
              </w:rPr>
              <w:t>تدرج منطقة → شفت → مناطق/شفتات، ثم قطع محدود للمصادر المعتمدة فقط.</w:t>
            </w:r>
          </w:p>
        </w:tc>
        <w:tc>
          <w:tcPr>
            <w:tcW w:type="dxa" w:w="3389"/>
            <w:vAlign w:val="center"/>
          </w:tcPr>
          <w:p>
            <w:pPr>
              <w:jc w:val="right"/>
              <w:bidi w:val="1"/>
            </w:pPr>
            <w:r>
              <w:rPr>
                <w:sz w:val="16"/>
              </w:rPr>
              <w:t>لا Go قبل مدير الجودة وصاحب العملية وIT وإثبات PASS لكل Gate.</w:t>
            </w:r>
          </w:p>
        </w:tc>
      </w:tr>
    </w:tbl>
    <w:p>
      <w:pPr>
        <w:pStyle w:val="Heading1"/>
        <w:jc w:val="right"/>
        <w:bidi w:val="1"/>
      </w:pPr>
      <w:r>
        <w:t>7 — SQL: استعلامات قراءة للمراجعة</w:t>
      </w:r>
    </w:p>
    <w:p>
      <w:pPr>
        <w:jc w:val="left"/>
        <w:bidi w:val="1"/>
      </w:pPr>
      <w:r>
        <w:rPr>
          <w:rFonts w:ascii="Consolas" w:hAnsi="Consolas"/>
          <w:sz w:val="14"/>
        </w:rPr>
        <w:t>-- READ ONLY — استعلام سلامة المخطط في بيئة STAGING أو حساب قاعدة بيانات بصلاحية قراءة.</w:t>
      </w:r>
    </w:p>
    <w:p>
      <w:pPr>
        <w:jc w:val="left"/>
        <w:bidi w:val="1"/>
      </w:pPr>
      <w:r>
        <w:rPr>
          <w:rFonts w:ascii="Consolas" w:hAnsi="Consolas"/>
          <w:sz w:val="14"/>
        </w:rPr>
        <w:t>SELECT version, name, applied_at</w:t>
      </w:r>
    </w:p>
    <w:p>
      <w:pPr>
        <w:jc w:val="left"/>
        <w:bidi w:val="1"/>
      </w:pPr>
      <w:r>
        <w:rPr>
          <w:rFonts w:ascii="Consolas" w:hAnsi="Consolas"/>
          <w:sz w:val="14"/>
        </w:rPr>
        <w:t>FROM qc.schema_migrations</w:t>
      </w:r>
    </w:p>
    <w:p>
      <w:pPr>
        <w:jc w:val="left"/>
        <w:bidi w:val="1"/>
      </w:pPr>
      <w:r>
        <w:rPr>
          <w:rFonts w:ascii="Consolas" w:hAnsi="Consolas"/>
          <w:sz w:val="14"/>
        </w:rPr>
        <w:t>ORDER BY version DESC</w:t>
      </w:r>
    </w:p>
    <w:p>
      <w:pPr>
        <w:jc w:val="left"/>
        <w:bidi w:val="1"/>
      </w:pPr>
      <w:r>
        <w:rPr>
          <w:rFonts w:ascii="Consolas" w:hAnsi="Consolas"/>
          <w:sz w:val="14"/>
        </w:rPr>
        <w:t>LIMIT 15;</w:t>
      </w:r>
    </w:p>
    <w:p>
      <w:pPr>
        <w:jc w:val="left"/>
        <w:bidi w:val="1"/>
      </w:pPr>
      <w:r>
        <w:rPr>
          <w:rFonts w:ascii="Consolas" w:hAnsi="Consolas"/>
          <w:sz w:val="14"/>
        </w:rPr>
        <w:t>-- قيود NOT VALID: راجع معناها قبل أي عملية VALIDATE.</w:t>
      </w:r>
    </w:p>
    <w:p>
      <w:pPr>
        <w:jc w:val="left"/>
        <w:bidi w:val="1"/>
      </w:pPr>
      <w:r>
        <w:rPr>
          <w:rFonts w:ascii="Consolas" w:hAnsi="Consolas"/>
          <w:sz w:val="14"/>
        </w:rPr>
        <w:t>SELECT c.conrelid::regclass AS table_name,</w:t>
      </w:r>
    </w:p>
    <w:p>
      <w:pPr>
        <w:jc w:val="left"/>
        <w:bidi w:val="1"/>
      </w:pPr>
      <w:r>
        <w:rPr>
          <w:rFonts w:ascii="Consolas" w:hAnsi="Consolas"/>
          <w:sz w:val="14"/>
        </w:rPr>
        <w:t xml:space="preserve">       c.conname, c.contype, c.convalidated</w:t>
      </w:r>
    </w:p>
    <w:p>
      <w:pPr>
        <w:jc w:val="left"/>
        <w:bidi w:val="1"/>
      </w:pPr>
      <w:r>
        <w:rPr>
          <w:rFonts w:ascii="Consolas" w:hAnsi="Consolas"/>
          <w:sz w:val="14"/>
        </w:rPr>
        <w:t>FROM pg_constraint c</w:t>
      </w:r>
    </w:p>
    <w:p>
      <w:pPr>
        <w:jc w:val="left"/>
        <w:bidi w:val="1"/>
      </w:pPr>
      <w:r>
        <w:rPr>
          <w:rFonts w:ascii="Consolas" w:hAnsi="Consolas"/>
          <w:sz w:val="14"/>
        </w:rPr>
        <w:t>JOIN pg_namespace n ON n.oid=c.connamespace</w:t>
      </w:r>
    </w:p>
    <w:p>
      <w:pPr>
        <w:jc w:val="left"/>
        <w:bidi w:val="1"/>
      </w:pPr>
      <w:r>
        <w:rPr>
          <w:rFonts w:ascii="Consolas" w:hAnsi="Consolas"/>
          <w:sz w:val="14"/>
        </w:rPr>
        <w:t>WHERE n.nspname='qc' AND c.convalidated = false</w:t>
      </w:r>
    </w:p>
    <w:p>
      <w:pPr>
        <w:jc w:val="left"/>
        <w:bidi w:val="1"/>
      </w:pPr>
      <w:r>
        <w:rPr>
          <w:rFonts w:ascii="Consolas" w:hAnsi="Consolas"/>
          <w:sz w:val="14"/>
        </w:rPr>
        <w:t>ORDER BY c.conrelid::regclass::text, c.conname;</w:t>
      </w:r>
    </w:p>
    <w:p>
      <w:pPr>
        <w:jc w:val="left"/>
        <w:bidi w:val="1"/>
      </w:pPr>
      <w:r>
        <w:rPr>
          <w:rFonts w:ascii="Consolas" w:hAnsi="Consolas"/>
          <w:sz w:val="14"/>
        </w:rPr>
        <w:t>-- أكثر الجداول حجمًا؛ يبدأ تحليل الأداء من القياس لا من افتراض غياب Index.</w:t>
      </w:r>
    </w:p>
    <w:p>
      <w:pPr>
        <w:jc w:val="left"/>
        <w:bidi w:val="1"/>
      </w:pPr>
      <w:r>
        <w:rPr>
          <w:rFonts w:ascii="Consolas" w:hAnsi="Consolas"/>
          <w:sz w:val="14"/>
        </w:rPr>
        <w:t>SELECT schemaname, relname,</w:t>
      </w:r>
    </w:p>
    <w:p>
      <w:pPr>
        <w:jc w:val="left"/>
        <w:bidi w:val="1"/>
      </w:pPr>
      <w:r>
        <w:rPr>
          <w:rFonts w:ascii="Consolas" w:hAnsi="Consolas"/>
          <w:sz w:val="14"/>
        </w:rPr>
        <w:t xml:space="preserve">       pg_size_pretty(pg_total_relation_size(relid)) AS total_size,</w:t>
      </w:r>
    </w:p>
    <w:p>
      <w:pPr>
        <w:jc w:val="left"/>
        <w:bidi w:val="1"/>
      </w:pPr>
      <w:r>
        <w:rPr>
          <w:rFonts w:ascii="Consolas" w:hAnsi="Consolas"/>
          <w:sz w:val="14"/>
        </w:rPr>
        <w:t xml:space="preserve">       n_live_tup, n_dead_tup</w:t>
      </w:r>
    </w:p>
    <w:p>
      <w:pPr>
        <w:jc w:val="left"/>
        <w:bidi w:val="1"/>
      </w:pPr>
      <w:r>
        <w:rPr>
          <w:rFonts w:ascii="Consolas" w:hAnsi="Consolas"/>
          <w:sz w:val="14"/>
        </w:rPr>
        <w:t>FROM pg_stat_user_tables</w:t>
      </w:r>
    </w:p>
    <w:p>
      <w:pPr>
        <w:jc w:val="left"/>
        <w:bidi w:val="1"/>
      </w:pPr>
      <w:r>
        <w:rPr>
          <w:rFonts w:ascii="Consolas" w:hAnsi="Consolas"/>
          <w:sz w:val="14"/>
        </w:rPr>
        <w:t>WHERE schemaname='qc'</w:t>
      </w:r>
    </w:p>
    <w:p>
      <w:pPr>
        <w:jc w:val="left"/>
        <w:bidi w:val="1"/>
      </w:pPr>
      <w:r>
        <w:rPr>
          <w:rFonts w:ascii="Consolas" w:hAnsi="Consolas"/>
          <w:sz w:val="14"/>
        </w:rPr>
        <w:t>ORDER BY pg_total_relation_size(relid) DESC LIMIT 20;</w:t>
      </w:r>
    </w:p>
    <w:p>
      <w:pPr>
        <w:pStyle w:val="Heading1"/>
        <w:jc w:val="right"/>
        <w:bidi w:val="1"/>
      </w:pPr>
      <w:r>
        <w:t>8 — المصادر الرئيسية</w:t>
      </w:r>
    </w:p>
    <w:p>
      <w:pPr>
        <w:jc w:val="right"/>
        <w:bidi w:val="1"/>
      </w:pPr>
      <w:r>
        <w:rPr>
          <w:sz w:val="14"/>
        </w:rPr>
        <w:t>Code and repo — https://github.com/YEEEAE/QC-Operations-Laboratory-Management-System</w:t>
      </w:r>
    </w:p>
    <w:p>
      <w:pPr>
        <w:jc w:val="right"/>
        <w:bidi w:val="1"/>
      </w:pPr>
      <w:r>
        <w:rPr>
          <w:sz w:val="14"/>
        </w:rPr>
        <w:t>Version SHA — https://github.com/YEEEAE/QC-Operations-Laboratory-Management-System/commit/d183e6c293f5a7cebb7bf737a40b5cbc2134832d</w:t>
      </w:r>
    </w:p>
    <w:p>
      <w:pPr>
        <w:jc w:val="right"/>
        <w:bidi w:val="1"/>
      </w:pPr>
      <w:r>
        <w:rPr>
          <w:sz w:val="14"/>
        </w:rPr>
        <w:t>Verification CI — https://github.com/YEEEAE/QC-Operations-Laboratory-Management-System/actions/runs/40547574652</w:t>
      </w:r>
    </w:p>
    <w:p>
      <w:pPr>
        <w:jc w:val="right"/>
        <w:bidi w:val="1"/>
      </w:pPr>
      <w:r>
        <w:rPr>
          <w:sz w:val="14"/>
        </w:rPr>
        <w:t>Pages Jekyll build — https://github.com/YEEEAE/QC-Operations-Laboratory-Management-System/actions/runs/40547574047</w:t>
      </w:r>
    </w:p>
    <w:p>
      <w:pPr>
        <w:jc w:val="right"/>
        <w:bidi w:val="1"/>
      </w:pPr>
      <w:r>
        <w:rPr>
          <w:sz w:val="14"/>
        </w:rPr>
        <w:t>CAPA action — https://github.com/YEEEAE/QC-Operations-Laboratory-Management-System/blob/main/src/actions/capa.ts</w:t>
      </w:r>
    </w:p>
    <w:p>
      <w:pPr>
        <w:jc w:val="right"/>
        <w:bidi w:val="1"/>
      </w:pPr>
      <w:r>
        <w:rPr>
          <w:sz w:val="14"/>
        </w:rPr>
        <w:t>Retest application — https://github.com/YEEEAE/QC-Operations-Laboratory-Management-System/blob/main/src/modules/laboratory/application/create-retest.ts</w:t>
      </w:r>
    </w:p>
    <w:p>
      <w:pPr>
        <w:jc w:val="right"/>
        <w:bidi w:val="1"/>
      </w:pPr>
      <w:r>
        <w:rPr>
          <w:sz w:val="14"/>
        </w:rPr>
        <w:t>Document approval — https://github.com/YEEEAE/QC-Operations-Laboratory-Management-System/blob/main/src/modules/documents/application/approve-version.ts</w:t>
      </w:r>
    </w:p>
    <w:p>
      <w:pPr>
        <w:jc w:val="right"/>
        <w:bidi w:val="1"/>
      </w:pPr>
      <w:r>
        <w:rPr>
          <w:sz w:val="14"/>
        </w:rPr>
        <w:t>Reject formula — https://github.com/YEEEAE/QC-Operations-Laboratory-Management-System/blob/main/src/modules/reject-reports/domain/reject-percentage.ts</w:t>
      </w:r>
    </w:p>
    <w:p>
      <w:pPr>
        <w:jc w:val="right"/>
        <w:bidi w:val="1"/>
      </w:pPr>
      <w:r>
        <w:rPr>
          <w:sz w:val="14"/>
        </w:rPr>
        <w:t>Report registry — https://github.com/YEEEAE/QC-Operations-Laboratory-Management-System/blob/main/src/modules/reporting/application/report-registry.ts</w:t>
      </w:r>
    </w:p>
    <w:p>
      <w:pPr>
        <w:jc w:val="right"/>
        <w:bidi w:val="1"/>
      </w:pPr>
      <w:r>
        <w:rPr>
          <w:sz w:val="14"/>
        </w:rPr>
        <w:t>Owner policy — https://github.com/YEEEAE/QC-Operations-Laboratory-Management-System/blob/main/src/modules/approvals/application/owner-approval-policy.ts</w:t>
      </w:r>
    </w:p>
    <w:p>
      <w:pPr>
        <w:jc w:val="right"/>
        <w:bidi w:val="1"/>
      </w:pPr>
      <w:r>
        <w:rPr>
          <w:sz w:val="14"/>
        </w:rPr>
        <w:t>Migration 0049 — https://github.com/YEEEAE/QC-Operations-Laboratory-Management-System/blob/main/db/migrations/0049_owner_approval_authority.sql</w:t>
      </w:r>
    </w:p>
    <w:p>
      <w:pPr>
        <w:jc w:val="right"/>
        <w:bidi w:val="1"/>
      </w:pPr>
      <w:r>
        <w:rPr>
          <w:sz w:val="14"/>
        </w:rPr>
        <w:t>SFDA MDS-REQ10 — https://www.sfda.gov.sa/en/regulations/87120</w:t>
      </w:r>
    </w:p>
    <w:p>
      <w:pPr>
        <w:jc w:val="right"/>
        <w:bidi w:val="1"/>
      </w:pPr>
      <w:r>
        <w:rPr>
          <w:sz w:val="14"/>
        </w:rPr>
        <w:t>SFDA ISO13485 guidance — https://www.sfda.gov.sa/en/guide/17767</w:t>
      </w:r>
    </w:p>
    <w:p>
      <w:pPr>
        <w:pStyle w:val="Heading1"/>
        <w:jc w:val="right"/>
        <w:bidi w:val="1"/>
      </w:pPr>
      <w:r>
        <w:t>حدود التقرير</w:t>
      </w:r>
    </w:p>
    <w:p>
      <w:pPr>
        <w:jc w:val="right"/>
        <w:bidi w:val="1"/>
      </w:pPr>
      <w:r>
        <w:t>لم يجر اختبار بيئة شركة، ولا تدقيق مستندات WI/SOP الأصلية بالكامل، ولا تأكيد شيفرة منشورة أو حالة قاعدة البيانات أو توقيع أصحاب الاعتماد. هذا تقرير مصدر وبرامج إصلاح، وليس شهادة مطابقة ISO 13485 أو تصريح GO-LIVE.</w:t>
      </w:r>
    </w:p>
    <w:sectPr w:rsidR="00FC693F" w:rsidRPr="0006063C" w:rsidSect="00034616">
      <w:footerReference w:type="default" r:id="rId9"/>
      <w:pgSz w:w="12240" w:h="15840"/>
      <w:pgMar w:top="1123"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4"/>
      </w:rPr>
      <w:t>QC Universe  |  Source-Based Enterprise Readiness Review  |  28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30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C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7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2A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