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right"/>
        <w:bidi w:val="1"/>
      </w:pPr>
      <w:r>
        <w:rPr>
          <w:rFonts w:ascii="Amiri" w:hAnsi="Amiri" w:cs="Amiri" w:eastAsia="Amiri"/>
          <w:b/>
          <w:color w:val="153D4F"/>
          <w:sz w:val="40"/>
          <w:rtl w:val="1"/>
        </w:rPr>
        <w:t>إجراء التعامل مع المنتجات المرفوضة وإتلافها</w:t>
      </w:r>
    </w:p>
    <w:p>
      <w:pPr>
        <w:spacing w:before="0" w:after="120"/>
        <w:jc w:val="right"/>
        <w:bidi w:val="1"/>
      </w:pPr>
      <w:r>
        <w:rPr>
          <w:rFonts w:ascii="Amiri" w:hAnsi="Amiri" w:cs="Amiri" w:eastAsia="Amiri"/>
          <w:b/>
          <w:color w:val="124459"/>
          <w:sz w:val="30"/>
          <w:rtl w:val="1"/>
        </w:rPr>
        <w:t>1. الغرض</w:t>
      </w:r>
    </w:p>
    <w:p>
      <w:pPr>
        <w:jc w:val="right"/>
        <w:bidi w:val="1"/>
      </w:pPr>
      <w:r>
        <w:rPr>
          <w:rFonts w:ascii="Amiri" w:hAnsi="Amiri" w:cs="Amiri" w:eastAsia="Amiri"/>
          <w:b w:val="0"/>
          <w:sz w:val="25"/>
          <w:rtl w:val="1"/>
        </w:rPr>
        <w:t>يهدف إجراء التشغيل القياسي (SOP) هذا إلى وضع آلية واضحة وموحّدة للتعامل مع المنتجات المرفوضة الناتجة عن الإنتاج اليومي والمرتجعة من المستودع، والتحقق منها وإتلافها. ويضمن ذلك إمكانية التتبع وسلامة البيانات والالتزام الصارم بحدود الجودة المحددة.</w:t>
      </w:r>
    </w:p>
    <w:p>
      <w:pPr>
        <w:spacing w:before="240" w:after="120"/>
        <w:jc w:val="right"/>
        <w:bidi w:val="1"/>
      </w:pPr>
      <w:r>
        <w:rPr>
          <w:rFonts w:ascii="Amiri" w:hAnsi="Amiri" w:cs="Amiri" w:eastAsia="Amiri"/>
          <w:b/>
          <w:color w:val="124459"/>
          <w:sz w:val="30"/>
          <w:rtl w:val="1"/>
        </w:rPr>
        <w:t>2. نطاق التطبيق</w:t>
      </w:r>
    </w:p>
    <w:p>
      <w:pPr>
        <w:jc w:val="right"/>
        <w:bidi w:val="1"/>
      </w:pPr>
      <w:r>
        <w:rPr>
          <w:rFonts w:ascii="Amiri" w:hAnsi="Amiri" w:cs="Amiri" w:eastAsia="Amiri"/>
          <w:b w:val="0"/>
          <w:sz w:val="25"/>
          <w:rtl w:val="1"/>
        </w:rPr>
        <w:t>ينطبق هذا الإجراء على جميع المواد والمنتجات المرفوضة التي تُحدَّد داخل مناطق الإنتاج، وكذلك المنتجات المرتجعة من المستودع بعد فحوصات OBM ‏(Out of Box Measurement).</w:t>
      </w:r>
    </w:p>
    <w:p>
      <w:pPr>
        <w:spacing w:before="240" w:after="120"/>
        <w:jc w:val="right"/>
        <w:bidi w:val="1"/>
      </w:pPr>
      <w:r>
        <w:rPr>
          <w:rFonts w:ascii="Amiri" w:hAnsi="Amiri" w:cs="Amiri" w:eastAsia="Amiri"/>
          <w:b/>
          <w:color w:val="124459"/>
          <w:sz w:val="30"/>
          <w:rtl w:val="1"/>
        </w:rPr>
        <w:t>3. المسؤوليات</w:t>
      </w:r>
    </w:p>
    <w:p>
      <w:pPr>
        <w:spacing w:after="40"/>
        <w:ind w:right="312" w:hanging="198"/>
        <w:jc w:val="right"/>
        <w:bidi w:val="1"/>
      </w:pPr>
      <w:r>
        <w:rPr>
          <w:rFonts w:ascii="Amiri" w:hAnsi="Amiri" w:cs="Amiri" w:eastAsia="Amiri"/>
          <w:b w:val="0"/>
          <w:sz w:val="25"/>
          <w:rtl w:val="1"/>
        </w:rPr>
        <w:t>• فريق الامتثال في مراقبة الجودة (QC Compliance): المتابعة اليومية، والتحقق العشوائي، وإعداد التقارير.</w:t>
      </w:r>
    </w:p>
    <w:p>
      <w:pPr>
        <w:spacing w:after="40"/>
        <w:ind w:right="312" w:hanging="198"/>
        <w:jc w:val="right"/>
        <w:bidi w:val="1"/>
      </w:pPr>
      <w:r>
        <w:rPr>
          <w:rFonts w:ascii="Amiri" w:hAnsi="Amiri" w:cs="Amiri" w:eastAsia="Amiri"/>
          <w:b w:val="0"/>
          <w:sz w:val="25"/>
          <w:rtl w:val="1"/>
        </w:rPr>
        <w:t>• مشرفو المناطق: التحقق الفعلي من المنتجات المرفوضة ومنح الموافقة الأولية عليها.</w:t>
      </w:r>
    </w:p>
    <w:p>
      <w:pPr>
        <w:spacing w:after="40"/>
        <w:ind w:right="312" w:hanging="198"/>
        <w:jc w:val="right"/>
        <w:bidi w:val="1"/>
      </w:pPr>
      <w:r>
        <w:rPr>
          <w:rFonts w:ascii="Amiri" w:hAnsi="Amiri" w:cs="Amiri" w:eastAsia="Amiri"/>
          <w:b w:val="0"/>
          <w:sz w:val="25"/>
          <w:rtl w:val="1"/>
        </w:rPr>
        <w:t>• مدير الجودة: مراجعة تقارير الرفض والإتلاف واعتمادها.</w:t>
      </w:r>
    </w:p>
    <w:p>
      <w:pPr>
        <w:spacing w:after="40"/>
        <w:ind w:right="312" w:hanging="198"/>
        <w:jc w:val="right"/>
        <w:bidi w:val="1"/>
      </w:pPr>
      <w:r>
        <w:rPr>
          <w:rFonts w:ascii="Amiri" w:hAnsi="Amiri" w:cs="Amiri" w:eastAsia="Amiri"/>
          <w:b w:val="0"/>
          <w:sz w:val="25"/>
          <w:rtl w:val="1"/>
        </w:rPr>
        <w:t>• مدير المصنع: منح التفويض النهائي بالإتلاف.</w:t>
      </w:r>
    </w:p>
    <w:p>
      <w:pPr>
        <w:spacing w:after="40"/>
        <w:ind w:right="312" w:hanging="198"/>
        <w:jc w:val="right"/>
        <w:bidi w:val="1"/>
      </w:pPr>
      <w:r>
        <w:rPr>
          <w:rFonts w:ascii="Amiri" w:hAnsi="Amiri" w:cs="Amiri" w:eastAsia="Amiri"/>
          <w:b w:val="0"/>
          <w:sz w:val="25"/>
          <w:rtl w:val="1"/>
        </w:rPr>
        <w:t>• فريق OBM: فحص المنتجات المرتجعة من المستودع.</w:t>
      </w:r>
    </w:p>
    <w:p>
      <w:pPr>
        <w:spacing w:before="240" w:after="120"/>
        <w:jc w:val="right"/>
        <w:bidi w:val="1"/>
      </w:pPr>
      <w:r>
        <w:rPr>
          <w:rFonts w:ascii="Amiri" w:hAnsi="Amiri" w:cs="Amiri" w:eastAsia="Amiri"/>
          <w:b/>
          <w:color w:val="124459"/>
          <w:sz w:val="30"/>
          <w:rtl w:val="1"/>
        </w:rPr>
        <w:t>4. الإجراء</w:t>
      </w:r>
    </w:p>
    <w:p>
      <w:pPr>
        <w:spacing w:before="160" w:after="80"/>
        <w:jc w:val="right"/>
        <w:bidi w:val="1"/>
      </w:pPr>
      <w:r>
        <w:rPr>
          <w:rFonts w:ascii="Amiri" w:hAnsi="Amiri" w:cs="Amiri" w:eastAsia="Amiri"/>
          <w:b/>
          <w:color w:val="233A45"/>
          <w:sz w:val="27"/>
          <w:rtl w:val="1"/>
        </w:rPr>
        <w:t>4.1 المنتجات المرفوضة من الإنتاج اليومي</w:t>
      </w:r>
    </w:p>
    <w:p>
      <w:pPr>
        <w:jc w:val="right"/>
        <w:bidi w:val="1"/>
      </w:pPr>
      <w:r>
        <w:rPr>
          <w:rFonts w:ascii="Amiri" w:hAnsi="Amiri" w:cs="Amiri" w:eastAsia="Amiri"/>
          <w:b w:val="0"/>
          <w:sz w:val="25"/>
          <w:rtl w:val="1"/>
        </w:rPr>
        <w:t>يدخل فريق الامتثال في مراقبة الجودة إلى أرضية المصنع يوميًا لمراقبة مناطق الرفض في كل منطقة إنتاج ومتابعتها، مع التركيز على مراجعة المنتجات المرفوضة الناتجة عن إنتاج اليوم السابق.</w:t>
      </w:r>
    </w:p>
    <w:p>
      <w:pPr>
        <w:spacing w:before="160" w:after="80"/>
        <w:jc w:val="right"/>
        <w:bidi w:val="1"/>
      </w:pPr>
      <w:r>
        <w:rPr>
          <w:rFonts w:ascii="Amiri" w:hAnsi="Amiri" w:cs="Amiri" w:eastAsia="Amiri"/>
          <w:b/>
          <w:color w:val="233A45"/>
          <w:sz w:val="27"/>
          <w:rtl w:val="1"/>
        </w:rPr>
        <w:t>أ. نسبة الرفض الأقل من ٢٫٥٪ (الإجراء الاعتيادي)</w:t>
      </w:r>
    </w:p>
    <w:p>
      <w:pPr>
        <w:spacing w:after="40"/>
        <w:ind w:right="312" w:hanging="198"/>
        <w:jc w:val="right"/>
        <w:bidi w:val="1"/>
      </w:pPr>
      <w:r>
        <w:rPr>
          <w:rFonts w:ascii="Amiri" w:hAnsi="Amiri" w:cs="Amiri" w:eastAsia="Amiri"/>
          <w:b w:val="0"/>
          <w:sz w:val="25"/>
          <w:rtl w:val="1"/>
        </w:rPr>
        <w:t>• إذا كانت نسبة الرفض اليومية في منطقة معينة أقل من ٢٫٥٪، فيتم التعامل معها من خلال التقرير اليومي الاعتيادي.</w:t>
      </w:r>
    </w:p>
    <w:p>
      <w:pPr>
        <w:spacing w:after="40"/>
        <w:ind w:right="312" w:hanging="198"/>
        <w:jc w:val="right"/>
        <w:bidi w:val="1"/>
      </w:pPr>
      <w:r>
        <w:rPr>
          <w:rFonts w:ascii="Amiri" w:hAnsi="Amiri" w:cs="Amiri" w:eastAsia="Amiri"/>
          <w:b w:val="0"/>
          <w:sz w:val="25"/>
          <w:rtl w:val="1"/>
        </w:rPr>
        <w:t>• يجري فريق الامتثال في مراقبة الجودة فحصًا عشوائيًا للمنتجات المرفوضة.</w:t>
      </w:r>
    </w:p>
    <w:p>
      <w:pPr>
        <w:spacing w:after="40"/>
        <w:ind w:right="312" w:hanging="198"/>
        <w:jc w:val="right"/>
        <w:bidi w:val="1"/>
      </w:pPr>
      <w:r>
        <w:rPr>
          <w:rFonts w:ascii="Amiri" w:hAnsi="Amiri" w:cs="Amiri" w:eastAsia="Amiri"/>
          <w:b w:val="0"/>
          <w:sz w:val="25"/>
          <w:rtl w:val="1"/>
        </w:rPr>
        <w:t>• خلال هذا الفحص، يتحقق الفاحص مما يلي:</w:t>
      </w:r>
    </w:p>
    <w:p>
      <w:pPr>
        <w:spacing w:after="40"/>
        <w:ind w:right="595" w:hanging="198"/>
        <w:jc w:val="right"/>
        <w:bidi w:val="1"/>
      </w:pPr>
      <w:r>
        <w:rPr>
          <w:rFonts w:ascii="Amiri" w:hAnsi="Amiri" w:cs="Amiri" w:eastAsia="Amiri"/>
          <w:b w:val="0"/>
          <w:sz w:val="25"/>
          <w:rtl w:val="1"/>
        </w:rPr>
        <w:t>– الحالة الفعلية للمنتجات التالفة.</w:t>
      </w:r>
    </w:p>
    <w:p>
      <w:pPr>
        <w:spacing w:after="40"/>
        <w:ind w:right="595" w:hanging="198"/>
        <w:jc w:val="right"/>
        <w:bidi w:val="1"/>
      </w:pPr>
      <w:r>
        <w:rPr>
          <w:rFonts w:ascii="Amiri" w:hAnsi="Amiri" w:cs="Amiri" w:eastAsia="Amiri"/>
          <w:b w:val="0"/>
          <w:sz w:val="25"/>
          <w:rtl w:val="1"/>
        </w:rPr>
        <w:t>– صحة بطاقات الرفض المرفقة بالمنتجات.</w:t>
      </w:r>
    </w:p>
    <w:p>
      <w:pPr>
        <w:spacing w:after="40"/>
        <w:ind w:right="595" w:hanging="198"/>
        <w:jc w:val="right"/>
        <w:bidi w:val="1"/>
      </w:pPr>
      <w:r>
        <w:rPr>
          <w:rFonts w:ascii="Amiri" w:hAnsi="Amiri" w:cs="Amiri" w:eastAsia="Amiri"/>
          <w:b w:val="0"/>
          <w:sz w:val="25"/>
          <w:rtl w:val="1"/>
        </w:rPr>
        <w:t>– صحة البيانات المُدخلة في التقارير اليومية وسلامتها.</w:t>
      </w:r>
    </w:p>
    <w:p>
      <w:pPr>
        <w:spacing w:after="40"/>
        <w:ind w:right="595" w:hanging="198"/>
        <w:jc w:val="right"/>
        <w:bidi w:val="1"/>
      </w:pPr>
      <w:r>
        <w:rPr>
          <w:rFonts w:ascii="Amiri" w:hAnsi="Amiri" w:cs="Amiri" w:eastAsia="Amiri"/>
          <w:b w:val="0"/>
          <w:sz w:val="25"/>
          <w:rtl w:val="1"/>
        </w:rPr>
        <w:t>– صحة رقم التشغيلة (Lot Number).</w:t>
      </w:r>
    </w:p>
    <w:p>
      <w:pPr>
        <w:spacing w:after="40"/>
        <w:ind w:right="595" w:hanging="198"/>
        <w:jc w:val="right"/>
        <w:bidi w:val="1"/>
      </w:pPr>
      <w:r>
        <w:rPr>
          <w:rFonts w:ascii="Amiri" w:hAnsi="Amiri" w:cs="Amiri" w:eastAsia="Amiri"/>
          <w:b w:val="0"/>
          <w:sz w:val="25"/>
          <w:rtl w:val="1"/>
        </w:rPr>
        <w:t>– صحة التاريخ.</w:t>
      </w:r>
    </w:p>
    <w:p>
      <w:pPr>
        <w:spacing w:after="40"/>
        <w:ind w:right="595" w:hanging="198"/>
        <w:jc w:val="right"/>
        <w:bidi w:val="1"/>
      </w:pPr>
      <w:r>
        <w:rPr>
          <w:rFonts w:ascii="Amiri" w:hAnsi="Amiri" w:cs="Amiri" w:eastAsia="Amiri"/>
          <w:b w:val="0"/>
          <w:sz w:val="25"/>
          <w:rtl w:val="1"/>
        </w:rPr>
        <w:t>– سبب الرفض المحدد.</w:t>
      </w:r>
    </w:p>
    <w:p>
      <w:pPr>
        <w:spacing w:after="40"/>
        <w:ind w:right="595" w:hanging="198"/>
        <w:jc w:val="right"/>
        <w:bidi w:val="1"/>
      </w:pPr>
      <w:r>
        <w:rPr>
          <w:rFonts w:ascii="Amiri" w:hAnsi="Amiri" w:cs="Amiri" w:eastAsia="Amiri"/>
          <w:b w:val="0"/>
          <w:sz w:val="25"/>
          <w:rtl w:val="1"/>
        </w:rPr>
        <w:t>– صحة رمز المنتج (Product Code).</w:t>
      </w:r>
    </w:p>
    <w:p>
      <w:pPr>
        <w:spacing w:after="40"/>
        <w:ind w:right="312" w:hanging="198"/>
        <w:jc w:val="right"/>
        <w:bidi w:val="1"/>
      </w:pPr>
      <w:r>
        <w:rPr>
          <w:rFonts w:ascii="Amiri" w:hAnsi="Amiri" w:cs="Amiri" w:eastAsia="Amiri"/>
          <w:b w:val="0"/>
          <w:sz w:val="25"/>
          <w:rtl w:val="1"/>
        </w:rPr>
        <w:t>• بعد اكتمال التحقق، يُحفَظ التقرير اليومي الاعتيادي ويُسجَّل.</w:t>
      </w:r>
    </w:p>
    <w:p>
      <w:pPr>
        <w:spacing w:before="160" w:after="80"/>
        <w:jc w:val="right"/>
        <w:bidi w:val="1"/>
      </w:pPr>
      <w:r>
        <w:rPr>
          <w:rFonts w:ascii="Amiri" w:hAnsi="Amiri" w:cs="Amiri" w:eastAsia="Amiri"/>
          <w:b/>
          <w:color w:val="233A45"/>
          <w:sz w:val="27"/>
          <w:rtl w:val="1"/>
        </w:rPr>
        <w:t>ب. نسبة الرفض التي تتجاوز ٢٫٥٪ (الإجراء الحرج)</w:t>
      </w:r>
    </w:p>
    <w:p>
      <w:pPr>
        <w:spacing w:after="40"/>
        <w:ind w:right="312" w:hanging="198"/>
        <w:jc w:val="right"/>
        <w:bidi w:val="1"/>
      </w:pPr>
      <w:r>
        <w:rPr>
          <w:rFonts w:ascii="Amiri" w:hAnsi="Amiri" w:cs="Amiri" w:eastAsia="Amiri"/>
          <w:b w:val="0"/>
          <w:sz w:val="25"/>
          <w:rtl w:val="1"/>
        </w:rPr>
        <w:t>• إذا تجاوزت نسبة الرفض اليومية في أي منطقة ٢٫٥٪، فلا يعود التقرير اليومي الاعتيادي كافيًا.</w:t>
      </w:r>
    </w:p>
    <w:p>
      <w:pPr>
        <w:spacing w:after="40"/>
        <w:ind w:right="312" w:hanging="198"/>
        <w:jc w:val="right"/>
        <w:bidi w:val="1"/>
      </w:pPr>
      <w:r>
        <w:rPr>
          <w:rFonts w:ascii="Amiri" w:hAnsi="Amiri" w:cs="Amiri" w:eastAsia="Amiri"/>
          <w:b w:val="0"/>
          <w:sz w:val="25"/>
          <w:rtl w:val="1"/>
        </w:rPr>
        <w:t>• يجب إصدار تقرير مستقل ومخصص للرفض والإتلاف (Reject &amp; Disposal Report).</w:t>
      </w:r>
    </w:p>
    <w:p>
      <w:pPr>
        <w:spacing w:after="40"/>
        <w:ind w:right="312" w:hanging="198"/>
        <w:jc w:val="right"/>
        <w:bidi w:val="1"/>
      </w:pPr>
      <w:r>
        <w:rPr>
          <w:rFonts w:ascii="Amiri" w:hAnsi="Amiri" w:cs="Amiri" w:eastAsia="Amiri"/>
          <w:b w:val="0"/>
          <w:sz w:val="25"/>
          <w:rtl w:val="1"/>
        </w:rPr>
        <w:t>• يُمنع منعًا باتًا الإتلاف الفعلي لهذه المنتجات إلى حين استكمال سلسلة الاعتمادات المطلوبة.</w:t>
      </w:r>
    </w:p>
    <w:p>
      <w:pPr>
        <w:spacing w:after="40"/>
        <w:ind w:right="312" w:hanging="198"/>
        <w:jc w:val="right"/>
        <w:bidi w:val="1"/>
      </w:pPr>
      <w:r>
        <w:rPr>
          <w:rFonts w:ascii="Amiri" w:hAnsi="Amiri" w:cs="Amiri" w:eastAsia="Amiri"/>
          <w:b w:val="0"/>
          <w:sz w:val="25"/>
          <w:rtl w:val="1"/>
        </w:rPr>
        <w:t>• يجب مراجعة التقرير وتوقيعه واعتماده من الأشخاص التاليين:</w:t>
      </w:r>
    </w:p>
    <w:p>
      <w:pPr>
        <w:spacing w:after="40"/>
        <w:ind w:right="595" w:hanging="198"/>
        <w:jc w:val="right"/>
        <w:bidi w:val="1"/>
      </w:pPr>
      <w:r>
        <w:rPr>
          <w:rFonts w:ascii="Amiri" w:hAnsi="Amiri" w:cs="Amiri" w:eastAsia="Amiri"/>
          <w:b w:val="0"/>
          <w:sz w:val="25"/>
          <w:rtl w:val="1"/>
        </w:rPr>
        <w:t>– 1. مشرف المنطقة.</w:t>
      </w:r>
    </w:p>
    <w:p>
      <w:pPr>
        <w:spacing w:after="40"/>
        <w:ind w:right="595" w:hanging="198"/>
        <w:jc w:val="right"/>
        <w:bidi w:val="1"/>
      </w:pPr>
      <w:r>
        <w:rPr>
          <w:rFonts w:ascii="Amiri" w:hAnsi="Amiri" w:cs="Amiri" w:eastAsia="Amiri"/>
          <w:b w:val="0"/>
          <w:sz w:val="25"/>
          <w:rtl w:val="1"/>
        </w:rPr>
        <w:t>– 2. مدير الجودة.</w:t>
      </w:r>
    </w:p>
    <w:p>
      <w:pPr>
        <w:spacing w:after="40"/>
        <w:ind w:right="595" w:hanging="198"/>
        <w:jc w:val="right"/>
        <w:bidi w:val="1"/>
      </w:pPr>
      <w:r>
        <w:rPr>
          <w:rFonts w:ascii="Amiri" w:hAnsi="Amiri" w:cs="Amiri" w:eastAsia="Amiri"/>
          <w:b w:val="0"/>
          <w:sz w:val="25"/>
          <w:rtl w:val="1"/>
        </w:rPr>
        <w:t>– 3. مدير المصنع.</w:t>
      </w:r>
    </w:p>
    <w:p>
      <w:pPr>
        <w:spacing w:after="40"/>
        <w:ind w:right="312" w:hanging="198"/>
        <w:jc w:val="right"/>
        <w:bidi w:val="1"/>
      </w:pPr>
      <w:r>
        <w:rPr>
          <w:rFonts w:ascii="Amiri" w:hAnsi="Amiri" w:cs="Amiri" w:eastAsia="Amiri"/>
          <w:b w:val="0"/>
          <w:sz w:val="25"/>
          <w:rtl w:val="1"/>
        </w:rPr>
        <w:t>• لا يجوز تنفيذ الإتلاف الفعلي للمنتجات إلا بعد الحصول على التواقيع الثلاثة جميعها على التقرير المخصص.</w:t>
      </w:r>
    </w:p>
    <w:p>
      <w:pPr>
        <w:spacing w:before="160" w:after="80"/>
        <w:jc w:val="right"/>
        <w:bidi w:val="1"/>
      </w:pPr>
      <w:r>
        <w:rPr>
          <w:rFonts w:ascii="Amiri" w:hAnsi="Amiri" w:cs="Amiri" w:eastAsia="Amiri"/>
          <w:b/>
          <w:color w:val="233A45"/>
          <w:sz w:val="27"/>
          <w:rtl w:val="1"/>
        </w:rPr>
        <w:t>4.2 المرتجعات من المستودع (بعد فحص OBM)</w:t>
      </w:r>
    </w:p>
    <w:p>
      <w:pPr>
        <w:jc w:val="right"/>
        <w:bidi w:val="1"/>
      </w:pPr>
      <w:r>
        <w:rPr>
          <w:rFonts w:ascii="Amiri" w:hAnsi="Amiri" w:cs="Amiri" w:eastAsia="Amiri"/>
          <w:b w:val="0"/>
          <w:sz w:val="25"/>
          <w:rtl w:val="1"/>
        </w:rPr>
        <w:t>عند إرجاع المنتجات من المستودع، يخضع كل منها لفحص شامل يجريه فريق OBM. وإذا عُثر على منتجات مرفوضة خلال هذا الفحص، تُطبَّق الخطوات التالية:</w:t>
      </w:r>
    </w:p>
    <w:p>
      <w:pPr>
        <w:spacing w:before="160" w:after="80"/>
        <w:jc w:val="right"/>
        <w:bidi w:val="1"/>
      </w:pPr>
      <w:r>
        <w:rPr>
          <w:rFonts w:ascii="Amiri" w:hAnsi="Amiri" w:cs="Amiri" w:eastAsia="Amiri"/>
          <w:b/>
          <w:color w:val="233A45"/>
          <w:sz w:val="27"/>
          <w:rtl w:val="1"/>
        </w:rPr>
        <w:t>أ. نسبة الرفض في فحص OBM الأقل من ٢٫٥٪</w:t>
      </w:r>
    </w:p>
    <w:p>
      <w:pPr>
        <w:spacing w:after="40"/>
        <w:ind w:right="312" w:hanging="198"/>
        <w:jc w:val="right"/>
        <w:bidi w:val="1"/>
      </w:pPr>
      <w:r>
        <w:rPr>
          <w:rFonts w:ascii="Amiri" w:hAnsi="Amiri" w:cs="Amiri" w:eastAsia="Amiri"/>
          <w:b w:val="0"/>
          <w:sz w:val="25"/>
          <w:rtl w:val="1"/>
        </w:rPr>
        <w:t>• إذا أظهر فحص OBM أن نسبة الرفض أقل من ٢٫٥٪، فيجري فريق الامتثال في مراقبة الجودة تحققًا عشوائيًا من المنتجات المرفوضة.</w:t>
      </w:r>
    </w:p>
    <w:p>
      <w:pPr>
        <w:spacing w:after="40"/>
        <w:ind w:right="312" w:hanging="198"/>
        <w:jc w:val="right"/>
        <w:bidi w:val="1"/>
      </w:pPr>
      <w:r>
        <w:rPr>
          <w:rFonts w:ascii="Amiri" w:hAnsi="Amiri" w:cs="Amiri" w:eastAsia="Amiri"/>
          <w:b w:val="0"/>
          <w:sz w:val="25"/>
          <w:rtl w:val="1"/>
        </w:rPr>
        <w:t>• بعد نجاح التحقق، تُدخَل المنتجات المرفوضة والبيانات المرتبطة بها في نظام Focus لأغراض حفظ السجلات وإمكانية التتبع.</w:t>
      </w:r>
    </w:p>
    <w:p>
      <w:pPr>
        <w:spacing w:before="160" w:after="80"/>
        <w:jc w:val="right"/>
        <w:bidi w:val="1"/>
      </w:pPr>
      <w:r>
        <w:rPr>
          <w:rFonts w:ascii="Amiri" w:hAnsi="Amiri" w:cs="Amiri" w:eastAsia="Amiri"/>
          <w:b/>
          <w:color w:val="233A45"/>
          <w:sz w:val="27"/>
          <w:rtl w:val="1"/>
        </w:rPr>
        <w:t>ب. نسبة الرفض في فحص OBM التي تتجاوز ٢٫٥٪</w:t>
      </w:r>
    </w:p>
    <w:p>
      <w:pPr>
        <w:spacing w:after="40"/>
        <w:ind w:right="312" w:hanging="198"/>
        <w:jc w:val="right"/>
        <w:bidi w:val="1"/>
      </w:pPr>
      <w:r>
        <w:rPr>
          <w:rFonts w:ascii="Amiri" w:hAnsi="Amiri" w:cs="Amiri" w:eastAsia="Amiri"/>
          <w:b w:val="0"/>
          <w:sz w:val="25"/>
          <w:rtl w:val="1"/>
        </w:rPr>
        <w:t>• إذا أظهر فحص OBM أن نسبة الرفض تتجاوز ٢٫٥٪، فيجب إعداد تقرير منفصل ومستقل للرفض والإتلاف.</w:t>
      </w:r>
    </w:p>
    <w:p>
      <w:pPr>
        <w:spacing w:after="40"/>
        <w:ind w:right="312" w:hanging="198"/>
        <w:jc w:val="right"/>
        <w:bidi w:val="1"/>
      </w:pPr>
      <w:r>
        <w:rPr>
          <w:rFonts w:ascii="Amiri" w:hAnsi="Amiri" w:cs="Amiri" w:eastAsia="Amiri"/>
          <w:b w:val="0"/>
          <w:sz w:val="25"/>
          <w:rtl w:val="1"/>
        </w:rPr>
        <w:t>• يتطلب هذا التقرير المراجعة والاعتماد بالتوقيع من:</w:t>
      </w:r>
    </w:p>
    <w:p>
      <w:pPr>
        <w:spacing w:after="40"/>
        <w:ind w:right="595" w:hanging="198"/>
        <w:jc w:val="right"/>
        <w:bidi w:val="1"/>
      </w:pPr>
      <w:r>
        <w:rPr>
          <w:rFonts w:ascii="Amiri" w:hAnsi="Amiri" w:cs="Amiri" w:eastAsia="Amiri"/>
          <w:b w:val="0"/>
          <w:sz w:val="25"/>
          <w:rtl w:val="1"/>
        </w:rPr>
        <w:t>– 1. مشرف المنطقة.</w:t>
      </w:r>
    </w:p>
    <w:p>
      <w:pPr>
        <w:spacing w:after="40"/>
        <w:ind w:right="595" w:hanging="198"/>
        <w:jc w:val="right"/>
        <w:bidi w:val="1"/>
      </w:pPr>
      <w:r>
        <w:rPr>
          <w:rFonts w:ascii="Amiri" w:hAnsi="Amiri" w:cs="Amiri" w:eastAsia="Amiri"/>
          <w:b w:val="0"/>
          <w:sz w:val="25"/>
          <w:rtl w:val="1"/>
        </w:rPr>
        <w:t>– 2. مدير الجودة.</w:t>
      </w:r>
    </w:p>
    <w:p>
      <w:pPr>
        <w:spacing w:after="40"/>
        <w:ind w:right="595" w:hanging="198"/>
        <w:jc w:val="right"/>
        <w:bidi w:val="1"/>
      </w:pPr>
      <w:r>
        <w:rPr>
          <w:rFonts w:ascii="Amiri" w:hAnsi="Amiri" w:cs="Amiri" w:eastAsia="Amiri"/>
          <w:b w:val="0"/>
          <w:sz w:val="25"/>
          <w:rtl w:val="1"/>
        </w:rPr>
        <w:t>– 3. مدير المصنع.</w:t>
      </w:r>
    </w:p>
    <w:p>
      <w:pPr>
        <w:spacing w:after="40"/>
        <w:ind w:right="312" w:hanging="198"/>
        <w:jc w:val="right"/>
        <w:bidi w:val="1"/>
      </w:pPr>
      <w:r>
        <w:rPr>
          <w:rFonts w:ascii="Amiri" w:hAnsi="Amiri" w:cs="Amiri" w:eastAsia="Amiri"/>
          <w:b w:val="0"/>
          <w:sz w:val="25"/>
          <w:rtl w:val="1"/>
        </w:rPr>
        <w:t>• بعد الحصول على الاعتمادات، يجب إعادة المنتجات المرفوضة إلى المستودع.</w:t>
      </w:r>
    </w:p>
    <w:p>
      <w:pPr>
        <w:spacing w:after="40"/>
        <w:ind w:right="312" w:hanging="198"/>
        <w:jc w:val="right"/>
        <w:bidi w:val="1"/>
      </w:pPr>
      <w:r>
        <w:rPr>
          <w:rFonts w:ascii="Amiri" w:hAnsi="Amiri" w:cs="Amiri" w:eastAsia="Amiri"/>
          <w:b w:val="0"/>
          <w:sz w:val="25"/>
          <w:rtl w:val="1"/>
        </w:rPr>
        <w:t>• يجب إرسال بريد إلكتروني رسمي إلى فريق المستودع، على أن يتضمن:</w:t>
      </w:r>
    </w:p>
    <w:p>
      <w:pPr>
        <w:spacing w:after="40"/>
        <w:ind w:right="595" w:hanging="198"/>
        <w:jc w:val="right"/>
        <w:bidi w:val="1"/>
      </w:pPr>
      <w:r>
        <w:rPr>
          <w:rFonts w:ascii="Amiri" w:hAnsi="Amiri" w:cs="Amiri" w:eastAsia="Amiri"/>
          <w:b w:val="0"/>
          <w:sz w:val="25"/>
          <w:rtl w:val="1"/>
        </w:rPr>
        <w:t>– تقرير الرفض والإتلاف مرفقًا.</w:t>
      </w:r>
    </w:p>
    <w:p>
      <w:pPr>
        <w:spacing w:after="40"/>
        <w:ind w:right="595" w:hanging="198"/>
        <w:jc w:val="right"/>
        <w:bidi w:val="1"/>
      </w:pPr>
      <w:r>
        <w:rPr>
          <w:rFonts w:ascii="Amiri" w:hAnsi="Amiri" w:cs="Amiri" w:eastAsia="Amiri"/>
          <w:b w:val="0"/>
          <w:sz w:val="25"/>
          <w:rtl w:val="1"/>
        </w:rPr>
        <w:t>– الاعتمادات الموقعة من فريق الإدارة.</w:t>
      </w:r>
    </w:p>
    <w:p>
      <w:pPr>
        <w:spacing w:after="40"/>
        <w:ind w:right="312" w:hanging="198"/>
        <w:jc w:val="right"/>
        <w:bidi w:val="1"/>
      </w:pPr>
      <w:r>
        <w:rPr>
          <w:rFonts w:ascii="Amiri" w:hAnsi="Amiri" w:cs="Amiri" w:eastAsia="Amiri"/>
          <w:b w:val="0"/>
          <w:sz w:val="25"/>
          <w:rtl w:val="1"/>
        </w:rPr>
        <w:t>• ينفذ فريق المستودع الإتلاف الفعلي لهذه المنتجات داخل المستودع نفسه، استنادًا إلى المستندات المستلمة.</w:t>
      </w:r>
    </w:p>
    <w:p>
      <w:pPr>
        <w:spacing w:before="240" w:after="120"/>
        <w:jc w:val="right"/>
        <w:bidi w:val="1"/>
      </w:pPr>
      <w:r>
        <w:rPr>
          <w:rFonts w:ascii="Amiri" w:hAnsi="Amiri" w:cs="Amiri" w:eastAsia="Amiri"/>
          <w:b/>
          <w:color w:val="124459"/>
          <w:sz w:val="30"/>
          <w:rtl w:val="1"/>
        </w:rPr>
        <w:t>5. السجلات والتوثيق</w:t>
      </w:r>
    </w:p>
    <w:p>
      <w:pPr>
        <w:spacing w:after="40"/>
        <w:ind w:right="312" w:hanging="198"/>
        <w:jc w:val="right"/>
        <w:bidi w:val="1"/>
      </w:pPr>
      <w:r>
        <w:rPr>
          <w:rFonts w:ascii="Amiri" w:hAnsi="Amiri" w:cs="Amiri" w:eastAsia="Amiri"/>
          <w:b w:val="0"/>
          <w:sz w:val="25"/>
          <w:rtl w:val="1"/>
        </w:rPr>
        <w:t>• تقارير الرفض اليومية للإنتاج.</w:t>
      </w:r>
    </w:p>
    <w:p>
      <w:pPr>
        <w:spacing w:after="40"/>
        <w:ind w:right="312" w:hanging="198"/>
        <w:jc w:val="right"/>
        <w:bidi w:val="1"/>
      </w:pPr>
      <w:r>
        <w:rPr>
          <w:rFonts w:ascii="Amiri" w:hAnsi="Amiri" w:cs="Amiri" w:eastAsia="Amiri"/>
          <w:b w:val="0"/>
          <w:sz w:val="25"/>
          <w:rtl w:val="1"/>
        </w:rPr>
        <w:t>• تقارير الرفض والإتلاف المخصصة للحالات التي تتجاوز فيها نسبة الرفض ٢٫٥٪.</w:t>
      </w:r>
    </w:p>
    <w:p>
      <w:pPr>
        <w:spacing w:after="40"/>
        <w:ind w:right="312" w:hanging="198"/>
        <w:jc w:val="right"/>
        <w:bidi w:val="1"/>
      </w:pPr>
      <w:r>
        <w:rPr>
          <w:rFonts w:ascii="Amiri" w:hAnsi="Amiri" w:cs="Amiri" w:eastAsia="Amiri"/>
          <w:b w:val="0"/>
          <w:sz w:val="25"/>
          <w:rtl w:val="1"/>
        </w:rPr>
        <w:t>• القيود المُدخلة في نظام Focus.</w:t>
      </w:r>
    </w:p>
    <w:p>
      <w:pPr>
        <w:spacing w:after="40"/>
        <w:ind w:right="312" w:hanging="198"/>
        <w:jc w:val="right"/>
        <w:bidi w:val="1"/>
      </w:pPr>
      <w:r>
        <w:rPr>
          <w:rFonts w:ascii="Amiri" w:hAnsi="Amiri" w:cs="Amiri" w:eastAsia="Amiri"/>
          <w:b w:val="0"/>
          <w:sz w:val="25"/>
          <w:rtl w:val="1"/>
        </w:rPr>
        <w:t>• رسائل البريد الإلكتروني الخاصة بالاعتمادات والتواقيع.</w:t>
      </w:r>
    </w:p>
    <w:sectPr w:rsidR="00FC693F" w:rsidRPr="0006063C" w:rsidSect="00034616">
      <w:headerReference w:type="default" r:id="rId9"/>
      <w:footerReference w:type="default" r:id="rId10"/>
      <w:pgSz w:w="11906" w:h="16838"/>
      <w:pgMar w:top="1389" w:right="1247" w:bottom="1134" w:left="1247"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miri" w:hAnsi="Amiri" w:cs="Amiri" w:eastAsia="Amiri"/>
        <w:b w:val="0"/>
        <w:sz w:val="20"/>
        <w:rtl w:val="1"/>
      </w:rPr>
      <w:t xml:space="preserve">REJ  |  Rev. 1  |  صفحة </w:t>
    </w:r>
    <w:fldSimple w:instr="PAGE"/>
    <w:r>
      <w:rPr>
        <w:rFonts w:ascii="Amiri" w:hAnsi="Amiri" w:cs="Amiri" w:eastAsia="Amiri"/>
        <w:b w:val="0"/>
        <w:sz w:val="20"/>
        <w:rtl w:val="1"/>
      </w:rPr>
      <w:t xml:space="preserve"> من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miri" w:hAnsi="Amiri" w:cs="Amiri" w:eastAsia="Amiri"/>
        <w:b/>
        <w:color w:val="243847"/>
        <w:sz w:val="24"/>
        <w:rtl w:val="1"/>
      </w:rPr>
      <w:t>شركة سعودي ميس للمنتجات الطبية</w:t>
    </w:r>
  </w:p>
  <w:p>
    <w:pPr>
      <w:jc w:val="right"/>
      <w:bidi w:val="1"/>
    </w:pPr>
    <w:r>
      <w:rPr>
        <w:rFonts w:ascii="Amiri" w:hAnsi="Amiri" w:cs="Amiri" w:eastAsia="Amiri"/>
        <w:b w:val="0"/>
        <w:color w:val="4B5962"/>
        <w:sz w:val="20"/>
        <w:rtl w:val="1"/>
      </w:rPr>
      <w:t>إجراء ضبط الجودة   |   رقم المستند: REJ   |   المراجعة: 1   |   التاريخ: 15.05.2026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1" w:lineRule="auto"/>
    </w:pPr>
    <w:rPr>
      <w:rFonts w:ascii="Amiri" w:hAnsi="Amiri"/>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