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Reject Handling and Destruction Procedure</w:t>
      </w:r>
    </w:p>
    <w:tbl>
      <w:tblPr>
        <w:tblW w:type="auto" w:w="0"/>
        <w:jc w:val="center"/>
        <w:tblLayout w:type="fixed"/>
        <w:tblLook w:firstColumn="1" w:firstRow="1" w:lastColumn="0" w:lastRow="0" w:noHBand="0" w:noVBand="1" w:val="04A0"/>
      </w:tblPr>
      <w:tblGrid>
        <w:gridCol w:w="2347"/>
        <w:gridCol w:w="7200"/>
      </w:tblGrid>
      <w:tr>
        <w:trPr>
          <w:tblHeader w:val="true"/>
          <w:cantSplit/>
        </w:trPr>
        <w:tc>
          <w:tcPr>
            <w:tcW w:type="dxa" w:w="2347"/>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CONTROL FIELD</w:t>
            </w:r>
          </w:p>
        </w:tc>
        <w:tc>
          <w:tcPr>
            <w:tcW w:type="dxa" w:w="7200"/>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DOCUMENT INFORMATION</w:t>
            </w:r>
          </w:p>
        </w:tc>
      </w:tr>
      <w:tr>
        <w:trPr>
          <w:cantSplit/>
        </w:trPr>
        <w:tc>
          <w:tcPr>
            <w:tcW w:type="dxa" w:w="2347"/>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Document reference</w:t>
            </w:r>
          </w:p>
        </w:tc>
        <w:tc>
          <w:tcPr>
            <w:tcW w:type="dxa" w:w="7200"/>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REJ (revision pending approval)</w:t>
            </w:r>
          </w:p>
        </w:tc>
      </w:tr>
      <w:tr>
        <w:trPr>
          <w:cantSplit/>
        </w:trPr>
        <w:tc>
          <w:tcPr>
            <w:tcW w:type="dxa" w:w="2347"/>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Status</w:t>
            </w:r>
          </w:p>
        </w:tc>
        <w:tc>
          <w:tcPr>
            <w:tcW w:type="dxa" w:w="7200"/>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Proposed revised SOP — not approved / not yet effective</w:t>
            </w:r>
          </w:p>
        </w:tc>
      </w:tr>
      <w:tr>
        <w:trPr>
          <w:cantSplit/>
        </w:trPr>
        <w:tc>
          <w:tcPr>
            <w:tcW w:type="dxa" w:w="2347"/>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Based on</w:t>
            </w:r>
          </w:p>
        </w:tc>
        <w:tc>
          <w:tcPr>
            <w:tcW w:type="dxa" w:w="7200"/>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REJ Rev. 1, dated 15.05.2026; plus requested Quarantine/OBM amendments and the supplied Rejection Slip example.</w:t>
            </w:r>
          </w:p>
        </w:tc>
      </w:tr>
      <w:tr>
        <w:trPr>
          <w:cantSplit/>
        </w:trPr>
        <w:tc>
          <w:tcPr>
            <w:tcW w:type="dxa" w:w="2347"/>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Linked form</w:t>
            </w:r>
          </w:p>
        </w:tc>
        <w:tc>
          <w:tcPr>
            <w:tcW w:type="dxa" w:w="7200"/>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F-7-5-7-8 — Rejection Slip for Material / Products / Parts</w:t>
            </w:r>
          </w:p>
        </w:tc>
      </w:tr>
    </w:tbl>
    <w:p>
      <w:pPr>
        <w:spacing w:after="0"/>
      </w:pPr>
    </w:p>
    <w:p>
      <w:pPr>
        <w:pStyle w:val="Heading1"/>
      </w:pPr>
      <w:r>
        <w:t>1. Purpose</w:t>
      </w:r>
    </w:p>
    <w:p>
      <w:r>
        <w:t>To establish a standardized and traceable method for identifying, verifying, documenting, approving, transferring, and disposing of rejected materials and products generated by daily production, Quarantine inspection, and Out of Box Measurement (OBM) activities. The procedure defines when the controlled rejection slip is required and which approvals must be obtained before an authorized disposition.</w:t>
      </w:r>
    </w:p>
    <w:p>
      <w:pPr>
        <w:pStyle w:val="Heading1"/>
      </w:pPr>
      <w:r>
        <w:t>2. Scope</w:t>
      </w:r>
    </w:p>
    <w:p>
      <w:r>
        <w:t>This SOP covers rejected materials, products, and parts from (a) production areas, (b) Quarantine following inspection, and (c) warehouse-related OBM inspection. It applies to QC Compliance, the originating area, applicable supervisors, quality management, factory management, and the warehouse team.</w:t>
      </w:r>
    </w:p>
    <w:p>
      <w:pPr>
        <w:pStyle w:val="Heading1"/>
      </w:pPr>
      <w:r>
        <w:t>3. Definitions and referenced form</w:t>
      </w:r>
    </w:p>
    <w:tbl>
      <w:tblPr>
        <w:tblW w:type="auto" w:w="0"/>
        <w:jc w:val="center"/>
        <w:tblLayout w:type="fixed"/>
        <w:tblLook w:firstColumn="1" w:firstRow="1" w:lastColumn="0" w:lastRow="0" w:noHBand="0" w:noVBand="1" w:val="04A0"/>
      </w:tblPr>
      <w:tblGrid>
        <w:gridCol w:w="2232"/>
        <w:gridCol w:w="7315"/>
      </w:tblGrid>
      <w:tr>
        <w:trPr>
          <w:tblHeader w:val="true"/>
          <w:cantSplit/>
        </w:trPr>
        <w:tc>
          <w:tcPr>
            <w:tcW w:type="dxa" w:w="2232"/>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TERM</w:t>
            </w:r>
          </w:p>
        </w:tc>
        <w:tc>
          <w:tcPr>
            <w:tcW w:type="dxa" w:w="7315"/>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DESCRIPTION</w:t>
            </w:r>
          </w:p>
        </w:tc>
      </w:tr>
      <w:tr>
        <w:trPr>
          <w:cantSplit/>
        </w:trPr>
        <w:tc>
          <w:tcPr>
            <w:tcW w:type="dxa" w:w="2232"/>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Quarantine reject</w:t>
            </w:r>
          </w:p>
        </w:tc>
        <w:tc>
          <w:tcPr>
            <w:tcW w:type="dxa" w:w="7315"/>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A product or material identified as rejected through an inspection performed while held in Quarantine.</w:t>
            </w:r>
          </w:p>
        </w:tc>
      </w:tr>
      <w:tr>
        <w:trPr>
          <w:cantSplit/>
        </w:trPr>
        <w:tc>
          <w:tcPr>
            <w:tcW w:type="dxa" w:w="2232"/>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OBM reject</w:t>
            </w:r>
          </w:p>
        </w:tc>
        <w:tc>
          <w:tcPr>
            <w:tcW w:type="dxa" w:w="7315"/>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A product found to be rejected during an OBM inspection associated with warehouse products or returns.</w:t>
            </w:r>
          </w:p>
        </w:tc>
      </w:tr>
      <w:tr>
        <w:trPr>
          <w:cantSplit/>
        </w:trPr>
        <w:tc>
          <w:tcPr>
            <w:tcW w:type="dxa" w:w="2232"/>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Rejection Slip</w:t>
            </w:r>
          </w:p>
        </w:tc>
        <w:tc>
          <w:tcPr>
            <w:tcW w:type="dxa" w:w="7315"/>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Form F-7-5-7-8, titled “Rejection Slip for Material / Products / Parts”; used to record rejection details, proposed disposition, review, and required management signatures.</w:t>
            </w:r>
          </w:p>
        </w:tc>
      </w:tr>
      <w:tr>
        <w:trPr>
          <w:cantSplit/>
        </w:trPr>
        <w:tc>
          <w:tcPr>
            <w:tcW w:type="dxa" w:w="2232"/>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Dedicated Reject &amp; Disposal Report</w:t>
            </w:r>
          </w:p>
        </w:tc>
        <w:tc>
          <w:tcPr>
            <w:tcW w:type="dxa" w:w="7315"/>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Additional detailed report required under the original SOP when the applicable daily production or OBM reject rate exceeds 2.5%.</w:t>
            </w:r>
          </w:p>
        </w:tc>
      </w:tr>
      <w:tr>
        <w:trPr>
          <w:cantSplit/>
        </w:trPr>
        <w:tc>
          <w:tcPr>
            <w:tcW w:type="dxa" w:w="2232"/>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Focus system</w:t>
            </w:r>
          </w:p>
        </w:tc>
        <w:tc>
          <w:tcPr>
            <w:tcW w:type="dxa" w:w="7315"/>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System named in the original SOP for recording verified OBM rejects and maintaining traceability.</w:t>
            </w:r>
          </w:p>
        </w:tc>
      </w:tr>
    </w:tbl>
    <w:p>
      <w:pPr>
        <w:spacing w:after="0"/>
      </w:pPr>
    </w:p>
    <w:p>
      <w:pPr>
        <w:pStyle w:val="Heading1"/>
      </w:pPr>
      <w:r>
        <w:t>4. Responsibilities</w:t>
      </w:r>
    </w:p>
    <w:tbl>
      <w:tblPr>
        <w:tblW w:type="auto" w:w="0"/>
        <w:jc w:val="center"/>
        <w:tblLayout w:type="fixed"/>
        <w:tblLook w:firstColumn="1" w:firstRow="1" w:lastColumn="0" w:lastRow="0" w:noHBand="0" w:noVBand="1" w:val="04A0"/>
      </w:tblPr>
      <w:tblGrid>
        <w:gridCol w:w="2491"/>
        <w:gridCol w:w="7056"/>
      </w:tblGrid>
      <w:tr>
        <w:trPr>
          <w:tblHeader w:val="true"/>
          <w:cantSplit/>
        </w:trPr>
        <w:tc>
          <w:tcPr>
            <w:tcW w:type="dxa" w:w="2491"/>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ROLE</w:t>
            </w:r>
          </w:p>
        </w:tc>
        <w:tc>
          <w:tcPr>
            <w:tcW w:type="dxa" w:w="7056"/>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RESPONSIBILITY</w:t>
            </w:r>
          </w:p>
        </w:tc>
      </w:tr>
      <w:tr>
        <w:trPr>
          <w:cantSplit/>
        </w:trPr>
        <w:tc>
          <w:tcPr>
            <w:tcW w:type="dxa" w:w="2491"/>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Originating department / Area Supervisor</w:t>
            </w:r>
          </w:p>
        </w:tc>
        <w:tc>
          <w:tcPr>
            <w:tcW w:type="dxa" w:w="7056"/>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Identify and separate rejects; supply complete reject data; physically verify rejects and approve elevated production/OBM reports where the original SOP requires it.</w:t>
            </w:r>
          </w:p>
        </w:tc>
      </w:tr>
      <w:tr>
        <w:trPr>
          <w:cantSplit/>
        </w:trPr>
        <w:tc>
          <w:tcPr>
            <w:tcW w:type="dxa" w:w="2491"/>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Quarantine / inspection personnel</w:t>
            </w:r>
          </w:p>
        </w:tc>
        <w:tc>
          <w:tcPr>
            <w:tcW w:type="dxa" w:w="7056"/>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Provide QC Compliance with the applicable inspection report and a representative rejected sample, identified to the relevant product and lot.</w:t>
            </w:r>
          </w:p>
        </w:tc>
      </w:tr>
      <w:tr>
        <w:trPr>
          <w:cantSplit/>
        </w:trPr>
        <w:tc>
          <w:tcPr>
            <w:tcW w:type="dxa" w:w="2491"/>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OBM Team</w:t>
            </w:r>
          </w:p>
        </w:tc>
        <w:tc>
          <w:tcPr>
            <w:tcW w:type="dxa" w:w="7056"/>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Inspect warehouse-related products; identify rejected items; provide OBM findings and supporting data to QC Compliance.</w:t>
            </w:r>
          </w:p>
        </w:tc>
      </w:tr>
      <w:tr>
        <w:trPr>
          <w:cantSplit/>
        </w:trPr>
        <w:tc>
          <w:tcPr>
            <w:tcW w:type="dxa" w:w="2491"/>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QC Compliance Team</w:t>
            </w:r>
          </w:p>
        </w:tc>
        <w:tc>
          <w:tcPr>
            <w:tcW w:type="dxa" w:w="7056"/>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Monitor daily rejects, conduct required random verification, verify Quarantine evidence, prepare the rejection slip and related reports, retain records, and coordinate signed documentation.</w:t>
            </w:r>
          </w:p>
        </w:tc>
      </w:tr>
      <w:tr>
        <w:trPr>
          <w:cantSplit/>
        </w:trPr>
        <w:tc>
          <w:tcPr>
            <w:tcW w:type="dxa" w:w="2491"/>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Quality Manager / Quality Control Manager</w:t>
            </w:r>
          </w:p>
        </w:tc>
        <w:tc>
          <w:tcPr>
            <w:tcW w:type="dxa" w:w="7056"/>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Review and sign the applicable rejection slip and reject/disposal documentation.</w:t>
            </w:r>
          </w:p>
        </w:tc>
      </w:tr>
      <w:tr>
        <w:trPr>
          <w:cantSplit/>
        </w:trPr>
        <w:tc>
          <w:tcPr>
            <w:tcW w:type="dxa" w:w="2491"/>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Factory Manager / Factory Director</w:t>
            </w:r>
          </w:p>
        </w:tc>
        <w:tc>
          <w:tcPr>
            <w:tcW w:type="dxa" w:w="7056"/>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Provide final signed authorization required by the applicable workflow. The supplied form names this signatory “Factory Director”; original SOP terminology is “Factory Manager”.</w:t>
            </w:r>
          </w:p>
        </w:tc>
      </w:tr>
      <w:tr>
        <w:trPr>
          <w:cantSplit/>
        </w:trPr>
        <w:tc>
          <w:tcPr>
            <w:tcW w:type="dxa" w:w="2491"/>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Warehouse Team</w:t>
            </w:r>
          </w:p>
        </w:tc>
        <w:tc>
          <w:tcPr>
            <w:tcW w:type="dxa" w:w="7056"/>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Receive properly authorized OBM rejects and documentation; perform physical destruction inside the warehouse and provide evidence of completion.</w:t>
            </w:r>
          </w:p>
        </w:tc>
      </w:tr>
    </w:tbl>
    <w:p>
      <w:pPr>
        <w:spacing w:after="0"/>
      </w:pPr>
    </w:p>
    <w:p>
      <w:pPr>
        <w:pStyle w:val="Heading1"/>
      </w:pPr>
      <w:r>
        <w:t>5. Procedure</w:t>
      </w:r>
    </w:p>
    <w:p>
      <w:pPr>
        <w:pStyle w:val="Heading2"/>
      </w:pPr>
      <w:r>
        <w:t>5.1 Common identification, documentation and release controls</w:t>
      </w:r>
    </w:p>
    <w:p>
      <w:pPr>
        <w:pStyle w:val="CompactBullet"/>
      </w:pPr>
      <w:r>
        <w:t>•  Identify the source of each rejection (Production, Quarantine, or OBM) and ensure the rejected product is controlled against unauthorized use or disposal pending disposition.</w:t>
      </w:r>
    </w:p>
    <w:p>
      <w:pPr>
        <w:pStyle w:val="CompactBullet"/>
      </w:pPr>
      <w:r>
        <w:t>•  Record the item description, item code, lot number, rejected quantity, unit, date, reason for rejection and the source of the findings.</w:t>
      </w:r>
    </w:p>
    <w:p>
      <w:pPr>
        <w:pStyle w:val="CompactBullet"/>
      </w:pPr>
      <w:r>
        <w:t>•  For all Quarantine and OBM rejects, prepare form F-7-5-7-8 in addition to any other report required by this SOP.</w:t>
      </w:r>
    </w:p>
    <w:p>
      <w:pPr>
        <w:pStyle w:val="CompactBullet"/>
      </w:pPr>
      <w:r>
        <w:t>•  Do not physically destroy or return rejected goods for destruction until the signatures required for the specific reject origin have been obtained.</w:t>
      </w:r>
    </w:p>
    <w:p>
      <w:pPr>
        <w:pStyle w:val="CompactBullet"/>
      </w:pPr>
      <w:r>
        <w:t>•  Retain the signed form and supporting documentation so the approved disposition can be traced to the exact rejected product and lot.</w:t>
      </w:r>
    </w:p>
    <w:p>
      <w:pPr>
        <w:pStyle w:val="Heading2"/>
      </w:pPr>
      <w:r>
        <w:t>5.2 Daily production rejects</w:t>
      </w:r>
    </w:p>
    <w:p>
      <w:r>
        <w:t>QC Compliance visits the production floor daily to monitor each reject area and follow up on the rejects from the previous day’s production.</w:t>
      </w:r>
    </w:p>
    <w:p>
      <w:pPr>
        <w:pStyle w:val="Heading3"/>
      </w:pPr>
      <w:r>
        <w:t>5.2.1 Daily reject rate below 2.5% — normal routine</w:t>
      </w:r>
    </w:p>
    <w:p>
      <w:pPr>
        <w:pStyle w:val="CompactBullet"/>
      </w:pPr>
      <w:r>
        <w:t>•  Process as a standard daily reject report and conduct a random physical check of rejected items.</w:t>
      </w:r>
    </w:p>
    <w:p>
      <w:pPr>
        <w:pStyle w:val="CompactBullet"/>
      </w:pPr>
      <w:r>
        <w:t>•  Verify product condition, reject tags, report data, lot number, date, rejection reason, and product code.</w:t>
      </w:r>
    </w:p>
    <w:p>
      <w:pPr>
        <w:pStyle w:val="CompactBullet"/>
      </w:pPr>
      <w:r>
        <w:t>•  File and record the standard daily report after satisfactory verification.</w:t>
      </w:r>
    </w:p>
    <w:p>
      <w:pPr>
        <w:pStyle w:val="Heading3"/>
      </w:pPr>
      <w:r>
        <w:t>5.2.2 Daily reject rate above 2.5% — elevated routine</w:t>
      </w:r>
    </w:p>
    <w:p>
      <w:pPr>
        <w:pStyle w:val="CompactBullet"/>
      </w:pPr>
      <w:r>
        <w:t>•  Generate a dedicated Reject &amp; Disposal Report; the standard daily report alone is not sufficient.</w:t>
      </w:r>
    </w:p>
    <w:p>
      <w:pPr>
        <w:pStyle w:val="CompactBullet"/>
      </w:pPr>
      <w:r>
        <w:t>•  Do not physically dispose of the products before the report has been signed and approved by the Area Supervisor, Quality Manager, and Factory Manager.</w:t>
      </w:r>
    </w:p>
    <w:p>
      <w:pPr>
        <w:pStyle w:val="CompactBullet"/>
      </w:pPr>
      <w:r>
        <w:t>•  Only after all three original-SOP approvals are secured may physical disposal proceed.</w:t>
      </w:r>
    </w:p>
    <w:p>
      <w:pPr>
        <w:pStyle w:val="Heading2"/>
      </w:pPr>
      <w:r>
        <w:t>5.3 Rejected items originating from Quarantine</w:t>
      </w:r>
    </w:p>
    <w:p>
      <w:pPr>
        <w:ind w:left="360" w:hanging="317"/>
      </w:pPr>
      <w:r>
        <w:rPr>
          <w:b/>
          <w:color w:val="166476"/>
        </w:rPr>
        <w:t xml:space="preserve">01  </w:t>
      </w:r>
      <w:r>
        <w:t>The Quarantine / inspection team shall notify QC Compliance of the rejected material, product, or part and keep the affected items identifiable.</w:t>
      </w:r>
    </w:p>
    <w:p>
      <w:pPr>
        <w:ind w:left="360" w:hanging="317"/>
      </w:pPr>
      <w:r>
        <w:rPr>
          <w:b/>
          <w:color w:val="166476"/>
        </w:rPr>
        <w:t xml:space="preserve">02  </w:t>
      </w:r>
      <w:r>
        <w:t>The Quarantine / inspection team shall provide QC Compliance with the relevant completed Inspection Report AND a representative physical rejected sample. The sample must be linked to the same item and lot as the report.</w:t>
      </w:r>
    </w:p>
    <w:p>
      <w:pPr>
        <w:ind w:left="360" w:hanging="317"/>
      </w:pPr>
      <w:r>
        <w:rPr>
          <w:b/>
          <w:color w:val="166476"/>
        </w:rPr>
        <w:t xml:space="preserve">03  </w:t>
      </w:r>
      <w:r>
        <w:t>QC Compliance shall review the inspection findings and verify the product description, code, lot, quantity, rejection reason, and sample-to-report consistency.</w:t>
      </w:r>
    </w:p>
    <w:p>
      <w:pPr>
        <w:ind w:left="360" w:hanging="317"/>
      </w:pPr>
      <w:r>
        <w:rPr>
          <w:b/>
          <w:color w:val="166476"/>
        </w:rPr>
        <w:t xml:space="preserve">04  </w:t>
      </w:r>
      <w:r>
        <w:t>QC Compliance shall prepare form F-7-5-7-8, “Rejection Slip for Material / Products / Parts”, and attach or reference the inspection report and the rejected sample identification.</w:t>
      </w:r>
    </w:p>
    <w:p>
      <w:pPr>
        <w:ind w:left="360" w:hanging="317"/>
      </w:pPr>
      <w:r>
        <w:rPr>
          <w:b/>
          <w:color w:val="166476"/>
        </w:rPr>
        <w:t xml:space="preserve">05  </w:t>
      </w:r>
      <w:r>
        <w:t>The rejection slip shall be submitted for signed approval by the Quality Manager and Factory Director.</w:t>
      </w:r>
    </w:p>
    <w:p>
      <w:pPr>
        <w:ind w:left="360" w:hanging="317"/>
      </w:pPr>
      <w:r>
        <w:rPr>
          <w:b/>
          <w:color w:val="166476"/>
        </w:rPr>
        <w:t xml:space="preserve">06  </w:t>
      </w:r>
      <w:r>
        <w:t>Upon obtaining both required signatures, execute only the disposition authorized on the approved rejection slip. Where the approved disposition is destruction, release to the designated destruction process; keep the signed record and supporting evidence.</w:t>
      </w:r>
    </w:p>
    <w:tbl>
      <w:tblPr>
        <w:tblW w:type="auto" w:w="0"/>
        <w:tblLook w:firstColumn="1" w:firstRow="1" w:lastColumn="0" w:lastRow="0" w:noHBand="0" w:noVBand="1" w:val="04A0"/>
      </w:tblPr>
      <w:tblGrid>
        <w:gridCol w:w="9577"/>
      </w:tblGrid>
      <w:tr>
        <w:tc>
          <w:tcPr>
            <w:tcW w:type="dxa" w:w="9577"/>
            <w:shd w:fill="FDF7EB"/>
            <w:tcMar>
              <w:top w:w="130" w:type="dxa"/>
              <w:start w:w="155" w:type="dxa"/>
              <w:bottom w:w="130" w:type="dxa"/>
              <w:end w:w="155" w:type="dxa"/>
            </w:tcMar>
          </w:tcPr>
          <w:p>
            <w:pPr>
              <w:spacing w:after="0"/>
            </w:pPr>
            <w:r>
              <w:rPr>
                <w:b/>
                <w:color w:val="976519"/>
              </w:rPr>
              <w:t xml:space="preserve">Quarantine mandatory evidence: </w:t>
            </w:r>
            <w:r>
              <w:t>An Inspection Report and a physical rejected sample are both required before the rejection slip is submitted for management signatures. A missing report or sample is an incomplete submission, not an approved reject.</w:t>
            </w:r>
          </w:p>
        </w:tc>
      </w:tr>
    </w:tbl>
    <w:p>
      <w:pPr>
        <w:spacing w:after="0"/>
      </w:pPr>
    </w:p>
    <w:p>
      <w:pPr>
        <w:pStyle w:val="Heading2"/>
      </w:pPr>
      <w:r>
        <w:t>5.4 OBM rejected items</w:t>
      </w:r>
    </w:p>
    <w:p>
      <w:r>
        <w:t>OBM identifies rejected items during inspection of warehouse-related products. A signed Rejection Slip (F-7-5-7-8) is required for OBM rejects regardless of the reject percentage. This extends the original SOP, which explicitly required a dedicated report only when the OBM reject rate exceeded 2.5%.</w:t>
      </w:r>
    </w:p>
    <w:p>
      <w:pPr>
        <w:pStyle w:val="Heading3"/>
      </w:pPr>
      <w:r>
        <w:t>5.4.1 OBM reject rate below 2.5%</w:t>
      </w:r>
    </w:p>
    <w:p>
      <w:pPr>
        <w:pStyle w:val="CompactBullet"/>
      </w:pPr>
      <w:r>
        <w:t>•  QC Compliance performs random verification of the rejected items.</w:t>
      </w:r>
    </w:p>
    <w:p>
      <w:pPr>
        <w:pStyle w:val="CompactBullet"/>
      </w:pPr>
      <w:r>
        <w:t>•  Following successful verification, record the rejected items and their associated information in the Focus system, as required by the original SOP.</w:t>
      </w:r>
    </w:p>
    <w:p>
      <w:pPr>
        <w:pStyle w:val="CompactBullet"/>
      </w:pPr>
      <w:r>
        <w:t>•  Prepare F-7-5-7-8, obtain Quality Manager and Factory Director signatures, and follow the warehouse-return-for-destruction steps in section 5.4.3.</w:t>
      </w:r>
    </w:p>
    <w:p>
      <w:pPr>
        <w:pStyle w:val="Heading3"/>
      </w:pPr>
      <w:r>
        <w:t>5.4.2 OBM reject rate above 2.5%</w:t>
      </w:r>
    </w:p>
    <w:p>
      <w:pPr>
        <w:pStyle w:val="CompactBullet"/>
      </w:pPr>
      <w:r>
        <w:t>•  Prepare a separate Dedicated Reject &amp; Disposal Report in addition to F-7-5-7-8.</w:t>
      </w:r>
    </w:p>
    <w:p>
      <w:pPr>
        <w:pStyle w:val="CompactBullet"/>
      </w:pPr>
      <w:r>
        <w:t>•  Obtain the Area Supervisor approval required by the original SOP and the signed approvals of the Quality Manager and Factory Director before release for destruction.</w:t>
      </w:r>
    </w:p>
    <w:p>
      <w:pPr>
        <w:pStyle w:val="CompactBullet"/>
      </w:pPr>
      <w:r>
        <w:t>•  Follow the warehouse-return-for-destruction steps in section 5.4.3.</w:t>
      </w:r>
    </w:p>
    <w:p>
      <w:pPr>
        <w:pStyle w:val="Heading3"/>
      </w:pPr>
      <w:r>
        <w:t>5.4.3 Return to warehouse and physical destruction</w:t>
      </w:r>
    </w:p>
    <w:p>
      <w:pPr>
        <w:ind w:left="360" w:hanging="317"/>
      </w:pPr>
      <w:r>
        <w:rPr>
          <w:b/>
          <w:color w:val="166476"/>
        </w:rPr>
        <w:t xml:space="preserve">01  </w:t>
      </w:r>
      <w:r>
        <w:t>Confirm the rejection slip and any required dedicated report are complete and signed by the applicable approvers.</w:t>
      </w:r>
    </w:p>
    <w:p>
      <w:pPr>
        <w:ind w:left="360" w:hanging="317"/>
      </w:pPr>
      <w:r>
        <w:rPr>
          <w:b/>
          <w:color w:val="166476"/>
        </w:rPr>
        <w:t xml:space="preserve">02  </w:t>
      </w:r>
      <w:r>
        <w:t>Arrange the return of the rejected products to the warehouse, preserving item code, lot and quantities.</w:t>
      </w:r>
    </w:p>
    <w:p>
      <w:pPr>
        <w:ind w:left="360" w:hanging="317"/>
      </w:pPr>
      <w:r>
        <w:rPr>
          <w:b/>
          <w:color w:val="166476"/>
        </w:rPr>
        <w:t xml:space="preserve">03  </w:t>
      </w:r>
      <w:r>
        <w:t>Send an official email to the warehouse team enclosing the signed Rejection Slip and, where applicable, the dedicated Reject &amp; Disposal Report and management approvals.</w:t>
      </w:r>
    </w:p>
    <w:p>
      <w:pPr>
        <w:ind w:left="360" w:hanging="317"/>
      </w:pPr>
      <w:r>
        <w:rPr>
          <w:b/>
          <w:color w:val="166476"/>
        </w:rPr>
        <w:t xml:space="preserve">04  </w:t>
      </w:r>
      <w:r>
        <w:t>The warehouse team shall physically destroy the approved rejected items within the warehouse, consistent with the received authorization.</w:t>
      </w:r>
    </w:p>
    <w:p>
      <w:pPr>
        <w:ind w:left="360" w:hanging="317"/>
      </w:pPr>
      <w:r>
        <w:rPr>
          <w:b/>
          <w:color w:val="166476"/>
        </w:rPr>
        <w:t xml:space="preserve">05  </w:t>
      </w:r>
      <w:r>
        <w:t>Retain the warehouse completion evidence with the signed rejection documents so the disposal status can be closed and traced.</w:t>
      </w:r>
    </w:p>
    <w:p>
      <w:pPr>
        <w:pStyle w:val="Heading1"/>
      </w:pPr>
      <w:r>
        <w:t>6. Records and documentation</w:t>
      </w:r>
    </w:p>
    <w:tbl>
      <w:tblPr>
        <w:tblW w:type="auto" w:w="0"/>
        <w:jc w:val="center"/>
        <w:tblLayout w:type="fixed"/>
        <w:tblLook w:firstColumn="1" w:firstRow="1" w:lastColumn="0" w:lastRow="0" w:noHBand="0" w:noVBand="1" w:val="04A0"/>
      </w:tblPr>
      <w:tblGrid>
        <w:gridCol w:w="4464"/>
        <w:gridCol w:w="5083"/>
      </w:tblGrid>
      <w:tr>
        <w:trPr>
          <w:tblHeader w:val="true"/>
          <w:cantSplit/>
        </w:trPr>
        <w:tc>
          <w:tcPr>
            <w:tcW w:type="dxa" w:w="4464"/>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RECORD</w:t>
            </w:r>
          </w:p>
        </w:tc>
        <w:tc>
          <w:tcPr>
            <w:tcW w:type="dxa" w:w="5083"/>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APPLICABILITY / OWNER</w:t>
            </w:r>
          </w:p>
        </w:tc>
      </w:tr>
      <w:tr>
        <w:trPr>
          <w:cantSplit/>
        </w:trPr>
        <w:tc>
          <w:tcPr>
            <w:tcW w:type="dxa" w:w="4464"/>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Daily Production Reject Report</w:t>
            </w:r>
          </w:p>
        </w:tc>
        <w:tc>
          <w:tcPr>
            <w:tcW w:type="dxa" w:w="5083"/>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Production rejects; QC Compliance.</w:t>
            </w:r>
          </w:p>
        </w:tc>
      </w:tr>
      <w:tr>
        <w:trPr>
          <w:cantSplit/>
        </w:trPr>
        <w:tc>
          <w:tcPr>
            <w:tcW w:type="dxa" w:w="4464"/>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Dedicated Reject &amp; Disposal Report</w:t>
            </w:r>
          </w:p>
        </w:tc>
        <w:tc>
          <w:tcPr>
            <w:tcW w:type="dxa" w:w="5083"/>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Production / OBM reject rate greater than 2.5%; QC Compliance.</w:t>
            </w:r>
          </w:p>
        </w:tc>
      </w:tr>
      <w:tr>
        <w:trPr>
          <w:cantSplit/>
        </w:trPr>
        <w:tc>
          <w:tcPr>
            <w:tcW w:type="dxa" w:w="4464"/>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F-7-5-7-8 — Rejection Slip for Material / Products / Parts</w:t>
            </w:r>
          </w:p>
        </w:tc>
        <w:tc>
          <w:tcPr>
            <w:tcW w:type="dxa" w:w="5083"/>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All Quarantine and OBM rejects; QC Compliance / approving management.</w:t>
            </w:r>
          </w:p>
        </w:tc>
      </w:tr>
      <w:tr>
        <w:trPr>
          <w:cantSplit/>
        </w:trPr>
        <w:tc>
          <w:tcPr>
            <w:tcW w:type="dxa" w:w="4464"/>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Quarantine Inspection Report and rejected sample reference</w:t>
            </w:r>
          </w:p>
        </w:tc>
        <w:tc>
          <w:tcPr>
            <w:tcW w:type="dxa" w:w="5083"/>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Every Quarantine reject; originating inspection function / QC Compliance.</w:t>
            </w:r>
          </w:p>
        </w:tc>
      </w:tr>
      <w:tr>
        <w:trPr>
          <w:cantSplit/>
        </w:trPr>
        <w:tc>
          <w:tcPr>
            <w:tcW w:type="dxa" w:w="4464"/>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OBM findings and Focus system entry</w:t>
            </w:r>
          </w:p>
        </w:tc>
        <w:tc>
          <w:tcPr>
            <w:tcW w:type="dxa" w:w="5083"/>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OBM supporting evidence; Focus entry as explicitly required for OBM below 2.5%.</w:t>
            </w:r>
          </w:p>
        </w:tc>
      </w:tr>
      <w:tr>
        <w:trPr>
          <w:cantSplit/>
        </w:trPr>
        <w:tc>
          <w:tcPr>
            <w:tcW w:type="dxa" w:w="4464"/>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Signed approvals, official warehouse emails and disposal completion evidence</w:t>
            </w:r>
          </w:p>
        </w:tc>
        <w:tc>
          <w:tcPr>
            <w:tcW w:type="dxa" w:w="5083"/>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As applicable to the authorized disposition; QC Compliance / warehouse.</w:t>
            </w:r>
          </w:p>
        </w:tc>
      </w:tr>
    </w:tbl>
    <w:p>
      <w:pPr>
        <w:spacing w:after="0"/>
      </w:pPr>
    </w:p>
    <w:p>
      <w:pPr>
        <w:pStyle w:val="Heading1"/>
      </w:pPr>
      <w:r>
        <w:t>7. Related documents</w:t>
      </w:r>
    </w:p>
    <w:p>
      <w:pPr>
        <w:pStyle w:val="CompactBullet"/>
      </w:pPr>
      <w:r>
        <w:t>•  Original “Reject Handling and Destruction Procedure” (REJ, Rev. 1, 15.05.2026).</w:t>
      </w:r>
    </w:p>
    <w:p>
      <w:pPr>
        <w:pStyle w:val="CompactBullet"/>
      </w:pPr>
      <w:r>
        <w:t>•  F-7-5-7-8 — Rejection Slip for Material / Products / Parts (supplied sample displays Rev. 4).</w:t>
      </w:r>
    </w:p>
    <w:p>
      <w:pPr>
        <w:pStyle w:val="CompactBullet"/>
      </w:pPr>
      <w:r>
        <w:t>•  Applicable inspection report and OBM documentation.</w:t>
      </w:r>
    </w:p>
    <w:p>
      <w:pPr>
        <w:pStyle w:val="Heading1"/>
      </w:pPr>
      <w:r>
        <w:t>8. Items requiring confirmation before controlled issue</w:t>
      </w:r>
    </w:p>
    <w:p>
      <w:pPr>
        <w:pStyle w:val="CompactBullet"/>
      </w:pPr>
      <w:r>
        <w:t>•  Exactly 2.5%: the original SOP specifies “less than” and “exceeding” 2.5%, but does not assign the exact boundary. Quality management must determine the rule before this revised SOP is issued.</w:t>
      </w:r>
    </w:p>
    <w:p>
      <w:pPr>
        <w:pStyle w:val="CompactBullet"/>
      </w:pPr>
      <w:r>
        <w:t>•  Title of final factory approver: the source SOP uses “Factory Manager”, while the supplied F-7-5-7-8 approval block uses “Factory Director”. Verify the actual authorized position and align the controlled documents.</w:t>
      </w:r>
    </w:p>
    <w:p>
      <w:pPr>
        <w:pStyle w:val="CompactBullet"/>
      </w:pPr>
      <w:r>
        <w:t>•  Detailed destruction method, sample size and retention period were not supplied; follow existing controlled requirements rather than inventing them in this draft.</w:t>
      </w:r>
    </w:p>
    <w:p>
      <w:pPr>
        <w:pStyle w:val="Heading1"/>
      </w:pPr>
      <w:r>
        <w:t>9. Draft issue and approval register</w:t>
      </w:r>
    </w:p>
    <w:p>
      <w:r>
        <w:t>These fields are for internal review and do not represent completed approvals. Do not issue an effective revision until Document Control has assigned the final revision, effective date and authorized signatories.</w:t>
      </w:r>
    </w:p>
    <w:tbl>
      <w:tblPr>
        <w:tblW w:type="auto" w:w="0"/>
        <w:jc w:val="center"/>
        <w:tblLayout w:type="fixed"/>
        <w:tblLook w:firstColumn="1" w:firstRow="1" w:lastColumn="0" w:lastRow="0" w:noHBand="0" w:noVBand="1" w:val="04A0"/>
      </w:tblPr>
      <w:tblGrid>
        <w:gridCol w:w="4320"/>
        <w:gridCol w:w="3384"/>
        <w:gridCol w:w="1843"/>
      </w:tblGrid>
      <w:tr>
        <w:trPr>
          <w:tblHeader w:val="true"/>
          <w:cantSplit/>
        </w:trPr>
        <w:tc>
          <w:tcPr>
            <w:tcW w:type="dxa" w:w="4320"/>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REVIEW STAGE</w:t>
            </w:r>
          </w:p>
        </w:tc>
        <w:tc>
          <w:tcPr>
            <w:tcW w:type="dxa" w:w="3384"/>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NAME / SIGNATURE</w:t>
            </w:r>
          </w:p>
        </w:tc>
        <w:tc>
          <w:tcPr>
            <w:tcW w:type="dxa" w:w="1843"/>
            <w:shd w:fill="E5EFF2"/>
            <w:tcMar>
              <w:top w:w="70" w:type="dxa"/>
              <w:start w:w="130" w:type="dxa"/>
              <w:bottom w:w="70" w:type="dxa"/>
              <w:end w:w="130" w:type="dxa"/>
            </w:tcMar>
            <w:tcBorders>
              <w:top w:val="single" w:sz="4" w:color="DAE2E7"/>
              <w:left w:val="single" w:sz="4" w:color="DAE2E7"/>
              <w:bottom w:val="single" w:sz="4" w:color="DAE2E7"/>
              <w:right w:val="single" w:sz="4" w:color="DAE2E7"/>
            </w:tcBorders>
          </w:tcPr>
          <w:p>
            <w:pPr>
              <w:spacing w:after="0"/>
            </w:pPr>
            <w:r>
              <w:rPr>
                <w:b/>
                <w:color w:val="172B3E"/>
                <w:sz w:val="17"/>
              </w:rPr>
              <w:t>DATE</w:t>
            </w:r>
          </w:p>
        </w:tc>
      </w:tr>
      <w:tr>
        <w:trPr>
          <w:cantSplit/>
        </w:trPr>
        <w:tc>
          <w:tcPr>
            <w:tcW w:type="dxa" w:w="4320"/>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Prepared by — QC Compliance</w:t>
            </w:r>
          </w:p>
        </w:tc>
        <w:tc>
          <w:tcPr>
            <w:tcW w:type="dxa" w:w="3384"/>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________________________</w:t>
            </w:r>
          </w:p>
        </w:tc>
        <w:tc>
          <w:tcPr>
            <w:tcW w:type="dxa" w:w="1843"/>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____________</w:t>
            </w:r>
          </w:p>
        </w:tc>
      </w:tr>
      <w:tr>
        <w:trPr>
          <w:cantSplit/>
        </w:trPr>
        <w:tc>
          <w:tcPr>
            <w:tcW w:type="dxa" w:w="4320"/>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Reviewed by — Quality Manager</w:t>
            </w:r>
          </w:p>
        </w:tc>
        <w:tc>
          <w:tcPr>
            <w:tcW w:type="dxa" w:w="3384"/>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________________________</w:t>
            </w:r>
          </w:p>
        </w:tc>
        <w:tc>
          <w:tcPr>
            <w:tcW w:type="dxa" w:w="1843"/>
            <w:tcMar>
              <w:top w:w="70" w:type="dxa"/>
              <w:start w:w="130" w:type="dxa"/>
              <w:bottom w:w="70" w:type="dxa"/>
              <w:end w:w="130" w:type="dxa"/>
            </w:tcMar>
            <w:tcBorders>
              <w:top w:val="single" w:sz="4" w:color="DAE2E7"/>
              <w:left w:val="single" w:sz="4" w:color="DAE2E7"/>
              <w:bottom w:val="single" w:sz="4" w:color="DAE2E7"/>
              <w:right w:val="single" w:sz="4" w:color="DAE2E7"/>
            </w:tcBorders>
            <w:shd w:fill="F8FAFB"/>
            <w:vAlign w:val="center"/>
          </w:tcPr>
          <w:p>
            <w:pPr>
              <w:spacing w:after="0"/>
            </w:pPr>
            <w:r>
              <w:rPr>
                <w:sz w:val="16"/>
              </w:rPr>
              <w:t>____________</w:t>
            </w:r>
          </w:p>
        </w:tc>
      </w:tr>
      <w:tr>
        <w:trPr>
          <w:cantSplit/>
        </w:trPr>
        <w:tc>
          <w:tcPr>
            <w:tcW w:type="dxa" w:w="4320"/>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Authorized by — Factory Manager / Director (title to confirm)</w:t>
            </w:r>
          </w:p>
        </w:tc>
        <w:tc>
          <w:tcPr>
            <w:tcW w:type="dxa" w:w="3384"/>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________________________</w:t>
            </w:r>
          </w:p>
        </w:tc>
        <w:tc>
          <w:tcPr>
            <w:tcW w:type="dxa" w:w="1843"/>
            <w:tcMar>
              <w:top w:w="70" w:type="dxa"/>
              <w:start w:w="130" w:type="dxa"/>
              <w:bottom w:w="70" w:type="dxa"/>
              <w:end w:w="130" w:type="dxa"/>
            </w:tcMar>
            <w:tcBorders>
              <w:top w:val="single" w:sz="4" w:color="DAE2E7"/>
              <w:left w:val="single" w:sz="4" w:color="DAE2E7"/>
              <w:bottom w:val="single" w:sz="4" w:color="DAE2E7"/>
              <w:right w:val="single" w:sz="4" w:color="DAE2E7"/>
            </w:tcBorders>
            <w:vAlign w:val="center"/>
          </w:tcPr>
          <w:p>
            <w:pPr>
              <w:spacing w:after="0"/>
            </w:pPr>
            <w:r>
              <w:rPr>
                <w:sz w:val="16"/>
              </w:rPr>
              <w:t>____________</w:t>
            </w:r>
          </w:p>
        </w:tc>
      </w:tr>
    </w:tbl>
    <w:p>
      <w:pPr>
        <w:spacing w:after="0"/>
      </w:pPr>
    </w:p>
    <w:sectPr w:rsidR="00FC693F" w:rsidRPr="0006063C" w:rsidSect="00034616">
      <w:headerReference w:type="default" r:id="rId9"/>
      <w:footerReference w:type="default" r:id="rId10"/>
      <w:pgSz w:w="11909" w:h="16834"/>
      <w:pgMar w:top="1080" w:right="1166" w:bottom="907" w:left="1166" w:header="504"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A72"/>
        <w:sz w:val="14"/>
      </w:rPr>
      <w:t xml:space="preserve">DRAFT FOR INTERNAL REVIEW  •  NOT EFFECTIVE UNTIL APPROVED   |   Page </w:t>
    </w:r>
    <w:fldSimple w:instr="PAGE"/>
    <w:r>
      <w:rPr>
        <w:sz w:val="14"/>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b/>
        <w:color w:val="166476"/>
        <w:sz w:val="16"/>
      </w:rPr>
      <w:t>SAUDI MAIS CO.  /  QUALITY CONTROL</w:t>
    </w:r>
    <w:r>
      <w:rPr>
        <w:sz w:val="16"/>
      </w:rPr>
      <w:t xml:space="preserve">    |  STANDARD OPERATING PROCEDURE  |  REJ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2" w:lineRule="auto"/>
    </w:pPr>
    <w:rPr>
      <w:rFonts w:ascii="Carlito" w:hAnsi="Carlito"/>
      <w:color w:val="2735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rlito" w:hAnsi="Carlito"/>
      <w:b/>
      <w:bCs/>
      <w:color w:val="172B3E"/>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rlito" w:hAnsi="Carlito"/>
      <w:b/>
      <w:bCs/>
      <w:color w:val="166476"/>
      <w:sz w:val="20"/>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rlito" w:hAnsi="Carlito"/>
      <w:b/>
      <w:bCs/>
      <w:color w:val="16647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rlito" w:hAnsi="Carlito"/>
      <w:b/>
      <w:color w:val="172B3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after="100"/>
    </w:pPr>
    <w:rPr>
      <w:rFonts w:ascii="Carlito" w:hAnsi="Carlito"/>
      <w:color w:val="5D6A72"/>
      <w:sz w:val="17"/>
    </w:rPr>
  </w:style>
  <w:style w:type="paragraph" w:customStyle="1" w:styleId="CompactBullet">
    <w:name w:val="Compact Bullet"/>
    <w:basedOn w:val="Normal"/>
    <w:pPr>
      <w:spacing w:after="36"/>
      <w:ind w:left="317" w:hanging="20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