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QUALITY CONTROL SYSTEMS  /  EVIDENCE-BASED TECHNICAL REVIEW</w:t>
      </w:r>
    </w:p>
    <w:p>
      <w:pPr>
        <w:pStyle w:val="Title"/>
      </w:pPr>
      <w:r>
        <w:t>3-Way Stopcock with Extension Tube — ISO Closure Register</w:t>
      </w:r>
    </w:p>
    <w:p>
      <w:pPr>
        <w:pStyle w:val="Subtitle"/>
      </w:pPr>
      <w:r>
        <w:t>3-Way Stopcock with Extension Tube</w:t>
      </w:r>
    </w:p>
    <w:tbl>
      <w:tblPr>
        <w:tblStyle w:val="LightShading-Accent1"/>
        <w:tblW w:type="auto" w:w="0"/>
        <w:tblLook w:firstColumn="1" w:firstRow="1" w:lastColumn="0" w:lastRow="0" w:noHBand="0" w:noVBand="1" w:val="04A0"/>
      </w:tblPr>
      <w:tblGrid>
        <w:gridCol w:w="7524"/>
        <w:gridCol w:w="7524"/>
      </w:tblGrid>
      <w:tr>
        <w:tc>
          <w:tcPr>
            <w:tcW w:type="dxa" w:w="7524"/>
          </w:tcPr>
          <w:p>
            <w:r>
              <w:t>Issue status</w:t>
            </w:r>
          </w:p>
        </w:tc>
        <w:tc>
          <w:tcPr>
            <w:tcW w:type="dxa" w:w="7524"/>
          </w:tcPr>
          <w:p>
            <w:r>
              <w:t>PROPOSED CONTROLLED DRAFT — NOT APPROVED</w:t>
            </w:r>
          </w:p>
        </w:tc>
      </w:tr>
      <w:tr>
        <w:tc>
          <w:tcPr>
            <w:tcW w:type="dxa" w:w="7524"/>
          </w:tcPr>
          <w:p>
            <w:r>
              <w:t>Date prepared</w:t>
            </w:r>
          </w:p>
        </w:tc>
        <w:tc>
          <w:tcPr>
            <w:tcW w:type="dxa" w:w="7524"/>
          </w:tcPr>
          <w:p>
            <w:r>
              <w:t>22 Oct 2026</w:t>
            </w:r>
          </w:p>
        </w:tc>
      </w:tr>
      <w:tr>
        <w:tc>
          <w:tcPr>
            <w:tcW w:type="dxa" w:w="7524"/>
          </w:tcPr>
          <w:p>
            <w:r>
              <w:t>Document type</w:t>
            </w:r>
          </w:p>
        </w:tc>
        <w:tc>
          <w:tcPr>
            <w:tcW w:type="dxa" w:w="7524"/>
          </w:tcPr>
          <w:p>
            <w:r>
              <w:t>Requirements / documentary / operational closure</w:t>
            </w:r>
          </w:p>
        </w:tc>
      </w:tr>
      <w:tr>
        <w:tc>
          <w:tcPr>
            <w:tcW w:type="dxa" w:w="7524"/>
          </w:tcPr>
          <w:p>
            <w:r>
              <w:t>Controlled source</w:t>
            </w:r>
          </w:p>
        </w:tc>
        <w:tc>
          <w:tcPr>
            <w:tcW w:type="dxa" w:w="7524"/>
          </w:tcPr>
          <w:p>
            <w:r>
              <w:t>WI-8-2-2-29 Rev.8</w:t>
            </w:r>
          </w:p>
        </w:tc>
      </w:tr>
      <w:tr>
        <w:tc>
          <w:tcPr>
            <w:tcW w:type="dxa" w:w="7524"/>
          </w:tcPr>
          <w:p>
            <w:r>
              <w:t>Assessment basis</w:t>
            </w:r>
          </w:p>
        </w:tc>
        <w:tc>
          <w:tcPr>
            <w:tcW w:type="dxa" w:w="7524"/>
          </w:tcPr>
          <w:p>
            <w:r>
              <w:t>Requirement-level traceability for supplied source editions</w:t>
            </w:r>
          </w:p>
        </w:tc>
      </w:tr>
      <w:tr>
        <w:tc>
          <w:tcPr>
            <w:tcW w:type="dxa" w:w="7524"/>
          </w:tcPr>
          <w:p>
            <w:r>
              <w:t>Use restriction</w:t>
            </w:r>
          </w:p>
        </w:tc>
        <w:tc>
          <w:tcPr>
            <w:tcW w:type="dxa" w:w="7524"/>
          </w:tcPr>
          <w:p>
            <w:r>
              <w:t>For QC/QA review only. No product acceptance or release permitted on draft alone.</w:t>
            </w:r>
          </w:p>
        </w:tc>
      </w:tr>
    </w:tbl>
    <w:p>
      <w:r>
        <w:t>Evidence rule: “Required” is not “available”. No gap is verified closed without approved documentation and objective records.</w:t>
      </w:r>
    </w:p>
    <w:p>
      <w:r>
        <w:br w:type="page"/>
      </w:r>
    </w:p>
    <w:p>
      <w:pPr>
        <w:pStyle w:val="Heading1"/>
      </w:pPr>
      <w:r>
        <w:t>Closure state definitions</w:t>
      </w:r>
    </w:p>
    <w:p>
      <w:r>
        <w:t>DOCUMENTARY COVERED is not verified conformance. No approved technical revision, valid test data, signed lot record or other objective evidence was provided for the proposed controls. Every status here is OPEN, pending technical review and evidence.</w:t>
      </w:r>
    </w:p>
    <w:tbl>
      <w:tblPr>
        <w:tblStyle w:val="TableGrid"/>
        <w:tblW w:type="auto" w:w="0"/>
        <w:jc w:val="center"/>
        <w:tblLayout w:type="fixed"/>
        <w:tblLook w:firstColumn="1" w:firstRow="1" w:lastColumn="0" w:lastRow="0" w:noHBand="0" w:noVBand="1" w:val="04A0"/>
      </w:tblPr>
      <w:tblGrid>
        <w:gridCol w:w="2508"/>
        <w:gridCol w:w="2508"/>
        <w:gridCol w:w="2508"/>
        <w:gridCol w:w="2508"/>
        <w:gridCol w:w="2508"/>
        <w:gridCol w:w="2508"/>
      </w:tblGrid>
      <w:tr>
        <w:trPr>
          <w:tblHeader w:val="true"/>
        </w:trPr>
        <w:tc>
          <w:tcPr>
            <w:tcW w:type="dxa" w:w="2508"/>
            <w:shd w:fill="12304C"/>
          </w:tcPr>
          <w:p>
            <w:pPr>
              <w:spacing w:after="40"/>
            </w:pPr>
            <w:r>
              <w:rPr>
                <w:color w:val="FFFFFF"/>
              </w:rPr>
            </w:r>
            <w:r>
              <w:rPr>
                <w:rFonts w:ascii="Aptos" w:hAnsi="Aptos"/>
                <w:b/>
                <w:color w:val="FFFFFF"/>
                <w:sz w:val="15"/>
              </w:rPr>
              <w:t>Gap / Requirement</w:t>
            </w:r>
          </w:p>
        </w:tc>
        <w:tc>
          <w:tcPr>
            <w:tcW w:type="dxa" w:w="2508"/>
            <w:shd w:fill="12304C"/>
          </w:tcPr>
          <w:p>
            <w:pPr>
              <w:spacing w:after="40"/>
            </w:pPr>
            <w:r>
              <w:rPr>
                <w:color w:val="FFFFFF"/>
              </w:rPr>
            </w:r>
            <w:r>
              <w:rPr>
                <w:rFonts w:ascii="Aptos" w:hAnsi="Aptos"/>
                <w:b/>
                <w:color w:val="FFFFFF"/>
                <w:sz w:val="15"/>
              </w:rPr>
              <w:t>ISO Source &amp; requirement summary</w:t>
            </w:r>
          </w:p>
        </w:tc>
        <w:tc>
          <w:tcPr>
            <w:tcW w:type="dxa" w:w="2508"/>
            <w:shd w:fill="12304C"/>
          </w:tcPr>
          <w:p>
            <w:pPr>
              <w:spacing w:after="40"/>
            </w:pPr>
            <w:r>
              <w:rPr>
                <w:color w:val="FFFFFF"/>
              </w:rPr>
            </w:r>
            <w:r>
              <w:rPr>
                <w:rFonts w:ascii="Aptos" w:hAnsi="Aptos"/>
                <w:b/>
                <w:color w:val="FFFFFF"/>
                <w:sz w:val="15"/>
              </w:rPr>
              <w:t>Draft WI / form mapping</w:t>
            </w:r>
          </w:p>
        </w:tc>
        <w:tc>
          <w:tcPr>
            <w:tcW w:type="dxa" w:w="2508"/>
            <w:shd w:fill="12304C"/>
          </w:tcPr>
          <w:p>
            <w:pPr>
              <w:spacing w:after="40"/>
            </w:pPr>
            <w:r>
              <w:rPr>
                <w:color w:val="FFFFFF"/>
              </w:rPr>
            </w:r>
            <w:r>
              <w:rPr>
                <w:rFonts w:ascii="Aptos" w:hAnsi="Aptos"/>
                <w:b/>
                <w:color w:val="FFFFFF"/>
                <w:sz w:val="15"/>
              </w:rPr>
              <w:t>Required actual evidence</w:t>
            </w:r>
          </w:p>
        </w:tc>
        <w:tc>
          <w:tcPr>
            <w:tcW w:type="dxa" w:w="2508"/>
            <w:shd w:fill="12304C"/>
          </w:tcPr>
          <w:p>
            <w:pPr>
              <w:spacing w:after="40"/>
            </w:pPr>
            <w:r>
              <w:rPr>
                <w:color w:val="FFFFFF"/>
              </w:rPr>
            </w:r>
            <w:r>
              <w:rPr>
                <w:rFonts w:ascii="Aptos" w:hAnsi="Aptos"/>
                <w:b/>
                <w:color w:val="FFFFFF"/>
                <w:sz w:val="15"/>
              </w:rPr>
              <w:t>Doc status</w:t>
            </w:r>
          </w:p>
        </w:tc>
        <w:tc>
          <w:tcPr>
            <w:tcW w:type="dxa" w:w="2508"/>
            <w:shd w:fill="12304C"/>
          </w:tcPr>
          <w:p>
            <w:pPr>
              <w:spacing w:after="40"/>
            </w:pPr>
            <w:r>
              <w:rPr>
                <w:color w:val="FFFFFF"/>
              </w:rPr>
            </w:r>
            <w:r>
              <w:rPr>
                <w:rFonts w:ascii="Aptos" w:hAnsi="Aptos"/>
                <w:b/>
                <w:color w:val="FFFFFF"/>
                <w:sz w:val="15"/>
              </w:rPr>
              <w:t>Operational closure</w:t>
            </w:r>
          </w:p>
        </w:tc>
      </w:tr>
      <w:tr>
        <w:tc>
          <w:tcPr>
            <w:tcW w:type="dxa" w:w="2508"/>
            <w:vAlign w:val="top"/>
          </w:tcPr>
          <w:p>
            <w:pPr>
              <w:spacing w:after="40"/>
            </w:pPr>
            <w:r/>
            <w:r>
              <w:rPr>
                <w:rFonts w:ascii="Aptos" w:hAnsi="Aptos"/>
                <w:b w:val="0"/>
                <w:sz w:val="15"/>
              </w:rPr>
              <w:t>3WS-G01 / Luer connector dimensional qualification by type</w:t>
            </w:r>
          </w:p>
        </w:tc>
        <w:tc>
          <w:tcPr>
            <w:tcW w:type="dxa" w:w="2508"/>
            <w:vAlign w:val="top"/>
          </w:tcPr>
          <w:p>
            <w:pPr>
              <w:spacing w:after="40"/>
            </w:pPr>
            <w:r/>
            <w:r>
              <w:rPr>
                <w:rFonts w:ascii="Aptos" w:hAnsi="Aptos"/>
                <w:b w:val="0"/>
                <w:sz w:val="15"/>
              </w:rPr>
              <w:t>ISO 80369-7:2016, 5 and normative Annex B, ISO p.4 and pp.11–21, PDF pp.11,18–28 — Male/female Luer slip or lock connector dimensions shall match the appropriate Figure B.1–B.8 and Table B.1–B.8 based on connector category.</w:t>
            </w:r>
          </w:p>
        </w:tc>
        <w:tc>
          <w:tcPr>
            <w:tcW w:type="dxa" w:w="2508"/>
            <w:vAlign w:val="top"/>
          </w:tcPr>
          <w:p>
            <w:pPr>
              <w:spacing w:after="40"/>
            </w:pPr>
            <w:r/>
            <w:r>
              <w:rPr>
                <w:rFonts w:ascii="Aptos" w:hAnsi="Aptos"/>
                <w:b w:val="0"/>
                <w:sz w:val="15"/>
              </w:rPr>
              <w:t>Proposed §§5.3/8.3: Classify each molded Luer as L1/L2 and the applicable fixed/floating collar or female lug variant. Verify each approved tool/product drawing against its exact ISO 80369-7 Annex B dimensional table; do</w:t>
              <w:br/>
              <w:t>Linked original forms: i27, i15</w:t>
            </w:r>
          </w:p>
        </w:tc>
        <w:tc>
          <w:tcPr>
            <w:tcW w:type="dxa" w:w="2508"/>
            <w:vAlign w:val="top"/>
          </w:tcPr>
          <w:p>
            <w:pPr>
              <w:spacing w:after="40"/>
            </w:pPr>
            <w:r/>
            <w:r>
              <w:rPr>
                <w:rFonts w:ascii="Aptos" w:hAnsi="Aptos"/>
                <w:b w:val="0"/>
                <w:sz w:val="15"/>
              </w:rPr>
              <w:t>Annex B dimension study, approved drawings, calibrated gage records, requalification plan and evidence. Status: OPEN — EVIDENCE.</w:t>
            </w:r>
          </w:p>
        </w:tc>
        <w:tc>
          <w:tcPr>
            <w:tcW w:type="dxa" w:w="2508"/>
            <w:vAlign w:val="top"/>
          </w:tcPr>
          <w:p>
            <w:pPr>
              <w:spacing w:after="40"/>
            </w:pPr>
            <w:r/>
            <w:r>
              <w:rPr>
                <w:rFonts w:ascii="Aptos" w:hAnsi="Aptos"/>
                <w:b w:val="0"/>
                <w:sz w:val="15"/>
              </w:rPr>
              <w:t>PROPOSED DRAFT</w:t>
            </w:r>
          </w:p>
        </w:tc>
        <w:tc>
          <w:tcPr>
            <w:tcW w:type="dxa" w:w="2508"/>
            <w:vAlign w:val="top"/>
          </w:tcPr>
          <w:p>
            <w:pPr>
              <w:spacing w:after="40"/>
            </w:pPr>
            <w:r/>
            <w:r>
              <w:rPr>
                <w:rFonts w:ascii="Aptos" w:hAnsi="Aptos"/>
                <w:b w:val="0"/>
                <w:sz w:val="15"/>
              </w:rPr>
              <w:t>OPEN — NOT VERIFIED</w:t>
            </w:r>
          </w:p>
        </w:tc>
      </w:tr>
      <w:tr>
        <w:tc>
          <w:tcPr>
            <w:tcW w:type="dxa" w:w="2508"/>
            <w:vAlign w:val="top"/>
            <w:shd w:fill="F2F5F8"/>
          </w:tcPr>
          <w:p>
            <w:pPr>
              <w:spacing w:after="40"/>
            </w:pPr>
            <w:r/>
            <w:r>
              <w:rPr>
                <w:rFonts w:ascii="Aptos" w:hAnsi="Aptos"/>
                <w:b w:val="0"/>
                <w:sz w:val="15"/>
              </w:rPr>
              <w:t>3WS-G02 / Material modulus requirement for Luer connectors</w:t>
            </w:r>
          </w:p>
        </w:tc>
        <w:tc>
          <w:tcPr>
            <w:tcW w:type="dxa" w:w="2508"/>
            <w:vAlign w:val="top"/>
            <w:shd w:fill="F2F5F8"/>
          </w:tcPr>
          <w:p>
            <w:pPr>
              <w:spacing w:after="40"/>
            </w:pPr>
            <w:r/>
            <w:r>
              <w:rPr>
                <w:rFonts w:ascii="Aptos" w:hAnsi="Aptos"/>
                <w:b w:val="0"/>
                <w:sz w:val="15"/>
              </w:rPr>
              <w:t>ISO 80369-7:2016, 4.2, ISO p.4, PDF p.11 — Luer connector material nominal flexural/tensile elastic modulus must exceed 700 MPa, verified under ASTM D638 or D790 as applicable.</w:t>
            </w:r>
          </w:p>
        </w:tc>
        <w:tc>
          <w:tcPr>
            <w:tcW w:type="dxa" w:w="2508"/>
            <w:vAlign w:val="top"/>
            <w:shd w:fill="F2F5F8"/>
          </w:tcPr>
          <w:p>
            <w:pPr>
              <w:spacing w:after="40"/>
            </w:pPr>
            <w:r/>
            <w:r>
              <w:rPr>
                <w:rFonts w:ascii="Aptos" w:hAnsi="Aptos"/>
                <w:b w:val="0"/>
                <w:sz w:val="15"/>
              </w:rPr>
              <w:t>Proposed §5.1: For every material used to form an ISO 80369-7 Luer connector, verify approved material grade, supplier identity, specification and tensile/flexural modulus &gt;700 MPa on relevant qualified evidence; confirm</w:t>
              <w:br/>
              <w:t>Linked original forms: i15</w:t>
            </w:r>
          </w:p>
        </w:tc>
        <w:tc>
          <w:tcPr>
            <w:tcW w:type="dxa" w:w="2508"/>
            <w:vAlign w:val="top"/>
            <w:shd w:fill="F2F5F8"/>
          </w:tcPr>
          <w:p>
            <w:pPr>
              <w:spacing w:after="40"/>
            </w:pPr>
            <w:r/>
            <w:r>
              <w:rPr>
                <w:rFonts w:ascii="Aptos" w:hAnsi="Aptos"/>
                <w:b w:val="0"/>
                <w:sz w:val="15"/>
              </w:rPr>
              <w:t>Approved material specification and qualified modulus test data, supplier/lot genealogy and incoming approval. Status: OPEN — EVIDENCE.</w:t>
            </w:r>
          </w:p>
        </w:tc>
        <w:tc>
          <w:tcPr>
            <w:tcW w:type="dxa" w:w="2508"/>
            <w:vAlign w:val="top"/>
            <w:shd w:fill="F2F5F8"/>
          </w:tcPr>
          <w:p>
            <w:pPr>
              <w:spacing w:after="40"/>
            </w:pPr>
            <w:r/>
            <w:r>
              <w:rPr>
                <w:rFonts w:ascii="Aptos" w:hAnsi="Aptos"/>
                <w:b w:val="0"/>
                <w:sz w:val="15"/>
              </w:rPr>
              <w:t>PROPOSED DRAFT</w:t>
            </w:r>
          </w:p>
        </w:tc>
        <w:tc>
          <w:tcPr>
            <w:tcW w:type="dxa" w:w="2508"/>
            <w:vAlign w:val="top"/>
            <w:shd w:fill="F2F5F8"/>
          </w:tcPr>
          <w:p>
            <w:pPr>
              <w:spacing w:after="40"/>
            </w:pPr>
            <w:r/>
            <w:r>
              <w:rPr>
                <w:rFonts w:ascii="Aptos" w:hAnsi="Aptos"/>
                <w:b w:val="0"/>
                <w:sz w:val="15"/>
              </w:rPr>
              <w:t>OPEN — NOT VERIFIED</w:t>
            </w:r>
          </w:p>
        </w:tc>
      </w:tr>
      <w:tr>
        <w:tc>
          <w:tcPr>
            <w:tcW w:type="dxa" w:w="2508"/>
            <w:vAlign w:val="top"/>
          </w:tcPr>
          <w:p>
            <w:pPr>
              <w:spacing w:after="40"/>
            </w:pPr>
            <w:r/>
            <w:r>
              <w:rPr>
                <w:rFonts w:ascii="Aptos" w:hAnsi="Aptos"/>
                <w:b w:val="0"/>
                <w:sz w:val="15"/>
              </w:rPr>
              <w:t>3WS-G03 / Separate process-screening leakage from ISO pressure-decay type testing</w:t>
            </w:r>
          </w:p>
        </w:tc>
        <w:tc>
          <w:tcPr>
            <w:tcW w:type="dxa" w:w="2508"/>
            <w:vAlign w:val="top"/>
          </w:tcPr>
          <w:p>
            <w:pPr>
              <w:spacing w:after="40"/>
            </w:pPr>
            <w:r/>
            <w:r>
              <w:rPr>
                <w:rFonts w:ascii="Aptos" w:hAnsi="Aptos"/>
                <w:b w:val="0"/>
                <w:sz w:val="15"/>
              </w:rPr>
              <w:t>ISO 80369-7:2016, 4.3, 6.1.2; ISO p.4, PDF p.11 — Connector pressure-decay type test: 300–330 kPa air over 15–20 s (or higher pressure permitted); leakage no greater than 0.005 Pa·m³/s, using ISO 80369-20 Annex B and reference connector.</w:t>
            </w:r>
          </w:p>
        </w:tc>
        <w:tc>
          <w:tcPr>
            <w:tcW w:type="dxa" w:w="2508"/>
            <w:vAlign w:val="top"/>
          </w:tcPr>
          <w:p>
            <w:pPr>
              <w:spacing w:after="40"/>
            </w:pPr>
            <w:r/>
            <w:r>
              <w:rPr>
                <w:rFonts w:ascii="Aptos" w:hAnsi="Aptos"/>
                <w:b w:val="0"/>
                <w:sz w:val="15"/>
              </w:rPr>
              <w:t>Proposed §8.4: Retain 1.0 bar / 15–20 s and 2.4 bar / 0.2 s as separate approved in-process screening parameters subject to process validation. Do not label them as ISO 80369-7 §6.1.2 conformity tests. Establish a separa</w:t>
              <w:br/>
              <w:t>Linked original forms: i27</w:t>
            </w:r>
          </w:p>
        </w:tc>
        <w:tc>
          <w:tcPr>
            <w:tcW w:type="dxa" w:w="2508"/>
            <w:vAlign w:val="top"/>
          </w:tcPr>
          <w:p>
            <w:pPr>
              <w:spacing w:after="40"/>
            </w:pPr>
            <w:r/>
            <w:r>
              <w:rPr>
                <w:rFonts w:ascii="Aptos" w:hAnsi="Aptos"/>
                <w:b w:val="0"/>
                <w:sz w:val="15"/>
              </w:rPr>
              <w:t>Controlled process screening WI and validation; ISO 80369-20 Annex B type-test report; WI-8-2-6-05 and F-8-2-6-05 versions. Status: OPEN — EVIDENCE / MISSING SOURCE.</w:t>
            </w:r>
          </w:p>
        </w:tc>
        <w:tc>
          <w:tcPr>
            <w:tcW w:type="dxa" w:w="2508"/>
            <w:vAlign w:val="top"/>
          </w:tcPr>
          <w:p>
            <w:pPr>
              <w:spacing w:after="40"/>
            </w:pPr>
            <w:r/>
            <w:r>
              <w:rPr>
                <w:rFonts w:ascii="Aptos" w:hAnsi="Aptos"/>
                <w:b w:val="0"/>
                <w:sz w:val="15"/>
              </w:rPr>
              <w:t>PROPOSED DRAFT</w:t>
            </w:r>
          </w:p>
        </w:tc>
        <w:tc>
          <w:tcPr>
            <w:tcW w:type="dxa" w:w="2508"/>
            <w:vAlign w:val="top"/>
          </w:tcPr>
          <w:p>
            <w:pPr>
              <w:spacing w:after="40"/>
            </w:pPr>
            <w:r/>
            <w:r>
              <w:rPr>
                <w:rFonts w:ascii="Aptos" w:hAnsi="Aptos"/>
                <w:b w:val="0"/>
                <w:sz w:val="15"/>
              </w:rPr>
              <w:t>OPEN — NOT VERIFIED</w:t>
            </w:r>
          </w:p>
        </w:tc>
      </w:tr>
      <w:tr>
        <w:tc>
          <w:tcPr>
            <w:tcW w:type="dxa" w:w="2508"/>
            <w:vAlign w:val="top"/>
            <w:shd w:fill="F2F5F8"/>
          </w:tcPr>
          <w:p>
            <w:pPr>
              <w:spacing w:after="40"/>
            </w:pPr>
            <w:r/>
            <w:r>
              <w:rPr>
                <w:rFonts w:ascii="Aptos" w:hAnsi="Aptos"/>
                <w:b w:val="0"/>
                <w:sz w:val="15"/>
              </w:rPr>
              <w:t>3WS-G04 / Positive-pressure liquid leakage type test</w:t>
            </w:r>
          </w:p>
        </w:tc>
        <w:tc>
          <w:tcPr>
            <w:tcW w:type="dxa" w:w="2508"/>
            <w:vAlign w:val="top"/>
            <w:shd w:fill="F2F5F8"/>
          </w:tcPr>
          <w:p>
            <w:pPr>
              <w:spacing w:after="40"/>
            </w:pPr>
            <w:r/>
            <w:r>
              <w:rPr>
                <w:rFonts w:ascii="Aptos" w:hAnsi="Aptos"/>
                <w:b w:val="0"/>
                <w:sz w:val="15"/>
              </w:rPr>
              <w:t>ISO 80369-7:2016, 6.1.3, ISO p.5, PDF p.12 — Positive-pressure liquid leakage method: 300–330 kPa over 30–35 s with no falling drop of water using ISO 80369-20 Annex C and specified reference connector; alternative to pressure-decay for §6.1.1.</w:t>
            </w:r>
          </w:p>
        </w:tc>
        <w:tc>
          <w:tcPr>
            <w:tcW w:type="dxa" w:w="2508"/>
            <w:vAlign w:val="top"/>
            <w:shd w:fill="F2F5F8"/>
          </w:tcPr>
          <w:p>
            <w:pPr>
              <w:spacing w:after="40"/>
            </w:pPr>
            <w:r/>
            <w:r>
              <w:rPr>
                <w:rFonts w:ascii="Aptos" w:hAnsi="Aptos"/>
                <w:b w:val="0"/>
                <w:sz w:val="15"/>
              </w:rPr>
              <w:t>Proposed §8.5: Where the positive-pressure liquid method is selected for Luer connector fluid-leakage type verification, use the exact ISO 80369-7 §6.1.3 settings with approved ISO 80369-20 Annex C method and reference c</w:t>
              <w:br/>
              <w:t>Linked original forms: i27</w:t>
            </w:r>
          </w:p>
        </w:tc>
        <w:tc>
          <w:tcPr>
            <w:tcW w:type="dxa" w:w="2508"/>
            <w:vAlign w:val="top"/>
            <w:shd w:fill="F2F5F8"/>
          </w:tcPr>
          <w:p>
            <w:pPr>
              <w:spacing w:after="40"/>
            </w:pPr>
            <w:r/>
            <w:r>
              <w:rPr>
                <w:rFonts w:ascii="Aptos" w:hAnsi="Aptos"/>
                <w:b w:val="0"/>
                <w:sz w:val="15"/>
              </w:rPr>
              <w:t>Signed type-test report / external report and procedure WI-8-2-6-06/F-8-2-6-06 where applicable. Status: OPEN — EVIDENCE.</w:t>
            </w:r>
          </w:p>
        </w:tc>
        <w:tc>
          <w:tcPr>
            <w:tcW w:type="dxa" w:w="2508"/>
            <w:vAlign w:val="top"/>
            <w:shd w:fill="F2F5F8"/>
          </w:tcPr>
          <w:p>
            <w:pPr>
              <w:spacing w:after="40"/>
            </w:pPr>
            <w:r/>
            <w:r>
              <w:rPr>
                <w:rFonts w:ascii="Aptos" w:hAnsi="Aptos"/>
                <w:b w:val="0"/>
                <w:sz w:val="15"/>
              </w:rPr>
              <w:t>PROPOSED DRAFT</w:t>
            </w:r>
          </w:p>
        </w:tc>
        <w:tc>
          <w:tcPr>
            <w:tcW w:type="dxa" w:w="2508"/>
            <w:vAlign w:val="top"/>
            <w:shd w:fill="F2F5F8"/>
          </w:tcPr>
          <w:p>
            <w:pPr>
              <w:spacing w:after="40"/>
            </w:pPr>
            <w:r/>
            <w:r>
              <w:rPr>
                <w:rFonts w:ascii="Aptos" w:hAnsi="Aptos"/>
                <w:b w:val="0"/>
                <w:sz w:val="15"/>
              </w:rPr>
              <w:t>OPEN — NOT VERIFIED</w:t>
            </w:r>
          </w:p>
        </w:tc>
      </w:tr>
      <w:tr>
        <w:tc>
          <w:tcPr>
            <w:tcW w:type="dxa" w:w="2508"/>
            <w:vAlign w:val="top"/>
          </w:tcPr>
          <w:p>
            <w:pPr>
              <w:spacing w:after="40"/>
            </w:pPr>
            <w:r/>
            <w:r>
              <w:rPr>
                <w:rFonts w:ascii="Aptos" w:hAnsi="Aptos"/>
                <w:b w:val="0"/>
                <w:sz w:val="15"/>
              </w:rPr>
              <w:t>3WS-G05 / Sub-atmospheric pressure-air leakage</w:t>
            </w:r>
          </w:p>
        </w:tc>
        <w:tc>
          <w:tcPr>
            <w:tcW w:type="dxa" w:w="2508"/>
            <w:vAlign w:val="top"/>
          </w:tcPr>
          <w:p>
            <w:pPr>
              <w:spacing w:after="40"/>
            </w:pPr>
            <w:r/>
            <w:r>
              <w:rPr>
                <w:rFonts w:ascii="Aptos" w:hAnsi="Aptos"/>
                <w:b w:val="0"/>
                <w:sz w:val="15"/>
              </w:rPr>
              <w:t>ISO 80369-7:2016, 6.2, ISO p.5, PDF p.12 — Connectors must meet sub-atmospheric air leakage threshold &lt;=0.005 Pa·m³/s at applied sub-atmospheric pressure 80–88 kPa for 15–20 s, ISO 80369-20 Annex D.</w:t>
            </w:r>
          </w:p>
        </w:tc>
        <w:tc>
          <w:tcPr>
            <w:tcW w:type="dxa" w:w="2508"/>
            <w:vAlign w:val="top"/>
          </w:tcPr>
          <w:p>
            <w:pPr>
              <w:spacing w:after="40"/>
            </w:pPr>
            <w:r/>
            <w:r>
              <w:rPr>
                <w:rFonts w:ascii="Aptos" w:hAnsi="Aptos"/>
                <w:b w:val="0"/>
                <w:sz w:val="15"/>
              </w:rPr>
              <w:t>Proposed §8.6: Include applicable Luer connector sub-atmospheric pressure-air leakage in design/type qualification; perform per approved ISO 80369-20 Annex D procedure and retain measured rate and acceptance verdict. Rou</w:t>
              <w:br/>
              <w:t>Linked original forms: i27</w:t>
            </w:r>
          </w:p>
        </w:tc>
        <w:tc>
          <w:tcPr>
            <w:tcW w:type="dxa" w:w="2508"/>
            <w:vAlign w:val="top"/>
          </w:tcPr>
          <w:p>
            <w:pPr>
              <w:spacing w:after="40"/>
            </w:pPr>
            <w:r/>
            <w:r>
              <w:rPr>
                <w:rFonts w:ascii="Aptos" w:hAnsi="Aptos"/>
                <w:b w:val="0"/>
                <w:sz w:val="15"/>
              </w:rPr>
              <w:t>Approved connector type qualification/evidence; Annex D method record. Status: OPEN — EVIDENCE.</w:t>
            </w:r>
          </w:p>
        </w:tc>
        <w:tc>
          <w:tcPr>
            <w:tcW w:type="dxa" w:w="2508"/>
            <w:vAlign w:val="top"/>
          </w:tcPr>
          <w:p>
            <w:pPr>
              <w:spacing w:after="40"/>
            </w:pPr>
            <w:r/>
            <w:r>
              <w:rPr>
                <w:rFonts w:ascii="Aptos" w:hAnsi="Aptos"/>
                <w:b w:val="0"/>
                <w:sz w:val="15"/>
              </w:rPr>
              <w:t>PROPOSED DRAFT</w:t>
            </w:r>
          </w:p>
        </w:tc>
        <w:tc>
          <w:tcPr>
            <w:tcW w:type="dxa" w:w="2508"/>
            <w:vAlign w:val="top"/>
          </w:tcPr>
          <w:p>
            <w:pPr>
              <w:spacing w:after="40"/>
            </w:pPr>
            <w:r/>
            <w:r>
              <w:rPr>
                <w:rFonts w:ascii="Aptos" w:hAnsi="Aptos"/>
                <w:b w:val="0"/>
                <w:sz w:val="15"/>
              </w:rPr>
              <w:t>OPEN — NOT VERIFIED</w:t>
            </w:r>
          </w:p>
        </w:tc>
      </w:tr>
      <w:tr>
        <w:tc>
          <w:tcPr>
            <w:tcW w:type="dxa" w:w="2508"/>
            <w:vAlign w:val="top"/>
            <w:shd w:fill="F2F5F8"/>
          </w:tcPr>
          <w:p>
            <w:pPr>
              <w:spacing w:after="40"/>
            </w:pPr>
            <w:r/>
            <w:r>
              <w:rPr>
                <w:rFonts w:ascii="Aptos" w:hAnsi="Aptos"/>
                <w:b w:val="0"/>
                <w:sz w:val="15"/>
              </w:rPr>
              <w:t>3WS-G06 / Stress-cracking verification of Luer connectors</w:t>
            </w:r>
          </w:p>
        </w:tc>
        <w:tc>
          <w:tcPr>
            <w:tcW w:type="dxa" w:w="2508"/>
            <w:vAlign w:val="top"/>
            <w:shd w:fill="F2F5F8"/>
          </w:tcPr>
          <w:p>
            <w:pPr>
              <w:spacing w:after="40"/>
            </w:pPr>
            <w:r/>
            <w:r>
              <w:rPr>
                <w:rFonts w:ascii="Aptos" w:hAnsi="Aptos"/>
                <w:b w:val="0"/>
                <w:sz w:val="15"/>
              </w:rPr>
              <w:t>ISO 80369-7:2016, 6.3, ISO p.5, PDF p.12 — Connectors must satisfy §6.1.1 leakage requirement following ISO 80369-20 Annex E stresses.</w:t>
            </w:r>
          </w:p>
        </w:tc>
        <w:tc>
          <w:tcPr>
            <w:tcW w:type="dxa" w:w="2508"/>
            <w:vAlign w:val="top"/>
            <w:shd w:fill="F2F5F8"/>
          </w:tcPr>
          <w:p>
            <w:pPr>
              <w:spacing w:after="40"/>
            </w:pPr>
            <w:r/>
            <w:r>
              <w:rPr>
                <w:rFonts w:ascii="Aptos" w:hAnsi="Aptos"/>
                <w:b w:val="0"/>
                <w:sz w:val="15"/>
              </w:rPr>
              <w:t>Proposed §8.7: Verify connector stress cracking as a documented ISO 80369-7 type test after ISO 80369-20 Annex E exposure, followed by applicable fluid leakage test. Confirm material/sterilization/process configuration c</w:t>
              <w:br/>
              <w:t>Linked original forms: i27, i15</w:t>
            </w:r>
          </w:p>
        </w:tc>
        <w:tc>
          <w:tcPr>
            <w:tcW w:type="dxa" w:w="2508"/>
            <w:vAlign w:val="top"/>
            <w:shd w:fill="F2F5F8"/>
          </w:tcPr>
          <w:p>
            <w:pPr>
              <w:spacing w:after="40"/>
            </w:pPr>
            <w:r/>
            <w:r>
              <w:rPr>
                <w:rFonts w:ascii="Aptos" w:hAnsi="Aptos"/>
                <w:b w:val="0"/>
                <w:sz w:val="15"/>
              </w:rPr>
              <w:t>Qualified stress-cracking report and applicability matrix. Status: OPEN — EVIDENCE.</w:t>
            </w:r>
          </w:p>
        </w:tc>
        <w:tc>
          <w:tcPr>
            <w:tcW w:type="dxa" w:w="2508"/>
            <w:vAlign w:val="top"/>
            <w:shd w:fill="F2F5F8"/>
          </w:tcPr>
          <w:p>
            <w:pPr>
              <w:spacing w:after="40"/>
            </w:pPr>
            <w:r/>
            <w:r>
              <w:rPr>
                <w:rFonts w:ascii="Aptos" w:hAnsi="Aptos"/>
                <w:b w:val="0"/>
                <w:sz w:val="15"/>
              </w:rPr>
              <w:t>PROPOSED DRAFT</w:t>
            </w:r>
          </w:p>
        </w:tc>
        <w:tc>
          <w:tcPr>
            <w:tcW w:type="dxa" w:w="2508"/>
            <w:vAlign w:val="top"/>
            <w:shd w:fill="F2F5F8"/>
          </w:tcPr>
          <w:p>
            <w:pPr>
              <w:spacing w:after="40"/>
            </w:pPr>
            <w:r/>
            <w:r>
              <w:rPr>
                <w:rFonts w:ascii="Aptos" w:hAnsi="Aptos"/>
                <w:b w:val="0"/>
                <w:sz w:val="15"/>
              </w:rPr>
              <w:t>OPEN — NOT VERIFIED</w:t>
            </w:r>
          </w:p>
        </w:tc>
      </w:tr>
      <w:tr>
        <w:tc>
          <w:tcPr>
            <w:tcW w:type="dxa" w:w="2508"/>
            <w:vAlign w:val="top"/>
          </w:tcPr>
          <w:p>
            <w:pPr>
              <w:spacing w:after="40"/>
            </w:pPr>
            <w:r/>
            <w:r>
              <w:rPr>
                <w:rFonts w:ascii="Aptos" w:hAnsi="Aptos"/>
                <w:b w:val="0"/>
                <w:sz w:val="15"/>
              </w:rPr>
              <w:t>3WS-G07 / Axial separation force of Luer connection</w:t>
            </w:r>
          </w:p>
        </w:tc>
        <w:tc>
          <w:tcPr>
            <w:tcW w:type="dxa" w:w="2508"/>
            <w:vAlign w:val="top"/>
          </w:tcPr>
          <w:p>
            <w:pPr>
              <w:spacing w:after="40"/>
            </w:pPr>
            <w:r/>
            <w:r>
              <w:rPr>
                <w:rFonts w:ascii="Aptos" w:hAnsi="Aptos"/>
                <w:b w:val="0"/>
                <w:sz w:val="15"/>
              </w:rPr>
              <w:t>ISO 80369-7:2016, 6.4, ISO p.5, PDF p.12 — No separation at axial force 23–25 N for Luer slip or 32–35 N for Luer lock, hold 10–15 s (higher force/longer time allowed), tested with ISO 80369-20 Annex F.</w:t>
            </w:r>
          </w:p>
        </w:tc>
        <w:tc>
          <w:tcPr>
            <w:tcW w:type="dxa" w:w="2508"/>
            <w:vAlign w:val="top"/>
          </w:tcPr>
          <w:p>
            <w:pPr>
              <w:spacing w:after="40"/>
            </w:pPr>
            <w:r/>
            <w:r>
              <w:rPr>
                <w:rFonts w:ascii="Aptos" w:hAnsi="Aptos"/>
                <w:b w:val="0"/>
                <w:sz w:val="15"/>
              </w:rPr>
              <w:t>Proposed §8.8: Verify Luer mating-part axial separation by the connector class and reference-connector method in ISO 80369-7 §6.4; retain a distinct test from tube bond and knob retention checks.</w:t>
              <w:br/>
              <w:t>Linked original forms: i27</w:t>
            </w:r>
          </w:p>
        </w:tc>
        <w:tc>
          <w:tcPr>
            <w:tcW w:type="dxa" w:w="2508"/>
            <w:vAlign w:val="top"/>
          </w:tcPr>
          <w:p>
            <w:pPr>
              <w:spacing w:after="40"/>
            </w:pPr>
            <w:r/>
            <w:r>
              <w:rPr>
                <w:rFonts w:ascii="Aptos" w:hAnsi="Aptos"/>
                <w:b w:val="0"/>
                <w:sz w:val="15"/>
              </w:rPr>
              <w:t>Approved Annex F qualification reports; product connector type definition. Status: OPEN — EVIDENCE.</w:t>
            </w:r>
          </w:p>
        </w:tc>
        <w:tc>
          <w:tcPr>
            <w:tcW w:type="dxa" w:w="2508"/>
            <w:vAlign w:val="top"/>
          </w:tcPr>
          <w:p>
            <w:pPr>
              <w:spacing w:after="40"/>
            </w:pPr>
            <w:r/>
            <w:r>
              <w:rPr>
                <w:rFonts w:ascii="Aptos" w:hAnsi="Aptos"/>
                <w:b w:val="0"/>
                <w:sz w:val="15"/>
              </w:rPr>
              <w:t>PROPOSED DRAFT</w:t>
            </w:r>
          </w:p>
        </w:tc>
        <w:tc>
          <w:tcPr>
            <w:tcW w:type="dxa" w:w="2508"/>
            <w:vAlign w:val="top"/>
          </w:tcPr>
          <w:p>
            <w:pPr>
              <w:spacing w:after="40"/>
            </w:pPr>
            <w:r/>
            <w:r>
              <w:rPr>
                <w:rFonts w:ascii="Aptos" w:hAnsi="Aptos"/>
                <w:b w:val="0"/>
                <w:sz w:val="15"/>
              </w:rPr>
              <w:t>OPEN — NOT VERIFIED</w:t>
            </w:r>
          </w:p>
        </w:tc>
      </w:tr>
      <w:tr>
        <w:tc>
          <w:tcPr>
            <w:tcW w:type="dxa" w:w="2508"/>
            <w:vAlign w:val="top"/>
            <w:shd w:fill="F2F5F8"/>
          </w:tcPr>
          <w:p>
            <w:pPr>
              <w:spacing w:after="40"/>
            </w:pPr>
            <w:r/>
            <w:r>
              <w:rPr>
                <w:rFonts w:ascii="Aptos" w:hAnsi="Aptos"/>
                <w:b w:val="0"/>
                <w:sz w:val="15"/>
              </w:rPr>
              <w:t>3WS-G08 / Luer-lock unscrewing torque resistance</w:t>
            </w:r>
          </w:p>
        </w:tc>
        <w:tc>
          <w:tcPr>
            <w:tcW w:type="dxa" w:w="2508"/>
            <w:vAlign w:val="top"/>
            <w:shd w:fill="F2F5F8"/>
          </w:tcPr>
          <w:p>
            <w:pPr>
              <w:spacing w:after="40"/>
            </w:pPr>
            <w:r/>
            <w:r>
              <w:rPr>
                <w:rFonts w:ascii="Aptos" w:hAnsi="Aptos"/>
                <w:b w:val="0"/>
                <w:sz w:val="15"/>
              </w:rPr>
              <w:t>ISO 80369-7:2016, 6.5, ISO p.5, PDF p.12 — Luer-lock connectors shall remain engaged under 0.0198–0.0200 N·m unscrewing torque for 10–15 s (higher/longer allowed), per ISO 80369-20 Annex G.</w:t>
            </w:r>
          </w:p>
        </w:tc>
        <w:tc>
          <w:tcPr>
            <w:tcW w:type="dxa" w:w="2508"/>
            <w:vAlign w:val="top"/>
            <w:shd w:fill="F2F5F8"/>
          </w:tcPr>
          <w:p>
            <w:pPr>
              <w:spacing w:after="40"/>
            </w:pPr>
            <w:r/>
            <w:r>
              <w:rPr>
                <w:rFonts w:ascii="Aptos" w:hAnsi="Aptos"/>
                <w:b w:val="0"/>
                <w:sz w:val="15"/>
              </w:rPr>
              <w:t>Proposed §8.9: Qualify each relevant Luer-lock connector for resistance to unscrewing with controlled torque, hold, reference connector and acceptance decision. Change in molded thread design/material triggers documented</w:t>
              <w:br/>
              <w:t>Linked original forms: i27</w:t>
            </w:r>
          </w:p>
        </w:tc>
        <w:tc>
          <w:tcPr>
            <w:tcW w:type="dxa" w:w="2508"/>
            <w:vAlign w:val="top"/>
            <w:shd w:fill="F2F5F8"/>
          </w:tcPr>
          <w:p>
            <w:pPr>
              <w:spacing w:after="40"/>
            </w:pPr>
            <w:r/>
            <w:r>
              <w:rPr>
                <w:rFonts w:ascii="Aptos" w:hAnsi="Aptos"/>
                <w:b w:val="0"/>
                <w:sz w:val="15"/>
              </w:rPr>
              <w:t>Approved torque-resistance test evidence; ISO 80369-20 method document (not supplied). Status: OPEN — EVIDENCE.</w:t>
            </w:r>
          </w:p>
        </w:tc>
        <w:tc>
          <w:tcPr>
            <w:tcW w:type="dxa" w:w="2508"/>
            <w:vAlign w:val="top"/>
            <w:shd w:fill="F2F5F8"/>
          </w:tcPr>
          <w:p>
            <w:pPr>
              <w:spacing w:after="40"/>
            </w:pPr>
            <w:r/>
            <w:r>
              <w:rPr>
                <w:rFonts w:ascii="Aptos" w:hAnsi="Aptos"/>
                <w:b w:val="0"/>
                <w:sz w:val="15"/>
              </w:rPr>
              <w:t>PROPOSED DRAFT</w:t>
            </w:r>
          </w:p>
        </w:tc>
        <w:tc>
          <w:tcPr>
            <w:tcW w:type="dxa" w:w="2508"/>
            <w:vAlign w:val="top"/>
            <w:shd w:fill="F2F5F8"/>
          </w:tcPr>
          <w:p>
            <w:pPr>
              <w:spacing w:after="40"/>
            </w:pPr>
            <w:r/>
            <w:r>
              <w:rPr>
                <w:rFonts w:ascii="Aptos" w:hAnsi="Aptos"/>
                <w:b w:val="0"/>
                <w:sz w:val="15"/>
              </w:rPr>
              <w:t>OPEN — NOT VERIFIED</w:t>
            </w:r>
          </w:p>
        </w:tc>
      </w:tr>
      <w:tr>
        <w:tc>
          <w:tcPr>
            <w:tcW w:type="dxa" w:w="2508"/>
            <w:vAlign w:val="top"/>
          </w:tcPr>
          <w:p>
            <w:pPr>
              <w:spacing w:after="40"/>
            </w:pPr>
            <w:r/>
            <w:r>
              <w:rPr>
                <w:rFonts w:ascii="Aptos" w:hAnsi="Aptos"/>
                <w:b w:val="0"/>
                <w:sz w:val="15"/>
              </w:rPr>
              <w:t>3WS-G09 / Luer-lock overriding resistance</w:t>
            </w:r>
          </w:p>
        </w:tc>
        <w:tc>
          <w:tcPr>
            <w:tcW w:type="dxa" w:w="2508"/>
            <w:vAlign w:val="top"/>
          </w:tcPr>
          <w:p>
            <w:pPr>
              <w:spacing w:after="40"/>
            </w:pPr>
            <w:r/>
            <w:r>
              <w:rPr>
                <w:rFonts w:ascii="Aptos" w:hAnsi="Aptos"/>
                <w:b w:val="0"/>
                <w:sz w:val="15"/>
              </w:rPr>
              <w:t>ISO 80369-7:2016, 6.6, ISO p.5, PDF p.12 — Luer-lock connectors must not override reference threads/lugs under 0.15–0.17 N·m applied torque over 5–10 s (greater torque permitted).</w:t>
            </w:r>
          </w:p>
        </w:tc>
        <w:tc>
          <w:tcPr>
            <w:tcW w:type="dxa" w:w="2508"/>
            <w:vAlign w:val="top"/>
          </w:tcPr>
          <w:p>
            <w:pPr>
              <w:spacing w:after="40"/>
            </w:pPr>
            <w:r/>
            <w:r>
              <w:rPr>
                <w:rFonts w:ascii="Aptos" w:hAnsi="Aptos"/>
                <w:b w:val="0"/>
                <w:sz w:val="15"/>
              </w:rPr>
              <w:t>Proposed §8.10: Qualify lock connector engagement by the ISO 80369-7 §6.6 torque/hold test using the correct reference connector. Record structural/functional overriding result and report linkage, with requalification on</w:t>
              <w:br/>
              <w:t>Linked original forms: i27</w:t>
            </w:r>
          </w:p>
        </w:tc>
        <w:tc>
          <w:tcPr>
            <w:tcW w:type="dxa" w:w="2508"/>
            <w:vAlign w:val="top"/>
          </w:tcPr>
          <w:p>
            <w:pPr>
              <w:spacing w:after="40"/>
            </w:pPr>
            <w:r/>
            <w:r>
              <w:rPr>
                <w:rFonts w:ascii="Aptos" w:hAnsi="Aptos"/>
                <w:b w:val="0"/>
                <w:sz w:val="15"/>
              </w:rPr>
              <w:t>Approved ISO 80369-7 §6.6 report, controlled ISO 80369-20 method. Status: OPEN — EVIDENCE.</w:t>
            </w:r>
          </w:p>
        </w:tc>
        <w:tc>
          <w:tcPr>
            <w:tcW w:type="dxa" w:w="2508"/>
            <w:vAlign w:val="top"/>
          </w:tcPr>
          <w:p>
            <w:pPr>
              <w:spacing w:after="40"/>
            </w:pPr>
            <w:r/>
            <w:r>
              <w:rPr>
                <w:rFonts w:ascii="Aptos" w:hAnsi="Aptos"/>
                <w:b w:val="0"/>
                <w:sz w:val="15"/>
              </w:rPr>
              <w:t>PROPOSED DRAFT</w:t>
            </w:r>
          </w:p>
        </w:tc>
        <w:tc>
          <w:tcPr>
            <w:tcW w:type="dxa" w:w="2508"/>
            <w:vAlign w:val="top"/>
          </w:tcPr>
          <w:p>
            <w:pPr>
              <w:spacing w:after="40"/>
            </w:pPr>
            <w:r/>
            <w:r>
              <w:rPr>
                <w:rFonts w:ascii="Aptos" w:hAnsi="Aptos"/>
                <w:b w:val="0"/>
                <w:sz w:val="15"/>
              </w:rPr>
              <w:t>OPEN — NOT VERIFIED</w:t>
            </w:r>
          </w:p>
        </w:tc>
      </w:tr>
      <w:tr>
        <w:tc>
          <w:tcPr>
            <w:tcW w:type="dxa" w:w="2508"/>
            <w:vAlign w:val="top"/>
            <w:shd w:fill="F2F5F8"/>
          </w:tcPr>
          <w:p>
            <w:pPr>
              <w:spacing w:after="40"/>
            </w:pPr>
            <w:r/>
            <w:r>
              <w:rPr>
                <w:rFonts w:ascii="Aptos" w:hAnsi="Aptos"/>
                <w:b w:val="0"/>
                <w:sz w:val="15"/>
              </w:rPr>
              <w:t>3WS-G10 / Ambiguous bonding-strength acceptance unit/direction</w:t>
            </w:r>
          </w:p>
        </w:tc>
        <w:tc>
          <w:tcPr>
            <w:tcW w:type="dxa" w:w="2508"/>
            <w:vAlign w:val="top"/>
            <w:shd w:fill="F2F5F8"/>
          </w:tcPr>
          <w:p>
            <w:pPr>
              <w:spacing w:after="40"/>
            </w:pPr>
            <w:r/>
            <w:r>
              <w:rPr>
                <w:rFonts w:ascii="Aptos" w:hAnsi="Aptos"/>
                <w:b w:val="0"/>
                <w:sz w:val="15"/>
              </w:rPr>
              <w:t>Company-specific WI acceptance and document consistency; ISO 8536 mentioned in WI but source not supplied. No verified clause or numeric ISO threshold asserted. — The supplied ISO 80369-7 specifies connector separation performance under §6.4, but does not itself justify a tube-to-connector bonding threshold of 15 N.</w:t>
            </w:r>
          </w:p>
        </w:tc>
        <w:tc>
          <w:tcPr>
            <w:tcW w:type="dxa" w:w="2508"/>
            <w:vAlign w:val="top"/>
            <w:shd w:fill="F2F5F8"/>
          </w:tcPr>
          <w:p>
            <w:pPr>
              <w:spacing w:after="40"/>
            </w:pPr>
            <w:r/>
            <w:r>
              <w:rPr>
                <w:rFonts w:ascii="Aptos" w:hAnsi="Aptos"/>
                <w:b w:val="0"/>
                <w:sz w:val="15"/>
              </w:rPr>
              <w:t>Proposed §8.11: Tube-to-connector bonding strength shall be assessed at the exact force (N), duration (s), sample arrangement and acceptance rule documented in approved TF-29-PS and authorized test method. HOLD: OPEN TEC</w:t>
              <w:br/>
              <w:t>Linked original forms: i27</w:t>
            </w:r>
          </w:p>
        </w:tc>
        <w:tc>
          <w:tcPr>
            <w:tcW w:type="dxa" w:w="2508"/>
            <w:vAlign w:val="top"/>
            <w:shd w:fill="F2F5F8"/>
          </w:tcPr>
          <w:p>
            <w:pPr>
              <w:spacing w:after="40"/>
            </w:pPr>
            <w:r/>
            <w:r>
              <w:rPr>
                <w:rFonts w:ascii="Aptos" w:hAnsi="Aptos"/>
                <w:b w:val="0"/>
                <w:sz w:val="15"/>
              </w:rPr>
              <w:t>Controlled TF-29-PS + referenced EN ISO 8536 section and test method; verification of signed company limit. Status: OPEN — TECHNICAL INPUT / APPROVAL.</w:t>
            </w:r>
          </w:p>
        </w:tc>
        <w:tc>
          <w:tcPr>
            <w:tcW w:type="dxa" w:w="2508"/>
            <w:vAlign w:val="top"/>
            <w:shd w:fill="F2F5F8"/>
          </w:tcPr>
          <w:p>
            <w:pPr>
              <w:spacing w:after="40"/>
            </w:pPr>
            <w:r/>
            <w:r>
              <w:rPr>
                <w:rFonts w:ascii="Aptos" w:hAnsi="Aptos"/>
                <w:b w:val="0"/>
                <w:sz w:val="15"/>
              </w:rPr>
              <w:t>PROPOSED DRAFT</w:t>
            </w:r>
          </w:p>
        </w:tc>
        <w:tc>
          <w:tcPr>
            <w:tcW w:type="dxa" w:w="2508"/>
            <w:vAlign w:val="top"/>
            <w:shd w:fill="F2F5F8"/>
          </w:tcPr>
          <w:p>
            <w:pPr>
              <w:spacing w:after="40"/>
            </w:pPr>
            <w:r/>
            <w:r>
              <w:rPr>
                <w:rFonts w:ascii="Aptos" w:hAnsi="Aptos"/>
                <w:b w:val="0"/>
                <w:sz w:val="15"/>
              </w:rPr>
              <w:t>OPEN — NOT VERIFIED</w:t>
            </w:r>
          </w:p>
        </w:tc>
      </w:tr>
      <w:tr>
        <w:tc>
          <w:tcPr>
            <w:tcW w:type="dxa" w:w="2508"/>
            <w:vAlign w:val="top"/>
          </w:tcPr>
          <w:p>
            <w:pPr>
              <w:spacing w:after="40"/>
            </w:pPr>
            <w:r/>
            <w:r>
              <w:rPr>
                <w:rFonts w:ascii="Aptos" w:hAnsi="Aptos"/>
                <w:b w:val="0"/>
                <w:sz w:val="15"/>
              </w:rPr>
              <w:t>3WS-G11 / Manual versus automated line recording mismatch</w:t>
            </w:r>
          </w:p>
        </w:tc>
        <w:tc>
          <w:tcPr>
            <w:tcW w:type="dxa" w:w="2508"/>
            <w:vAlign w:val="top"/>
          </w:tcPr>
          <w:p>
            <w:pPr>
              <w:spacing w:after="40"/>
            </w:pPr>
            <w:r/>
            <w:r>
              <w:rPr>
                <w:rFonts w:ascii="Aptos" w:hAnsi="Aptos"/>
                <w:b w:val="0"/>
                <w:sz w:val="15"/>
              </w:rPr>
              <w:t>Document control and operational evidence traceability: WI-8-2-2-29 Rev.8 pp.4–8 §§6–8; no direct new ISO requirement claimed. — The WI establishes separate company process-screening routes for manual air leak 1.0 bar/15–20 s and automated 2.4 bar/0.2 s; ISO 80369-7 §4.3 reserves conformance verification to type tests.</w:t>
            </w:r>
          </w:p>
        </w:tc>
        <w:tc>
          <w:tcPr>
            <w:tcW w:type="dxa" w:w="2508"/>
            <w:vAlign w:val="top"/>
          </w:tcPr>
          <w:p>
            <w:pPr>
              <w:spacing w:after="40"/>
            </w:pPr>
            <w:r/>
            <w:r>
              <w:rPr>
                <w:rFonts w:ascii="Aptos" w:hAnsi="Aptos"/>
                <w:b w:val="0"/>
                <w:sz w:val="15"/>
              </w:rPr>
              <w:t>Proposed §7.3: Record assembly route as MANUAL or AUTOMATED. For manual route record 1.0 bar/15–20 s; for automated 2.4 bar/0.2 s when machine settings remain approved. Link the correct controlled record (F-823-i27A if a</w:t>
              <w:br/>
              <w:t>Linked original forms: i27</w:t>
            </w:r>
          </w:p>
        </w:tc>
        <w:tc>
          <w:tcPr>
            <w:tcW w:type="dxa" w:w="2508"/>
            <w:vAlign w:val="top"/>
          </w:tcPr>
          <w:p>
            <w:pPr>
              <w:spacing w:after="40"/>
            </w:pPr>
            <w:r/>
            <w:r>
              <w:rPr>
                <w:rFonts w:ascii="Aptos" w:hAnsi="Aptos"/>
                <w:b w:val="0"/>
                <w:sz w:val="15"/>
              </w:rPr>
              <w:t>Approved i27A or formal decision to use i27 for both routes; process validation &amp; challenge records. Status: OPEN — EVIDENCE / DOCUMENT CONTROL.</w:t>
            </w:r>
          </w:p>
        </w:tc>
        <w:tc>
          <w:tcPr>
            <w:tcW w:type="dxa" w:w="2508"/>
            <w:vAlign w:val="top"/>
          </w:tcPr>
          <w:p>
            <w:pPr>
              <w:spacing w:after="40"/>
            </w:pPr>
            <w:r/>
            <w:r>
              <w:rPr>
                <w:rFonts w:ascii="Aptos" w:hAnsi="Aptos"/>
                <w:b w:val="0"/>
                <w:sz w:val="15"/>
              </w:rPr>
              <w:t>PROPOSED DRAFT</w:t>
            </w:r>
          </w:p>
        </w:tc>
        <w:tc>
          <w:tcPr>
            <w:tcW w:type="dxa" w:w="2508"/>
            <w:vAlign w:val="top"/>
          </w:tcPr>
          <w:p>
            <w:pPr>
              <w:spacing w:after="40"/>
            </w:pPr>
            <w:r/>
            <w:r>
              <w:rPr>
                <w:rFonts w:ascii="Aptos" w:hAnsi="Aptos"/>
                <w:b w:val="0"/>
                <w:sz w:val="15"/>
              </w:rPr>
              <w:t>OPEN — NOT VERIFIED</w:t>
            </w:r>
          </w:p>
        </w:tc>
      </w:tr>
      <w:tr>
        <w:tc>
          <w:tcPr>
            <w:tcW w:type="dxa" w:w="2508"/>
            <w:vAlign w:val="top"/>
            <w:shd w:fill="F2F5F8"/>
          </w:tcPr>
          <w:p>
            <w:pPr>
              <w:spacing w:after="40"/>
            </w:pPr>
            <w:r/>
            <w:r>
              <w:rPr>
                <w:rFonts w:ascii="Aptos" w:hAnsi="Aptos"/>
                <w:b w:val="0"/>
                <w:sz w:val="15"/>
              </w:rPr>
              <w:t>3WS-G12 / EO cycle and finished-product release separation</w:t>
            </w:r>
          </w:p>
        </w:tc>
        <w:tc>
          <w:tcPr>
            <w:tcW w:type="dxa" w:w="2508"/>
            <w:vAlign w:val="top"/>
            <w:shd w:fill="F2F5F8"/>
          </w:tcPr>
          <w:p>
            <w:pPr>
              <w:spacing w:after="40"/>
            </w:pPr>
            <w:r/>
            <w:r>
              <w:rPr>
                <w:rFonts w:ascii="Aptos" w:hAnsi="Aptos"/>
                <w:b w:val="0"/>
                <w:sz w:val="15"/>
              </w:rPr>
              <w:t>ISO 11135:2014, 11.1–11.3, ISO p.23, PDF p.35 — EO sterilization load release must verify defined routine process conformity, BI results if used and investigate failures before disposition.</w:t>
            </w:r>
          </w:p>
        </w:tc>
        <w:tc>
          <w:tcPr>
            <w:tcW w:type="dxa" w:w="2508"/>
            <w:vAlign w:val="top"/>
            <w:shd w:fill="F2F5F8"/>
          </w:tcPr>
          <w:p>
            <w:pPr>
              <w:spacing w:after="40"/>
            </w:pPr>
            <w:r/>
            <w:r>
              <w:rPr>
                <w:rFonts w:ascii="Aptos" w:hAnsi="Aptos"/>
                <w:b w:val="0"/>
                <w:sz w:val="15"/>
              </w:rPr>
              <w:t>Proposed §§11–12: Attach production lot to EO batch/load ID; verify validated-cycle protocol, actual parameters, BI outcome where used, deviations and approved release confirmation before finished-goods transfer. In-proc</w:t>
              <w:br/>
              <w:t>Linked original forms: i4-7, i27</w:t>
            </w:r>
          </w:p>
        </w:tc>
        <w:tc>
          <w:tcPr>
            <w:tcW w:type="dxa" w:w="2508"/>
            <w:vAlign w:val="top"/>
            <w:shd w:fill="F2F5F8"/>
          </w:tcPr>
          <w:p>
            <w:pPr>
              <w:spacing w:after="40"/>
            </w:pPr>
            <w:r/>
            <w:r>
              <w:rPr>
                <w:rFonts w:ascii="Aptos" w:hAnsi="Aptos"/>
                <w:b w:val="0"/>
                <w:sz w:val="15"/>
              </w:rPr>
              <w:t>Validated EO procedure, complete load data, BI results as applicable, QA/QC release, and deviations. Status: OPEN — EVIDENCE.</w:t>
            </w:r>
          </w:p>
        </w:tc>
        <w:tc>
          <w:tcPr>
            <w:tcW w:type="dxa" w:w="2508"/>
            <w:vAlign w:val="top"/>
            <w:shd w:fill="F2F5F8"/>
          </w:tcPr>
          <w:p>
            <w:pPr>
              <w:spacing w:after="40"/>
            </w:pPr>
            <w:r/>
            <w:r>
              <w:rPr>
                <w:rFonts w:ascii="Aptos" w:hAnsi="Aptos"/>
                <w:b w:val="0"/>
                <w:sz w:val="15"/>
              </w:rPr>
              <w:t>PROPOSED DRAFT</w:t>
            </w:r>
          </w:p>
        </w:tc>
        <w:tc>
          <w:tcPr>
            <w:tcW w:type="dxa" w:w="2508"/>
            <w:vAlign w:val="top"/>
            <w:shd w:fill="F2F5F8"/>
          </w:tcPr>
          <w:p>
            <w:pPr>
              <w:spacing w:after="40"/>
            </w:pPr>
            <w:r/>
            <w:r>
              <w:rPr>
                <w:rFonts w:ascii="Aptos" w:hAnsi="Aptos"/>
                <w:b w:val="0"/>
                <w:sz w:val="15"/>
              </w:rPr>
              <w:t>OPEN — NOT VERIFIED</w:t>
            </w:r>
          </w:p>
        </w:tc>
      </w:tr>
      <w:tr>
        <w:tc>
          <w:tcPr>
            <w:tcW w:type="dxa" w:w="2508"/>
            <w:vAlign w:val="top"/>
          </w:tcPr>
          <w:p>
            <w:pPr>
              <w:spacing w:after="40"/>
            </w:pPr>
            <w:r/>
            <w:r>
              <w:rPr>
                <w:rFonts w:ascii="Aptos" w:hAnsi="Aptos"/>
                <w:b w:val="0"/>
                <w:sz w:val="15"/>
              </w:rPr>
              <w:t>3WS-G13 / Packaging and shared-form document identity reconciliation</w:t>
            </w:r>
          </w:p>
        </w:tc>
        <w:tc>
          <w:tcPr>
            <w:tcW w:type="dxa" w:w="2508"/>
            <w:vAlign w:val="top"/>
          </w:tcPr>
          <w:p>
            <w:pPr>
              <w:spacing w:after="40"/>
            </w:pPr>
            <w:r/>
            <w:r>
              <w:rPr>
                <w:rFonts w:ascii="Aptos" w:hAnsi="Aptos"/>
                <w:b w:val="0"/>
                <w:sz w:val="15"/>
              </w:rPr>
              <w:t>Document-control finding: WI-8-2-2-29 Rev.8, p.10 §13 versus attached F-823-i4-7 Rev.3 and F-823-i4-1 Rev.5; no independent ISO clause claimed. — Exact controlled form mapping and approved applicability must be demonstrated before a process record is cited for release.</w:t>
            </w:r>
          </w:p>
        </w:tc>
        <w:tc>
          <w:tcPr>
            <w:tcW w:type="dxa" w:w="2508"/>
            <w:vAlign w:val="top"/>
          </w:tcPr>
          <w:p>
            <w:pPr>
              <w:spacing w:after="40"/>
            </w:pPr>
            <w:r/>
            <w:r>
              <w:rPr>
                <w:rFonts w:ascii="Aptos" w:hAnsi="Aptos"/>
                <w:b w:val="0"/>
                <w:sz w:val="15"/>
              </w:rPr>
              <w:t>Proposed §10.4: Maintain a controlled packaging-form applicability matrix by equipment/product and preserve F-823-i4, F-823-i4-7, and F-823-i4-1 as distinct identities pending document-control disposition. Preserve origi</w:t>
              <w:br/>
              <w:t>Linked original forms: i4-7, i4-1</w:t>
            </w:r>
          </w:p>
        </w:tc>
        <w:tc>
          <w:tcPr>
            <w:tcW w:type="dxa" w:w="2508"/>
            <w:vAlign w:val="top"/>
          </w:tcPr>
          <w:p>
            <w:pPr>
              <w:spacing w:after="40"/>
            </w:pPr>
            <w:r/>
            <w:r>
              <w:rPr>
                <w:rFonts w:ascii="Aptos" w:hAnsi="Aptos"/>
                <w:b w:val="0"/>
                <w:sz w:val="15"/>
              </w:rPr>
              <w:t>Master list, approved packaging applicability/validation and effective controlled revision approvals. Status: OPEN — APPROVAL / EVIDENCE.</w:t>
            </w:r>
          </w:p>
        </w:tc>
        <w:tc>
          <w:tcPr>
            <w:tcW w:type="dxa" w:w="2508"/>
            <w:vAlign w:val="top"/>
          </w:tcPr>
          <w:p>
            <w:pPr>
              <w:spacing w:after="40"/>
            </w:pPr>
            <w:r/>
            <w:r>
              <w:rPr>
                <w:rFonts w:ascii="Aptos" w:hAnsi="Aptos"/>
                <w:b w:val="0"/>
                <w:sz w:val="15"/>
              </w:rPr>
              <w:t>PROPOSED DRAFT</w:t>
            </w:r>
          </w:p>
        </w:tc>
        <w:tc>
          <w:tcPr>
            <w:tcW w:type="dxa" w:w="2508"/>
            <w:vAlign w:val="top"/>
          </w:tcPr>
          <w:p>
            <w:pPr>
              <w:spacing w:after="40"/>
            </w:pPr>
            <w:r/>
            <w:r>
              <w:rPr>
                <w:rFonts w:ascii="Aptos" w:hAnsi="Aptos"/>
                <w:b w:val="0"/>
                <w:sz w:val="15"/>
              </w:rPr>
              <w:t>OPEN — NOT VERIFIED</w:t>
            </w:r>
          </w:p>
        </w:tc>
      </w:tr>
    </w:tbl>
    <w:p>
      <w:pPr>
        <w:pStyle w:val="Heading1"/>
      </w:pPr>
      <w:r>
        <w:t>Coverage / no-gap review protocol</w:t>
      </w:r>
    </w:p>
    <w:p>
      <w:r>
        <w:t>The supplied requirements have been assessed to the depth of source links listed in the master gap report; the available pack is insufficient for a 100% requirement-by-requirement operational closure assertion. QA must validate the full applicability matrix against approved configurations and controlled specifications, including every relevant normative annex, before final approval.</w:t>
      </w:r>
    </w:p>
    <w:p>
      <w:pPr>
        <w:pStyle w:val="Heading1"/>
      </w:pPr>
      <w:r>
        <w:t>Evidence register - pending</w:t>
      </w:r>
    </w:p>
    <w:p>
      <w:pPr>
        <w:pStyle w:val="ListBullet"/>
      </w:pPr>
      <w:r>
        <w:t>PENDING — DD-02-PS / TF-29-PS current approved revision</w:t>
      </w:r>
    </w:p>
    <w:p>
      <w:pPr>
        <w:pStyle w:val="ListBullet"/>
      </w:pPr>
      <w:r>
        <w:t>PENDING — Approved product BOM and drawings, variants and applicable component supplier certificates</w:t>
      </w:r>
    </w:p>
    <w:p>
      <w:pPr>
        <w:pStyle w:val="ListBullet"/>
      </w:pPr>
      <w:r>
        <w:t>PENDING — Performance qualification/type testing with raw results and calibrations</w:t>
      </w:r>
    </w:p>
    <w:p>
      <w:pPr>
        <w:pStyle w:val="ListBullet"/>
      </w:pPr>
      <w:r>
        <w:t>PENDING — ISO 80369-20 text and company connector test work instructions where relevant</w:t>
      </w:r>
    </w:p>
    <w:p>
      <w:pPr>
        <w:pStyle w:val="ListBullet"/>
      </w:pPr>
      <w:r>
        <w:t>PENDING — EO sterilization validation, BI/control and product release records</w:t>
      </w:r>
    </w:p>
    <w:p>
      <w:pPr>
        <w:pStyle w:val="ListBullet"/>
      </w:pPr>
      <w:r>
        <w:t>PENDING — Controlled document index and effective dates</w:t>
      </w:r>
    </w:p>
    <w:p>
      <w:pPr>
        <w:pStyle w:val="ListBullet"/>
      </w:pPr>
      <w:r>
        <w:t>PENDING — Approved sampling plan, period/frequency risk rationale</w:t>
      </w:r>
    </w:p>
    <w:p>
      <w:pPr>
        <w:pStyle w:val="ListBullet"/>
      </w:pPr>
      <w:r>
        <w:t>PENDING — Approved packaging validation and machine recipes</w:t>
      </w:r>
    </w:p>
    <w:sectPr w:rsidR="00FC693F" w:rsidRPr="0006063C" w:rsidSect="00034616">
      <w:headerReference w:type="default" r:id="rId9"/>
      <w:footerReference w:type="default" r:id="rId10"/>
      <w:pgSz w:w="16834" w:h="11909" w:orient="landscape"/>
      <w:pgMar w:top="965" w:right="893" w:bottom="893" w:left="893" w:header="432"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Draft for technical review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4F5C6B"/>
        <w:sz w:val="14"/>
      </w:rPr>
      <w:t>SAUDI MAIS | QUALITY CONTROL   •   UNCONTROLLED REVIEW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4F5C6B"/>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Aptos Display" w:hAnsi="Aptos Display"/>
      <w:b/>
      <w:bCs/>
      <w:color w:val="112843"/>
      <w:sz w:val="29"/>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Aptos Display" w:hAnsi="Aptos Display"/>
      <w:b/>
      <w:bCs/>
      <w:color w:val="112843"/>
      <w:sz w:val="23"/>
      <w:szCs w:val="26"/>
    </w:rPr>
  </w:style>
  <w:style w:type="paragraph" w:styleId="Heading3">
    <w:name w:val="heading 3"/>
    <w:basedOn w:val="Normal"/>
    <w:next w:val="Normal"/>
    <w:link w:val="Heading3Char"/>
    <w:uiPriority w:val="9"/>
    <w:unhideWhenUsed/>
    <w:qFormat/>
    <w:rsid w:val="00FC693F"/>
    <w:pPr>
      <w:keepNext/>
      <w:keepLines/>
      <w:spacing w:before="260" w:after="100"/>
      <w:outlineLvl w:val="2"/>
    </w:pPr>
    <w:rPr>
      <w:rFonts w:asciiTheme="majorHAnsi" w:eastAsiaTheme="majorEastAsia" w:hAnsiTheme="majorHAnsi" w:cstheme="majorBidi" w:ascii="Aptos Display" w:hAnsi="Aptos Display"/>
      <w:b/>
      <w:bCs/>
      <w:color w:val="112843"/>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60"/>
      <w:contextualSpacing/>
    </w:pPr>
    <w:rPr>
      <w:rFonts w:asciiTheme="majorHAnsi" w:eastAsiaTheme="majorEastAsia" w:hAnsiTheme="majorHAnsi" w:cstheme="majorBidi" w:ascii="Aptos Display" w:hAnsi="Aptos Display"/>
      <w:b/>
      <w:color w:val="112843"/>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