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QUALITY CONTROL SYSTEMS  /  EVIDENCE-BASED TECHNICAL REVIEW</w:t>
      </w:r>
    </w:p>
    <w:p>
      <w:pPr>
        <w:pStyle w:val="Title"/>
      </w:pPr>
      <w:r>
        <w:t>Complete Revised WI — 3-Way Stopcock with Extension Tube</w:t>
      </w:r>
    </w:p>
    <w:p>
      <w:pPr>
        <w:pStyle w:val="Subtitle"/>
      </w:pPr>
      <w:r>
        <w:t>Sterile 3-Way Stopcock with Extension Tube</w:t>
      </w:r>
    </w:p>
    <w:tbl>
      <w:tblPr>
        <w:tblStyle w:val="LightShading-Accent1"/>
        <w:tblW w:type="auto" w:w="0"/>
        <w:tblLook w:firstColumn="1" w:firstRow="1" w:lastColumn="0" w:lastRow="0" w:noHBand="0" w:noVBand="1" w:val="04A0"/>
      </w:tblPr>
      <w:tblGrid>
        <w:gridCol w:w="4802"/>
        <w:gridCol w:w="4802"/>
      </w:tblGrid>
      <w:tr>
        <w:tc>
          <w:tcPr>
            <w:tcW w:type="dxa" w:w="4802"/>
          </w:tcPr>
          <w:p>
            <w:r>
              <w:t>Issue status</w:t>
            </w:r>
          </w:p>
        </w:tc>
        <w:tc>
          <w:tcPr>
            <w:tcW w:type="dxa" w:w="4802"/>
          </w:tcPr>
          <w:p>
            <w:r>
              <w:t>PROPOSED CONTROLLED DRAFT — NOT APPROVED</w:t>
            </w:r>
          </w:p>
        </w:tc>
      </w:tr>
      <w:tr>
        <w:tc>
          <w:tcPr>
            <w:tcW w:type="dxa" w:w="4802"/>
          </w:tcPr>
          <w:p>
            <w:r>
              <w:t>Date prepared</w:t>
            </w:r>
          </w:p>
        </w:tc>
        <w:tc>
          <w:tcPr>
            <w:tcW w:type="dxa" w:w="4802"/>
          </w:tcPr>
          <w:p>
            <w:r>
              <w:t>22 Oct 2026</w:t>
            </w:r>
          </w:p>
        </w:tc>
      </w:tr>
      <w:tr>
        <w:tc>
          <w:tcPr>
            <w:tcW w:type="dxa" w:w="4802"/>
          </w:tcPr>
          <w:p>
            <w:r>
              <w:t>Document type</w:t>
            </w:r>
          </w:p>
        </w:tc>
        <w:tc>
          <w:tcPr>
            <w:tcW w:type="dxa" w:w="4802"/>
          </w:tcPr>
          <w:p>
            <w:r>
              <w:t>Standalone proposed Production &amp; Test Work Instruction</w:t>
            </w:r>
          </w:p>
        </w:tc>
      </w:tr>
      <w:tr>
        <w:tc>
          <w:tcPr>
            <w:tcW w:type="dxa" w:w="4802"/>
          </w:tcPr>
          <w:p>
            <w:r>
              <w:t>Controlled source</w:t>
            </w:r>
          </w:p>
        </w:tc>
        <w:tc>
          <w:tcPr>
            <w:tcW w:type="dxa" w:w="4802"/>
          </w:tcPr>
          <w:p>
            <w:r>
              <w:t>WI-8-2-2-29 Rev.8 dated 01 Sep 2023; 10 pages</w:t>
            </w:r>
          </w:p>
        </w:tc>
      </w:tr>
      <w:tr>
        <w:tc>
          <w:tcPr>
            <w:tcW w:type="dxa" w:w="4802"/>
          </w:tcPr>
          <w:p>
            <w:r>
              <w:t>Assessment basis</w:t>
            </w:r>
          </w:p>
        </w:tc>
        <w:tc>
          <w:tcPr>
            <w:tcW w:type="dxa" w:w="4802"/>
          </w:tcPr>
          <w:p>
            <w:r>
              <w:t>ISO 80369-7 connector tests; ISO 11135 EO release; company process controls</w:t>
            </w:r>
          </w:p>
        </w:tc>
      </w:tr>
      <w:tr>
        <w:tc>
          <w:tcPr>
            <w:tcW w:type="dxa" w:w="4802"/>
          </w:tcPr>
          <w:p>
            <w:r>
              <w:t>Use restriction</w:t>
            </w:r>
          </w:p>
        </w:tc>
        <w:tc>
          <w:tcPr>
            <w:tcW w:type="dxa" w:w="4802"/>
          </w:tcPr>
          <w:p>
            <w:r>
              <w:t>For QC/QA review only. No product acceptance or release permitted on draft alone.</w:t>
            </w:r>
          </w:p>
        </w:tc>
      </w:tr>
    </w:tbl>
    <w:p>
      <w:r>
        <w:t>Evidence rule: “Required” is not “available”. No gap is verified closed without approved documentation and objective records.</w:t>
      </w:r>
    </w:p>
    <w:p>
      <w:r>
        <w:br w:type="page"/>
      </w:r>
    </w:p>
    <w:tbl>
      <w:tblPr>
        <w:tblStyle w:val="TableGrid"/>
        <w:tblW w:type="auto" w:w="0"/>
        <w:jc w:val="center"/>
        <w:tblLayout w:type="fixed"/>
        <w:tblLook w:firstColumn="1" w:firstRow="1" w:lastColumn="0" w:lastRow="0" w:noHBand="0" w:noVBand="1" w:val="04A0"/>
      </w:tblPr>
      <w:tblGrid>
        <w:gridCol w:w="2401"/>
        <w:gridCol w:w="2401"/>
        <w:gridCol w:w="2401"/>
        <w:gridCol w:w="2401"/>
      </w:tblGrid>
      <w:tr>
        <w:trPr>
          <w:tblHeader w:val="true"/>
        </w:trPr>
        <w:tc>
          <w:tcPr>
            <w:tcW w:type="dxa" w:w="2401"/>
            <w:shd w:fill="12304C"/>
          </w:tcPr>
          <w:p>
            <w:pPr>
              <w:spacing w:after="40"/>
            </w:pPr>
            <w:r>
              <w:rPr>
                <w:color w:val="FFFFFF"/>
              </w:rPr>
            </w:r>
            <w:r>
              <w:rPr>
                <w:rFonts w:ascii="Aptos" w:hAnsi="Aptos"/>
                <w:b/>
                <w:color w:val="FFFFFF"/>
                <w:sz w:val="17"/>
              </w:rPr>
              <w:t>Document ID</w:t>
            </w:r>
          </w:p>
        </w:tc>
        <w:tc>
          <w:tcPr>
            <w:tcW w:type="dxa" w:w="2401"/>
            <w:shd w:fill="12304C"/>
          </w:tcPr>
          <w:p>
            <w:pPr>
              <w:spacing w:after="40"/>
            </w:pPr>
            <w:r>
              <w:rPr>
                <w:color w:val="FFFFFF"/>
              </w:rPr>
            </w:r>
            <w:r>
              <w:rPr>
                <w:rFonts w:ascii="Aptos" w:hAnsi="Aptos"/>
                <w:b/>
                <w:color w:val="FFFFFF"/>
                <w:sz w:val="17"/>
              </w:rPr>
              <w:t>Source revision</w:t>
            </w:r>
          </w:p>
        </w:tc>
        <w:tc>
          <w:tcPr>
            <w:tcW w:type="dxa" w:w="2401"/>
            <w:shd w:fill="12304C"/>
          </w:tcPr>
          <w:p>
            <w:pPr>
              <w:spacing w:after="40"/>
            </w:pPr>
            <w:r>
              <w:rPr>
                <w:color w:val="FFFFFF"/>
              </w:rPr>
            </w:r>
            <w:r>
              <w:rPr>
                <w:rFonts w:ascii="Aptos" w:hAnsi="Aptos"/>
                <w:b/>
                <w:color w:val="FFFFFF"/>
                <w:sz w:val="17"/>
              </w:rPr>
              <w:t>Proposed status</w:t>
            </w:r>
          </w:p>
        </w:tc>
        <w:tc>
          <w:tcPr>
            <w:tcW w:type="dxa" w:w="2401"/>
            <w:shd w:fill="12304C"/>
          </w:tcPr>
          <w:p>
            <w:pPr>
              <w:spacing w:after="40"/>
            </w:pPr>
            <w:r>
              <w:rPr>
                <w:color w:val="FFFFFF"/>
              </w:rPr>
            </w:r>
            <w:r>
              <w:rPr>
                <w:rFonts w:ascii="Aptos" w:hAnsi="Aptos"/>
                <w:b/>
                <w:color w:val="FFFFFF"/>
                <w:sz w:val="17"/>
              </w:rPr>
              <w:t>Authorized revision / effective date</w:t>
            </w:r>
          </w:p>
        </w:tc>
      </w:tr>
      <w:tr>
        <w:tc>
          <w:tcPr>
            <w:tcW w:type="dxa" w:w="2401"/>
            <w:vAlign w:val="top"/>
          </w:tcPr>
          <w:p>
            <w:pPr>
              <w:spacing w:after="40"/>
            </w:pPr>
            <w:r/>
            <w:r>
              <w:rPr>
                <w:rFonts w:ascii="Aptos" w:hAnsi="Aptos"/>
                <w:b w:val="0"/>
                <w:sz w:val="17"/>
              </w:rPr>
              <w:t>WI-8-2-2-29 — proposed revision</w:t>
            </w:r>
          </w:p>
        </w:tc>
        <w:tc>
          <w:tcPr>
            <w:tcW w:type="dxa" w:w="2401"/>
            <w:vAlign w:val="top"/>
          </w:tcPr>
          <w:p>
            <w:pPr>
              <w:spacing w:after="40"/>
            </w:pPr>
            <w:r/>
            <w:r>
              <w:rPr>
                <w:rFonts w:ascii="Aptos" w:hAnsi="Aptos"/>
                <w:b w:val="0"/>
                <w:sz w:val="17"/>
              </w:rPr>
              <w:t>Rev.8</w:t>
            </w:r>
          </w:p>
        </w:tc>
        <w:tc>
          <w:tcPr>
            <w:tcW w:type="dxa" w:w="2401"/>
            <w:vAlign w:val="top"/>
          </w:tcPr>
          <w:p>
            <w:pPr>
              <w:spacing w:after="40"/>
            </w:pPr>
            <w:r/>
            <w:r>
              <w:rPr>
                <w:rFonts w:ascii="Aptos" w:hAnsi="Aptos"/>
                <w:b w:val="0"/>
                <w:sz w:val="17"/>
              </w:rPr>
              <w:t>DRAFT FOR QC/QA REVIEW</w:t>
            </w:r>
          </w:p>
        </w:tc>
        <w:tc>
          <w:tcPr>
            <w:tcW w:type="dxa" w:w="2401"/>
            <w:vAlign w:val="top"/>
          </w:tcPr>
          <w:p>
            <w:pPr>
              <w:spacing w:after="40"/>
            </w:pPr>
            <w:r/>
            <w:r>
              <w:rPr>
                <w:rFonts w:ascii="Aptos" w:hAnsi="Aptos"/>
                <w:b w:val="0"/>
                <w:sz w:val="17"/>
              </w:rPr>
              <w:t>OPEN — APPROVAL REQUIRED</w:t>
            </w:r>
          </w:p>
        </w:tc>
      </w:tr>
    </w:tbl>
    <w:p>
      <w:pPr>
        <w:pStyle w:val="Heading2"/>
      </w:pPr>
      <w:r>
        <w:t>1. Purpose</w:t>
      </w:r>
    </w:p>
    <w:p>
      <w:pPr>
        <w:pStyle w:val="ListBullet"/>
      </w:pPr>
      <w:r>
        <w:t>Define receiving, moulding, extrusion, manual/automated assembly, in-process checks, connector qualification traceability, packaging and documented release for sterile 3-way stopcock with extension tubing.</w:t>
      </w:r>
    </w:p>
    <w:p>
      <w:pPr>
        <w:pStyle w:val="Heading2"/>
      </w:pPr>
      <w:r>
        <w:t>2. Scope</w:t>
      </w:r>
    </w:p>
    <w:p>
      <w:pPr>
        <w:pStyle w:val="ListBullet"/>
      </w:pPr>
      <w:r>
        <w:t>Applies to the stopcock housing, knob, Luer connectors/caps, plugs, extension tube, assembly and packaging variants approved in TF-29-PS.</w:t>
      </w:r>
    </w:p>
    <w:p>
      <w:pPr>
        <w:pStyle w:val="ListBullet"/>
      </w:pPr>
      <w:r>
        <w:t>The controlled standard ISO 80369-7 is applied to the Luer CONNECTOR design/functional performance; it does not by itself govern the entire medical device.</w:t>
      </w:r>
    </w:p>
    <w:p>
      <w:pPr>
        <w:pStyle w:val="Heading2"/>
      </w:pPr>
      <w:r>
        <w:t>3. References</w:t>
      </w:r>
    </w:p>
    <w:p>
      <w:pPr>
        <w:pStyle w:val="ListBullet"/>
      </w:pPr>
      <w:r>
        <w:t>WI-8-2-2-29 Rev.8 baseline; TF-29-PS and TF-29-PDBM (not supplied); ISO 80369-7:2016 clauses 4–6/Annexes B/C; ISO 11135:2014 §11.</w:t>
      </w:r>
    </w:p>
    <w:p>
      <w:pPr>
        <w:pStyle w:val="ListBullet"/>
      </w:pPr>
      <w:r>
        <w:t>Referenced but not supplied: ISO 80369-20:2015, ISO 8536 relevant edition, WI-8-2-6-05 and F-8-2-6-05 pressure decay, WI-8-2-6-06 and F-8-2-6-06 positive-pressure fluid leakage, SOP-8-2-6 and F-823-i27A. OPEN technical document verification.</w:t>
      </w:r>
    </w:p>
    <w:p>
      <w:pPr>
        <w:pStyle w:val="Heading2"/>
      </w:pPr>
      <w:r>
        <w:t>4. Responsibilities</w:t>
      </w:r>
    </w:p>
    <w:p>
      <w:pPr>
        <w:pStyle w:val="ListBullet"/>
      </w:pPr>
      <w:r>
        <w:t>Production supervisor issues the correct raw material/work order and line configuration; operators set up approved mould/die, machine and assembly stations.</w:t>
      </w:r>
    </w:p>
    <w:p>
      <w:pPr>
        <w:pStyle w:val="ListBullet"/>
      </w:pPr>
      <w:r>
        <w:t>QC performs first-off and sampled in-process record checks, including manual/automated leak screening; maintenance corrects machine problems.</w:t>
      </w:r>
    </w:p>
    <w:p>
      <w:pPr>
        <w:pStyle w:val="ListBullet"/>
      </w:pPr>
      <w:r>
        <w:t>QA/QC Manager approves control frequencies, technical criteria, qualification evidence, deviations and release only within authorized workflows.</w:t>
      </w:r>
    </w:p>
    <w:p>
      <w:pPr>
        <w:pStyle w:val="Heading2"/>
      </w:pPr>
      <w:r>
        <w:t>5. Incoming, moulding and extrusion</w:t>
      </w:r>
    </w:p>
    <w:p>
      <w:pPr>
        <w:pStyle w:val="ListBullet"/>
      </w:pPr>
      <w:r>
        <w:t>5.1 Receive plastics, colorant and other components; verify supplier lot, grade, packaging, PO and source specification (WI source §5.1 pp.1–2). For Luer material grades verify nominal modulus &gt;700 MPa against approved material qualification and appropriate test data [3WS-G02].</w:t>
      </w:r>
    </w:p>
    <w:p>
      <w:pPr>
        <w:pStyle w:val="ListBullet"/>
      </w:pPr>
      <w:r>
        <w:t>5.2 Mould 3-way housing, control knob, male Luer lock, male cap and female plug from approved setup. Inspect visual quality, flashing, black spots, cracks, short shots, clear surfaces, thread quality, fitting and dimension from controlled drawing in F-823-i15 [3WS-G01].</w:t>
      </w:r>
    </w:p>
    <w:p>
      <w:pPr>
        <w:pStyle w:val="ListBullet"/>
      </w:pPr>
      <w:r>
        <w:t>5.3 Extrude tube with approved die, raw material and conditions. First-off and hourly records shall include OD/ID, total length, appearance, wall integrity, kink/irregularities and traceability, matching TF-29-PS. Preserve original observed absence of fish eyes/black spots.</w:t>
      </w:r>
    </w:p>
    <w:p>
      <w:pPr>
        <w:pStyle w:val="ListBullet"/>
      </w:pPr>
      <w:r>
        <w:t>5.4 Source WI specifies manual and automated tube dimension variants and particular length variants; do not substitute one universal length. Use approved variant matrix (below) and instrument verification.</w:t>
      </w:r>
    </w:p>
    <w:p>
      <w:pPr>
        <w:pStyle w:val="Heading2"/>
      </w:pPr>
      <w:r>
        <w:t>6. Assembly</w:t>
      </w:r>
    </w:p>
    <w:p>
      <w:pPr>
        <w:pStyle w:val="ListBullet"/>
      </w:pPr>
      <w:r>
        <w:t>6.1 Prepare housing, knob, male Luer, cap, female end plug and tubing to approved BOM and process order; verify approved silicone grade/viscosity (source 1000 cSt) and cyclohexanone adhesive material and controls with manufacturing/worker-safety procedures.</w:t>
      </w:r>
    </w:p>
    <w:p>
      <w:pPr>
        <w:pStyle w:val="ListBullet"/>
      </w:pPr>
      <w:r>
        <w:t>6.2 Automated line: preserve original station sequence (housing feed, 90° rotation, silicone dosing, knob insertion and presence checks, pushers and T-stopper, manual/automatic rotational checks, air leakage station, nozzle glue, tube cut, tube insertion, male Luer connection, pull challenge, terminal end cap, home positioning, final good/reject sorting).</w:t>
      </w:r>
    </w:p>
    <w:p>
      <w:pPr>
        <w:pStyle w:val="ListBullet"/>
      </w:pPr>
      <w:r>
        <w:t>6.3 Preserve company design-sensitive automated controls and reject logic for both lines/cavities; record machine ID, station/line, lot, time, actual reading and failed station. Engineering shall approve any altered sequence and cycle recipe.</w:t>
      </w:r>
    </w:p>
    <w:p>
      <w:pPr>
        <w:pStyle w:val="ListBullet"/>
      </w:pPr>
      <w:r>
        <w:t>6.4 Manual line: inspect clarity, tube dimension, tubing bond, tube length, end-cap fit, Luer function, housing crack, knob rotation/retention, open knob lumen and pressure-screening outcomes.</w:t>
      </w:r>
    </w:p>
    <w:p>
      <w:pPr>
        <w:pStyle w:val="ListBullet"/>
      </w:pPr>
      <w:r>
        <w:t>6.5 Preserve company-specific continuous knob life/extreme test identified as up to three days in source WI pp.6–7, but classify as qualification/periodic controlled evidence unless the approved plan specifies routine; do not invent a sample frequency.</w:t>
      </w:r>
    </w:p>
    <w:p>
      <w:pPr>
        <w:pStyle w:val="Heading2"/>
      </w:pPr>
      <w:r>
        <w:t>7. In-Process Test and Screening — separate from ISO type tests</w:t>
      </w:r>
    </w:p>
    <w:p>
      <w:pPr>
        <w:pStyle w:val="ListBullet"/>
      </w:pPr>
      <w:r>
        <w:t>7.1 Record assembly mode: MANUAL vs AUTOMATED, lot, variant, tube dimension, sample ID, screening equipment, actual pressure and hold time, defect decision and independent challenge status.</w:t>
      </w:r>
    </w:p>
    <w:p>
      <w:pPr>
        <w:pStyle w:val="ListBullet"/>
      </w:pPr>
      <w:r>
        <w:t>7.2 Manual screen: preserve source WI 1.0 bar (100 kPa) for 15–20 seconds immersion/no observed leak as a COMPANY in-process check pending validated method and frequency [3WS-G03].</w:t>
      </w:r>
    </w:p>
    <w:p>
      <w:pPr>
        <w:pStyle w:val="ListBullet"/>
      </w:pPr>
      <w:r>
        <w:t>7.3 Automatic screen: preserve source WI 2.4 bar for 0.2 s for machine screening only if current validated recipe confirms it. The attached F-823-i27A record is missing; reconcile the official automation form [3WS-G11].</w:t>
      </w:r>
    </w:p>
    <w:p>
      <w:pPr>
        <w:pStyle w:val="ListBullet"/>
      </w:pPr>
      <w:r>
        <w:t>7.4 Hourly detector-challenge test: preserve 0.40 mm needle-hole challenge per F-823-i27 row 15, record artificial-defect ID/challenge response and pass/fail. It confirms machine detection under the controlled challenge protocol; it does not by itself establish ISO Luer leakage type test.</w:t>
      </w:r>
    </w:p>
    <w:p>
      <w:pPr>
        <w:pStyle w:val="ListBullet"/>
      </w:pPr>
      <w:r>
        <w:t>7.5 Record tube-to-connector bond, knob/housing retention, glue status and component fit as DISTINCT characteristics. Tube bonding force described as “not less than &lt;15N” in WI is mathematically ambiguous and shall remain OPEN TECHNICAL INPUT REQUIRED until TF-29-PS and source standard are checked [3WS-G10].</w:t>
      </w:r>
    </w:p>
    <w:p>
      <w:pPr>
        <w:pStyle w:val="ListBullet"/>
      </w:pPr>
      <w:r>
        <w:t>7.6 In-process sampling frequency must reference SOP-8-2-6, machine recipe and approved control plan; do not automatically copy ISO 80369-7 design-type testing every hour.</w:t>
      </w:r>
    </w:p>
    <w:p>
      <w:pPr>
        <w:pStyle w:val="Heading2"/>
      </w:pPr>
      <w:r>
        <w:t>8. ISO 80369-7 Connector Type Qualification</w:t>
      </w:r>
    </w:p>
    <w:p>
      <w:pPr>
        <w:pStyle w:val="ListBullet"/>
      </w:pPr>
      <w:r>
        <w:t>8.1 Classify connector as male/female Luer slip or lock, fixed/floating collar or correct female lug variant; meet exact Annex B applicable dimensions under §5 [3WS-G01].</w:t>
      </w:r>
    </w:p>
    <w:p>
      <w:pPr>
        <w:pStyle w:val="ListBullet"/>
      </w:pPr>
      <w:r>
        <w:t>8.2 Material qualification confirms connector elastomeric/tensile modulus requirement &gt;700 MPa under §4.2 with approved data [3WS-G02].</w:t>
      </w:r>
    </w:p>
    <w:p>
      <w:pPr>
        <w:pStyle w:val="ListBullet"/>
      </w:pPr>
      <w:r>
        <w:t>8.3 ISO §4.3 states ISO 80369-7 compliance is established by TYPE TESTS. Record configuration, protocol and reference connector; refer to complete ISO 80369-20 controlled methods.</w:t>
      </w:r>
    </w:p>
    <w:p>
      <w:pPr>
        <w:pStyle w:val="ListBullet"/>
      </w:pPr>
      <w:r>
        <w:t>8.4 Selected fluid-leakage alternative: pressure decay at 300–330 kPa for 15–20 s, maximum 0.005 Pa·m³/s (§6.1.2), OR positive water at 300–330 kPa for 30–35 s with no falling drop (§6.1.3). Document the selected applicable route; preserve in-process 1 bar/2.4 bar separately. [3WS-G03/04]</w:t>
      </w:r>
    </w:p>
    <w:p>
      <w:pPr>
        <w:pStyle w:val="ListBullet"/>
      </w:pPr>
      <w:r>
        <w:t>8.5 Verify sub-atmospheric air leakage §6.2, stress cracking §6.3, axial separation §6.4, and for Luer locks unscrewing and overriding §6.5/6.6 with controlled methods and the exact §6 acceptance. Evidence shall be retained per connector type/design revision and appropriate risk-based requalification [3WS-G05–09].</w:t>
      </w:r>
    </w:p>
    <w:p>
      <w:pPr>
        <w:pStyle w:val="ListBullet"/>
      </w:pPr>
      <w:r>
        <w:t>8.6 Approved type-test and performance dossier shall link to current drawing, tooling, resin, supplier and product configuration; missing source test methods are OPEN EVIDENCE and do not get invented in this WI.</w:t>
      </w:r>
    </w:p>
    <w:p>
      <w:pPr>
        <w:pStyle w:val="Heading2"/>
      </w:pPr>
      <w:r>
        <w:t>9. Source WI tubing/dimension variant controls (pending approved specification check)</w:t>
      </w:r>
    </w:p>
    <w:p>
      <w:pPr>
        <w:pStyle w:val="ListBullet"/>
      </w:pPr>
      <w:r>
        <w:t>Manual tube original reference: nominal tubing dimensions stated Ø 2.7 mm × 4.1 mm ±0.1 mm; automated original reference: Ø 3.2 mm × 4.6 mm ±0.1 mm (WI Rev.8 p.6). Exact OD/ID interpretation must be confirmed against TF-29-PS.</w:t>
      </w:r>
    </w:p>
    <w:p>
      <w:pPr>
        <w:pStyle w:val="ListBullet"/>
      </w:pPr>
      <w:r>
        <w:t>Source manual nominal tube length variants: 10±0.5 cm; 25±1.0 cm; 30±1.0 cm; 50±1.0 cm; 80±1.0 cm; 100±1.0 cm (WI Rev.8 p.6). Use only selected approved product configuration.</w:t>
      </w:r>
    </w:p>
    <w:p>
      <w:pPr>
        <w:pStyle w:val="ListBullet"/>
      </w:pPr>
      <w:r>
        <w:t>Do not label these source company values as ISO acceptance criteria. Engineering shall reconcile discrepancies with the current TF-29-PS before effective use.</w:t>
      </w:r>
    </w:p>
    <w:p>
      <w:pPr>
        <w:pStyle w:val="Heading2"/>
      </w:pPr>
      <w:r>
        <w:t>10. Packaging and labeling</w:t>
      </w:r>
    </w:p>
    <w:p>
      <w:pPr>
        <w:pStyle w:val="ListBullet"/>
      </w:pPr>
      <w:r>
        <w:t>Issue approved film/paper/artwork; ensure correct product/code/size, lot, production/expiry dates, markings, sealing, forming, cutting, and carton configuration.</w:t>
      </w:r>
    </w:p>
    <w:p>
      <w:pPr>
        <w:pStyle w:val="ListBullet"/>
      </w:pPr>
      <w:r>
        <w:t>Select F-823-i4-7 for approved Neil Pack route or F-823-i4-1 for approved Zip Lock equipment. The source WI cites F-823-i4 generically; document-control approval is needed for the actual controlled form association [3WS-G13].</w:t>
      </w:r>
    </w:p>
    <w:p>
      <w:pPr>
        <w:pStyle w:val="ListBullet"/>
      </w:pPr>
      <w:r>
        <w:t>Existing Neil Pack ranges 5.0–15.0 mm sealing width, 120–150°C, 3.0–5.5 seconds remain source company requirements pending validated sealing window and specific product/packaging compatibility. Actual values and response to deviation must be recorded.</w:t>
      </w:r>
    </w:p>
    <w:p>
      <w:pPr>
        <w:pStyle w:val="Heading2"/>
      </w:pPr>
      <w:r>
        <w:t>11. EO sterilization linkage</w:t>
      </w:r>
    </w:p>
    <w:p>
      <w:pPr>
        <w:pStyle w:val="ListBullet"/>
      </w:pPr>
      <w:r>
        <w:t>Finished goods intended as sterile require approved sterilization work instruction and a validated EO cycle. Record lot-to-load/cycle traceability.</w:t>
      </w:r>
    </w:p>
    <w:p>
      <w:pPr>
        <w:pStyle w:val="ListBullet"/>
      </w:pPr>
      <w:r>
        <w:t>ISO 11135 §11.1–11.3: check cycle data against routine sterilization specification, BI if used and nonconformance handling, before load/product release [3WS-G12].</w:t>
      </w:r>
    </w:p>
    <w:p>
      <w:pPr>
        <w:pStyle w:val="Heading2"/>
      </w:pPr>
      <w:r>
        <w:t>12. Final verification and release</w:t>
      </w:r>
    </w:p>
    <w:p>
      <w:pPr>
        <w:pStyle w:val="ListBullet"/>
      </w:pPr>
      <w:r>
        <w:t>Check post-sterile packaging and required product verifications against approved final inspection record F-823-F8 where effective.</w:t>
      </w:r>
    </w:p>
    <w:p>
      <w:pPr>
        <w:pStyle w:val="ListBullet"/>
      </w:pPr>
      <w:r>
        <w:t>QA/QC authorized reviewer verifies lab and cycle documentation and any unresolved nonconformities before production transfer authorization. No in-process record serves as stand-alone product release.</w:t>
      </w:r>
    </w:p>
    <w:p>
      <w:pPr>
        <w:pStyle w:val="Heading2"/>
      </w:pPr>
      <w:r>
        <w:t>13. Forms, sampling and document control</w:t>
      </w:r>
    </w:p>
    <w:p>
      <w:pPr>
        <w:pStyle w:val="ListBullet"/>
      </w:pPr>
      <w:r>
        <w:t>F-823-i15 — moulded/extruded components; F-823-i27 — 3-way assembly; F-823-i27A — automated assembly listed but NOT supplied; F-823-i4-7 — Neil Pack; F-823-i4-1 — Zip Lock machinery.</w:t>
      </w:r>
    </w:p>
    <w:p>
      <w:pPr>
        <w:pStyle w:val="ListBullet"/>
      </w:pPr>
      <w:r>
        <w:t>Additional records in source Rev.8: F-823-T1, F-7-5-4-20, F-827-i12, F-823-F8, SOP-8-2-6, WI-8-2-6-05/06 and F-8-2-6-05/06. Retain identities until verified document controller approves revised list.</w:t>
      </w:r>
    </w:p>
    <w:p>
      <w:pPr>
        <w:pStyle w:val="Heading2"/>
      </w:pPr>
      <w:r>
        <w:t>ISO qualification / evidence matrix (not automatically per lot)</w:t>
      </w:r>
    </w:p>
    <w:tbl>
      <w:tblPr>
        <w:tblStyle w:val="TableGrid"/>
        <w:tblW w:type="auto" w:w="0"/>
        <w:jc w:val="center"/>
        <w:tblLayout w:type="fixed"/>
        <w:tblLook w:firstColumn="1" w:firstRow="1" w:lastColumn="0" w:lastRow="0" w:noHBand="0" w:noVBand="1" w:val="04A0"/>
      </w:tblPr>
      <w:tblGrid>
        <w:gridCol w:w="2401"/>
        <w:gridCol w:w="2401"/>
        <w:gridCol w:w="2401"/>
        <w:gridCol w:w="2401"/>
      </w:tblGrid>
      <w:tr>
        <w:trPr>
          <w:tblHeader w:val="true"/>
        </w:trPr>
        <w:tc>
          <w:tcPr>
            <w:tcW w:type="dxa" w:w="2401"/>
            <w:shd w:fill="12304C"/>
          </w:tcPr>
          <w:p>
            <w:pPr>
              <w:spacing w:after="40"/>
            </w:pPr>
            <w:r>
              <w:rPr>
                <w:color w:val="FFFFFF"/>
              </w:rPr>
            </w:r>
            <w:r>
              <w:rPr>
                <w:rFonts w:ascii="Aptos" w:hAnsi="Aptos"/>
                <w:b/>
                <w:color w:val="FFFFFF"/>
                <w:sz w:val="15"/>
              </w:rPr>
              <w:t>Gap</w:t>
            </w:r>
          </w:p>
        </w:tc>
        <w:tc>
          <w:tcPr>
            <w:tcW w:type="dxa" w:w="2401"/>
            <w:shd w:fill="12304C"/>
          </w:tcPr>
          <w:p>
            <w:pPr>
              <w:spacing w:after="40"/>
            </w:pPr>
            <w:r>
              <w:rPr>
                <w:color w:val="FFFFFF"/>
              </w:rPr>
            </w:r>
            <w:r>
              <w:rPr>
                <w:rFonts w:ascii="Aptos" w:hAnsi="Aptos"/>
                <w:b/>
                <w:color w:val="FFFFFF"/>
                <w:sz w:val="15"/>
              </w:rPr>
              <w:t>Applicable standard</w:t>
            </w:r>
          </w:p>
        </w:tc>
        <w:tc>
          <w:tcPr>
            <w:tcW w:type="dxa" w:w="2401"/>
            <w:shd w:fill="12304C"/>
          </w:tcPr>
          <w:p>
            <w:pPr>
              <w:spacing w:after="40"/>
            </w:pPr>
            <w:r>
              <w:rPr>
                <w:color w:val="FFFFFF"/>
              </w:rPr>
            </w:r>
            <w:r>
              <w:rPr>
                <w:rFonts w:ascii="Aptos" w:hAnsi="Aptos"/>
                <w:b/>
                <w:color w:val="FFFFFF"/>
                <w:sz w:val="15"/>
              </w:rPr>
              <w:t>Control route</w:t>
            </w:r>
          </w:p>
        </w:tc>
        <w:tc>
          <w:tcPr>
            <w:tcW w:type="dxa" w:w="2401"/>
            <w:shd w:fill="12304C"/>
          </w:tcPr>
          <w:p>
            <w:pPr>
              <w:spacing w:after="40"/>
            </w:pPr>
            <w:r>
              <w:rPr>
                <w:color w:val="FFFFFF"/>
              </w:rPr>
            </w:r>
            <w:r>
              <w:rPr>
                <w:rFonts w:ascii="Aptos" w:hAnsi="Aptos"/>
                <w:b/>
                <w:color w:val="FFFFFF"/>
                <w:sz w:val="15"/>
              </w:rPr>
              <w:t>Evidence / approval input</w:t>
            </w:r>
          </w:p>
        </w:tc>
      </w:tr>
      <w:tr>
        <w:tc>
          <w:tcPr>
            <w:tcW w:type="dxa" w:w="2401"/>
            <w:vAlign w:val="top"/>
          </w:tcPr>
          <w:p>
            <w:pPr>
              <w:spacing w:after="40"/>
            </w:pPr>
            <w:r/>
            <w:r>
              <w:rPr>
                <w:rFonts w:ascii="Aptos" w:hAnsi="Aptos"/>
                <w:b w:val="0"/>
                <w:sz w:val="15"/>
              </w:rPr>
              <w:t>3WS-G01</w:t>
            </w:r>
          </w:p>
        </w:tc>
        <w:tc>
          <w:tcPr>
            <w:tcW w:type="dxa" w:w="2401"/>
            <w:vAlign w:val="top"/>
          </w:tcPr>
          <w:p>
            <w:pPr>
              <w:spacing w:after="40"/>
            </w:pPr>
            <w:r/>
            <w:r>
              <w:rPr>
                <w:rFonts w:ascii="Aptos" w:hAnsi="Aptos"/>
                <w:b w:val="0"/>
                <w:sz w:val="15"/>
              </w:rPr>
              <w:t>ISO 80369-7:2016, 5 and normative Annex B, ISO p.4 and pp.11–21, PDF pp.11,18–28</w:t>
            </w:r>
          </w:p>
        </w:tc>
        <w:tc>
          <w:tcPr>
            <w:tcW w:type="dxa" w:w="2401"/>
            <w:vAlign w:val="top"/>
          </w:tcPr>
          <w:p>
            <w:pPr>
              <w:spacing w:after="40"/>
            </w:pPr>
            <w:r/>
            <w:r>
              <w:rPr>
                <w:rFonts w:ascii="Aptos" w:hAnsi="Aptos"/>
                <w:b w:val="0"/>
                <w:sz w:val="15"/>
              </w:rPr>
              <w:t>Qualification / periodic controlled evidence</w:t>
            </w:r>
          </w:p>
        </w:tc>
        <w:tc>
          <w:tcPr>
            <w:tcW w:type="dxa" w:w="2401"/>
            <w:vAlign w:val="top"/>
          </w:tcPr>
          <w:p>
            <w:pPr>
              <w:spacing w:after="40"/>
            </w:pPr>
            <w:r/>
            <w:r>
              <w:rPr>
                <w:rFonts w:ascii="Aptos" w:hAnsi="Aptos"/>
                <w:b w:val="0"/>
                <w:sz w:val="15"/>
              </w:rPr>
              <w:t>Annex B dimension study, approved drawings, calibrated gage records, requalification plan and evidence. Status: OPEN — EVIDENCE.</w:t>
            </w:r>
          </w:p>
        </w:tc>
      </w:tr>
      <w:tr>
        <w:tc>
          <w:tcPr>
            <w:tcW w:type="dxa" w:w="2401"/>
            <w:vAlign w:val="top"/>
            <w:shd w:fill="F2F5F8"/>
          </w:tcPr>
          <w:p>
            <w:pPr>
              <w:spacing w:after="40"/>
            </w:pPr>
            <w:r/>
            <w:r>
              <w:rPr>
                <w:rFonts w:ascii="Aptos" w:hAnsi="Aptos"/>
                <w:b w:val="0"/>
                <w:sz w:val="15"/>
              </w:rPr>
              <w:t>3WS-G02</w:t>
            </w:r>
          </w:p>
        </w:tc>
        <w:tc>
          <w:tcPr>
            <w:tcW w:type="dxa" w:w="2401"/>
            <w:vAlign w:val="top"/>
            <w:shd w:fill="F2F5F8"/>
          </w:tcPr>
          <w:p>
            <w:pPr>
              <w:spacing w:after="40"/>
            </w:pPr>
            <w:r/>
            <w:r>
              <w:rPr>
                <w:rFonts w:ascii="Aptos" w:hAnsi="Aptos"/>
                <w:b w:val="0"/>
                <w:sz w:val="15"/>
              </w:rPr>
              <w:t>ISO 80369-7:2016, 4.2, ISO p.4, PDF p.11</w:t>
            </w:r>
          </w:p>
        </w:tc>
        <w:tc>
          <w:tcPr>
            <w:tcW w:type="dxa" w:w="2401"/>
            <w:vAlign w:val="top"/>
            <w:shd w:fill="F2F5F8"/>
          </w:tcPr>
          <w:p>
            <w:pPr>
              <w:spacing w:after="40"/>
            </w:pPr>
            <w:r/>
            <w:r>
              <w:rPr>
                <w:rFonts w:ascii="Aptos" w:hAnsi="Aptos"/>
                <w:b w:val="0"/>
                <w:sz w:val="15"/>
              </w:rPr>
              <w:t>Qualification / periodic controlled evidence</w:t>
            </w:r>
          </w:p>
        </w:tc>
        <w:tc>
          <w:tcPr>
            <w:tcW w:type="dxa" w:w="2401"/>
            <w:vAlign w:val="top"/>
            <w:shd w:fill="F2F5F8"/>
          </w:tcPr>
          <w:p>
            <w:pPr>
              <w:spacing w:after="40"/>
            </w:pPr>
            <w:r/>
            <w:r>
              <w:rPr>
                <w:rFonts w:ascii="Aptos" w:hAnsi="Aptos"/>
                <w:b w:val="0"/>
                <w:sz w:val="15"/>
              </w:rPr>
              <w:t>Approved material specification and qualified modulus test data, supplier/lot genealogy and incoming approval. Status: OPEN — EVIDENCE.</w:t>
            </w:r>
          </w:p>
        </w:tc>
      </w:tr>
      <w:tr>
        <w:tc>
          <w:tcPr>
            <w:tcW w:type="dxa" w:w="2401"/>
            <w:vAlign w:val="top"/>
          </w:tcPr>
          <w:p>
            <w:pPr>
              <w:spacing w:after="40"/>
            </w:pPr>
            <w:r/>
            <w:r>
              <w:rPr>
                <w:rFonts w:ascii="Aptos" w:hAnsi="Aptos"/>
                <w:b w:val="0"/>
                <w:sz w:val="15"/>
              </w:rPr>
              <w:t>3WS-G03</w:t>
            </w:r>
          </w:p>
        </w:tc>
        <w:tc>
          <w:tcPr>
            <w:tcW w:type="dxa" w:w="2401"/>
            <w:vAlign w:val="top"/>
          </w:tcPr>
          <w:p>
            <w:pPr>
              <w:spacing w:after="40"/>
            </w:pPr>
            <w:r/>
            <w:r>
              <w:rPr>
                <w:rFonts w:ascii="Aptos" w:hAnsi="Aptos"/>
                <w:b w:val="0"/>
                <w:sz w:val="15"/>
              </w:rPr>
              <w:t>ISO 80369-7:2016, 4.3, 6.1.2; ISO p.4, PDF p.11</w:t>
            </w:r>
          </w:p>
        </w:tc>
        <w:tc>
          <w:tcPr>
            <w:tcW w:type="dxa" w:w="2401"/>
            <w:vAlign w:val="top"/>
          </w:tcPr>
          <w:p>
            <w:pPr>
              <w:spacing w:after="40"/>
            </w:pPr>
            <w:r/>
            <w:r>
              <w:rPr>
                <w:rFonts w:ascii="Aptos" w:hAnsi="Aptos"/>
                <w:b w:val="0"/>
                <w:sz w:val="15"/>
              </w:rPr>
              <w:t>Qualification / periodic controlled evidence</w:t>
            </w:r>
          </w:p>
        </w:tc>
        <w:tc>
          <w:tcPr>
            <w:tcW w:type="dxa" w:w="2401"/>
            <w:vAlign w:val="top"/>
          </w:tcPr>
          <w:p>
            <w:pPr>
              <w:spacing w:after="40"/>
            </w:pPr>
            <w:r/>
            <w:r>
              <w:rPr>
                <w:rFonts w:ascii="Aptos" w:hAnsi="Aptos"/>
                <w:b w:val="0"/>
                <w:sz w:val="15"/>
              </w:rPr>
              <w:t>Controlled process screening WI and validation; ISO 80369-20 Annex B type-test report; WI-8-2-6-05 and F-8-2-6-05 versions. Status: OPEN — EVIDENCE / MISSING SOURCE.</w:t>
            </w:r>
          </w:p>
        </w:tc>
      </w:tr>
      <w:tr>
        <w:tc>
          <w:tcPr>
            <w:tcW w:type="dxa" w:w="2401"/>
            <w:vAlign w:val="top"/>
            <w:shd w:fill="F2F5F8"/>
          </w:tcPr>
          <w:p>
            <w:pPr>
              <w:spacing w:after="40"/>
            </w:pPr>
            <w:r/>
            <w:r>
              <w:rPr>
                <w:rFonts w:ascii="Aptos" w:hAnsi="Aptos"/>
                <w:b w:val="0"/>
                <w:sz w:val="15"/>
              </w:rPr>
              <w:t>3WS-G04</w:t>
            </w:r>
          </w:p>
        </w:tc>
        <w:tc>
          <w:tcPr>
            <w:tcW w:type="dxa" w:w="2401"/>
            <w:vAlign w:val="top"/>
            <w:shd w:fill="F2F5F8"/>
          </w:tcPr>
          <w:p>
            <w:pPr>
              <w:spacing w:after="40"/>
            </w:pPr>
            <w:r/>
            <w:r>
              <w:rPr>
                <w:rFonts w:ascii="Aptos" w:hAnsi="Aptos"/>
                <w:b w:val="0"/>
                <w:sz w:val="15"/>
              </w:rPr>
              <w:t>ISO 80369-7:2016, 6.1.3, ISO p.5, PDF p.12</w:t>
            </w:r>
          </w:p>
        </w:tc>
        <w:tc>
          <w:tcPr>
            <w:tcW w:type="dxa" w:w="2401"/>
            <w:vAlign w:val="top"/>
            <w:shd w:fill="F2F5F8"/>
          </w:tcPr>
          <w:p>
            <w:pPr>
              <w:spacing w:after="40"/>
            </w:pPr>
            <w:r/>
            <w:r>
              <w:rPr>
                <w:rFonts w:ascii="Aptos" w:hAnsi="Aptos"/>
                <w:b w:val="0"/>
                <w:sz w:val="15"/>
              </w:rPr>
              <w:t>Qualification / periodic controlled evidence</w:t>
            </w:r>
          </w:p>
        </w:tc>
        <w:tc>
          <w:tcPr>
            <w:tcW w:type="dxa" w:w="2401"/>
            <w:vAlign w:val="top"/>
            <w:shd w:fill="F2F5F8"/>
          </w:tcPr>
          <w:p>
            <w:pPr>
              <w:spacing w:after="40"/>
            </w:pPr>
            <w:r/>
            <w:r>
              <w:rPr>
                <w:rFonts w:ascii="Aptos" w:hAnsi="Aptos"/>
                <w:b w:val="0"/>
                <w:sz w:val="15"/>
              </w:rPr>
              <w:t>Signed type-test report / external report and procedure WI-8-2-6-06/F-8-2-6-06 where applicable. Status: OPEN — EVIDENCE.</w:t>
            </w:r>
          </w:p>
        </w:tc>
      </w:tr>
      <w:tr>
        <w:tc>
          <w:tcPr>
            <w:tcW w:type="dxa" w:w="2401"/>
            <w:vAlign w:val="top"/>
          </w:tcPr>
          <w:p>
            <w:pPr>
              <w:spacing w:after="40"/>
            </w:pPr>
            <w:r/>
            <w:r>
              <w:rPr>
                <w:rFonts w:ascii="Aptos" w:hAnsi="Aptos"/>
                <w:b w:val="0"/>
                <w:sz w:val="15"/>
              </w:rPr>
              <w:t>3WS-G05</w:t>
            </w:r>
          </w:p>
        </w:tc>
        <w:tc>
          <w:tcPr>
            <w:tcW w:type="dxa" w:w="2401"/>
            <w:vAlign w:val="top"/>
          </w:tcPr>
          <w:p>
            <w:pPr>
              <w:spacing w:after="40"/>
            </w:pPr>
            <w:r/>
            <w:r>
              <w:rPr>
                <w:rFonts w:ascii="Aptos" w:hAnsi="Aptos"/>
                <w:b w:val="0"/>
                <w:sz w:val="15"/>
              </w:rPr>
              <w:t>ISO 80369-7:2016, 6.2, ISO p.5, PDF p.12</w:t>
            </w:r>
          </w:p>
        </w:tc>
        <w:tc>
          <w:tcPr>
            <w:tcW w:type="dxa" w:w="2401"/>
            <w:vAlign w:val="top"/>
          </w:tcPr>
          <w:p>
            <w:pPr>
              <w:spacing w:after="40"/>
            </w:pPr>
            <w:r/>
            <w:r>
              <w:rPr>
                <w:rFonts w:ascii="Aptos" w:hAnsi="Aptos"/>
                <w:b w:val="0"/>
                <w:sz w:val="15"/>
              </w:rPr>
              <w:t>Qualification / periodic controlled evidence</w:t>
            </w:r>
          </w:p>
        </w:tc>
        <w:tc>
          <w:tcPr>
            <w:tcW w:type="dxa" w:w="2401"/>
            <w:vAlign w:val="top"/>
          </w:tcPr>
          <w:p>
            <w:pPr>
              <w:spacing w:after="40"/>
            </w:pPr>
            <w:r/>
            <w:r>
              <w:rPr>
                <w:rFonts w:ascii="Aptos" w:hAnsi="Aptos"/>
                <w:b w:val="0"/>
                <w:sz w:val="15"/>
              </w:rPr>
              <w:t>Approved connector type qualification/evidence; Annex D method record. Status: OPEN — EVIDENCE.</w:t>
            </w:r>
          </w:p>
        </w:tc>
      </w:tr>
      <w:tr>
        <w:tc>
          <w:tcPr>
            <w:tcW w:type="dxa" w:w="2401"/>
            <w:vAlign w:val="top"/>
            <w:shd w:fill="F2F5F8"/>
          </w:tcPr>
          <w:p>
            <w:pPr>
              <w:spacing w:after="40"/>
            </w:pPr>
            <w:r/>
            <w:r>
              <w:rPr>
                <w:rFonts w:ascii="Aptos" w:hAnsi="Aptos"/>
                <w:b w:val="0"/>
                <w:sz w:val="15"/>
              </w:rPr>
              <w:t>3WS-G06</w:t>
            </w:r>
          </w:p>
        </w:tc>
        <w:tc>
          <w:tcPr>
            <w:tcW w:type="dxa" w:w="2401"/>
            <w:vAlign w:val="top"/>
            <w:shd w:fill="F2F5F8"/>
          </w:tcPr>
          <w:p>
            <w:pPr>
              <w:spacing w:after="40"/>
            </w:pPr>
            <w:r/>
            <w:r>
              <w:rPr>
                <w:rFonts w:ascii="Aptos" w:hAnsi="Aptos"/>
                <w:b w:val="0"/>
                <w:sz w:val="15"/>
              </w:rPr>
              <w:t>ISO 80369-7:2016, 6.3, ISO p.5, PDF p.12</w:t>
            </w:r>
          </w:p>
        </w:tc>
        <w:tc>
          <w:tcPr>
            <w:tcW w:type="dxa" w:w="2401"/>
            <w:vAlign w:val="top"/>
            <w:shd w:fill="F2F5F8"/>
          </w:tcPr>
          <w:p>
            <w:pPr>
              <w:spacing w:after="40"/>
            </w:pPr>
            <w:r/>
            <w:r>
              <w:rPr>
                <w:rFonts w:ascii="Aptos" w:hAnsi="Aptos"/>
                <w:b w:val="0"/>
                <w:sz w:val="15"/>
              </w:rPr>
              <w:t>Qualification / periodic controlled evidence</w:t>
            </w:r>
          </w:p>
        </w:tc>
        <w:tc>
          <w:tcPr>
            <w:tcW w:type="dxa" w:w="2401"/>
            <w:vAlign w:val="top"/>
            <w:shd w:fill="F2F5F8"/>
          </w:tcPr>
          <w:p>
            <w:pPr>
              <w:spacing w:after="40"/>
            </w:pPr>
            <w:r/>
            <w:r>
              <w:rPr>
                <w:rFonts w:ascii="Aptos" w:hAnsi="Aptos"/>
                <w:b w:val="0"/>
                <w:sz w:val="15"/>
              </w:rPr>
              <w:t>Qualified stress-cracking report and applicability matrix. Status: OPEN — EVIDENCE.</w:t>
            </w:r>
          </w:p>
        </w:tc>
      </w:tr>
      <w:tr>
        <w:tc>
          <w:tcPr>
            <w:tcW w:type="dxa" w:w="2401"/>
            <w:vAlign w:val="top"/>
          </w:tcPr>
          <w:p>
            <w:pPr>
              <w:spacing w:after="40"/>
            </w:pPr>
            <w:r/>
            <w:r>
              <w:rPr>
                <w:rFonts w:ascii="Aptos" w:hAnsi="Aptos"/>
                <w:b w:val="0"/>
                <w:sz w:val="15"/>
              </w:rPr>
              <w:t>3WS-G07</w:t>
            </w:r>
          </w:p>
        </w:tc>
        <w:tc>
          <w:tcPr>
            <w:tcW w:type="dxa" w:w="2401"/>
            <w:vAlign w:val="top"/>
          </w:tcPr>
          <w:p>
            <w:pPr>
              <w:spacing w:after="40"/>
            </w:pPr>
            <w:r/>
            <w:r>
              <w:rPr>
                <w:rFonts w:ascii="Aptos" w:hAnsi="Aptos"/>
                <w:b w:val="0"/>
                <w:sz w:val="15"/>
              </w:rPr>
              <w:t>ISO 80369-7:2016, 6.4, ISO p.5, PDF p.12</w:t>
            </w:r>
          </w:p>
        </w:tc>
        <w:tc>
          <w:tcPr>
            <w:tcW w:type="dxa" w:w="2401"/>
            <w:vAlign w:val="top"/>
          </w:tcPr>
          <w:p>
            <w:pPr>
              <w:spacing w:after="40"/>
            </w:pPr>
            <w:r/>
            <w:r>
              <w:rPr>
                <w:rFonts w:ascii="Aptos" w:hAnsi="Aptos"/>
                <w:b w:val="0"/>
                <w:sz w:val="15"/>
              </w:rPr>
              <w:t>Qualification / periodic controlled evidence</w:t>
            </w:r>
          </w:p>
        </w:tc>
        <w:tc>
          <w:tcPr>
            <w:tcW w:type="dxa" w:w="2401"/>
            <w:vAlign w:val="top"/>
          </w:tcPr>
          <w:p>
            <w:pPr>
              <w:spacing w:after="40"/>
            </w:pPr>
            <w:r/>
            <w:r>
              <w:rPr>
                <w:rFonts w:ascii="Aptos" w:hAnsi="Aptos"/>
                <w:b w:val="0"/>
                <w:sz w:val="15"/>
              </w:rPr>
              <w:t>Approved Annex F qualification reports; product connector type definition. Status: OPEN — EVIDENCE.</w:t>
            </w:r>
          </w:p>
        </w:tc>
      </w:tr>
      <w:tr>
        <w:tc>
          <w:tcPr>
            <w:tcW w:type="dxa" w:w="2401"/>
            <w:vAlign w:val="top"/>
            <w:shd w:fill="F2F5F8"/>
          </w:tcPr>
          <w:p>
            <w:pPr>
              <w:spacing w:after="40"/>
            </w:pPr>
            <w:r/>
            <w:r>
              <w:rPr>
                <w:rFonts w:ascii="Aptos" w:hAnsi="Aptos"/>
                <w:b w:val="0"/>
                <w:sz w:val="15"/>
              </w:rPr>
              <w:t>3WS-G08</w:t>
            </w:r>
          </w:p>
        </w:tc>
        <w:tc>
          <w:tcPr>
            <w:tcW w:type="dxa" w:w="2401"/>
            <w:vAlign w:val="top"/>
            <w:shd w:fill="F2F5F8"/>
          </w:tcPr>
          <w:p>
            <w:pPr>
              <w:spacing w:after="40"/>
            </w:pPr>
            <w:r/>
            <w:r>
              <w:rPr>
                <w:rFonts w:ascii="Aptos" w:hAnsi="Aptos"/>
                <w:b w:val="0"/>
                <w:sz w:val="15"/>
              </w:rPr>
              <w:t>ISO 80369-7:2016, 6.5, ISO p.5, PDF p.12</w:t>
            </w:r>
          </w:p>
        </w:tc>
        <w:tc>
          <w:tcPr>
            <w:tcW w:type="dxa" w:w="2401"/>
            <w:vAlign w:val="top"/>
            <w:shd w:fill="F2F5F8"/>
          </w:tcPr>
          <w:p>
            <w:pPr>
              <w:spacing w:after="40"/>
            </w:pPr>
            <w:r/>
            <w:r>
              <w:rPr>
                <w:rFonts w:ascii="Aptos" w:hAnsi="Aptos"/>
                <w:b w:val="0"/>
                <w:sz w:val="15"/>
              </w:rPr>
              <w:t>Qualification / periodic controlled evidence</w:t>
            </w:r>
          </w:p>
        </w:tc>
        <w:tc>
          <w:tcPr>
            <w:tcW w:type="dxa" w:w="2401"/>
            <w:vAlign w:val="top"/>
            <w:shd w:fill="F2F5F8"/>
          </w:tcPr>
          <w:p>
            <w:pPr>
              <w:spacing w:after="40"/>
            </w:pPr>
            <w:r/>
            <w:r>
              <w:rPr>
                <w:rFonts w:ascii="Aptos" w:hAnsi="Aptos"/>
                <w:b w:val="0"/>
                <w:sz w:val="15"/>
              </w:rPr>
              <w:t>Approved torque-resistance test evidence; ISO 80369-20 method document (not supplied). Status: OPEN — EVIDENCE.</w:t>
            </w:r>
          </w:p>
        </w:tc>
      </w:tr>
      <w:tr>
        <w:tc>
          <w:tcPr>
            <w:tcW w:type="dxa" w:w="2401"/>
            <w:vAlign w:val="top"/>
          </w:tcPr>
          <w:p>
            <w:pPr>
              <w:spacing w:after="40"/>
            </w:pPr>
            <w:r/>
            <w:r>
              <w:rPr>
                <w:rFonts w:ascii="Aptos" w:hAnsi="Aptos"/>
                <w:b w:val="0"/>
                <w:sz w:val="15"/>
              </w:rPr>
              <w:t>3WS-G09</w:t>
            </w:r>
          </w:p>
        </w:tc>
        <w:tc>
          <w:tcPr>
            <w:tcW w:type="dxa" w:w="2401"/>
            <w:vAlign w:val="top"/>
          </w:tcPr>
          <w:p>
            <w:pPr>
              <w:spacing w:after="40"/>
            </w:pPr>
            <w:r/>
            <w:r>
              <w:rPr>
                <w:rFonts w:ascii="Aptos" w:hAnsi="Aptos"/>
                <w:b w:val="0"/>
                <w:sz w:val="15"/>
              </w:rPr>
              <w:t>ISO 80369-7:2016, 6.6, ISO p.5, PDF p.12</w:t>
            </w:r>
          </w:p>
        </w:tc>
        <w:tc>
          <w:tcPr>
            <w:tcW w:type="dxa" w:w="2401"/>
            <w:vAlign w:val="top"/>
          </w:tcPr>
          <w:p>
            <w:pPr>
              <w:spacing w:after="40"/>
            </w:pPr>
            <w:r/>
            <w:r>
              <w:rPr>
                <w:rFonts w:ascii="Aptos" w:hAnsi="Aptos"/>
                <w:b w:val="0"/>
                <w:sz w:val="15"/>
              </w:rPr>
              <w:t>Qualification / periodic controlled evidence</w:t>
            </w:r>
          </w:p>
        </w:tc>
        <w:tc>
          <w:tcPr>
            <w:tcW w:type="dxa" w:w="2401"/>
            <w:vAlign w:val="top"/>
          </w:tcPr>
          <w:p>
            <w:pPr>
              <w:spacing w:after="40"/>
            </w:pPr>
            <w:r/>
            <w:r>
              <w:rPr>
                <w:rFonts w:ascii="Aptos" w:hAnsi="Aptos"/>
                <w:b w:val="0"/>
                <w:sz w:val="15"/>
              </w:rPr>
              <w:t>Approved ISO 80369-7 §6.6 report, controlled ISO 80369-20 method. Status: OPEN — EVIDENCE.</w:t>
            </w:r>
          </w:p>
        </w:tc>
      </w:tr>
      <w:tr>
        <w:tc>
          <w:tcPr>
            <w:tcW w:type="dxa" w:w="2401"/>
            <w:vAlign w:val="top"/>
            <w:shd w:fill="F2F5F8"/>
          </w:tcPr>
          <w:p>
            <w:pPr>
              <w:spacing w:after="40"/>
            </w:pPr>
            <w:r/>
            <w:r>
              <w:rPr>
                <w:rFonts w:ascii="Aptos" w:hAnsi="Aptos"/>
                <w:b w:val="0"/>
                <w:sz w:val="15"/>
              </w:rPr>
              <w:t>3WS-G10</w:t>
            </w:r>
          </w:p>
        </w:tc>
        <w:tc>
          <w:tcPr>
            <w:tcW w:type="dxa" w:w="2401"/>
            <w:vAlign w:val="top"/>
            <w:shd w:fill="F2F5F8"/>
          </w:tcPr>
          <w:p>
            <w:pPr>
              <w:spacing w:after="40"/>
            </w:pPr>
            <w:r/>
            <w:r>
              <w:rPr>
                <w:rFonts w:ascii="Aptos" w:hAnsi="Aptos"/>
                <w:b w:val="0"/>
                <w:sz w:val="15"/>
              </w:rPr>
              <w:t>Company-specific WI acceptance and document consistency; ISO 8536 mentioned in WI but source not supplied. No verified clause or numeric ISO threshold</w:t>
            </w:r>
          </w:p>
        </w:tc>
        <w:tc>
          <w:tcPr>
            <w:tcW w:type="dxa" w:w="2401"/>
            <w:vAlign w:val="top"/>
            <w:shd w:fill="F2F5F8"/>
          </w:tcPr>
          <w:p>
            <w:pPr>
              <w:spacing w:after="40"/>
            </w:pPr>
            <w:r/>
            <w:r>
              <w:rPr>
                <w:rFonts w:ascii="Aptos" w:hAnsi="Aptos"/>
                <w:b w:val="0"/>
                <w:sz w:val="15"/>
              </w:rPr>
              <w:t>Qualification / periodic controlled evidence</w:t>
            </w:r>
          </w:p>
        </w:tc>
        <w:tc>
          <w:tcPr>
            <w:tcW w:type="dxa" w:w="2401"/>
            <w:vAlign w:val="top"/>
            <w:shd w:fill="F2F5F8"/>
          </w:tcPr>
          <w:p>
            <w:pPr>
              <w:spacing w:after="40"/>
            </w:pPr>
            <w:r/>
            <w:r>
              <w:rPr>
                <w:rFonts w:ascii="Aptos" w:hAnsi="Aptos"/>
                <w:b w:val="0"/>
                <w:sz w:val="15"/>
              </w:rPr>
              <w:t>Controlled TF-29-PS + referenced EN ISO 8536 section and test method; verification of signed company limit. Status: OPEN — TECHNICAL INPUT / APPROVAL.</w:t>
            </w:r>
          </w:p>
        </w:tc>
      </w:tr>
      <w:tr>
        <w:tc>
          <w:tcPr>
            <w:tcW w:type="dxa" w:w="2401"/>
            <w:vAlign w:val="top"/>
          </w:tcPr>
          <w:p>
            <w:pPr>
              <w:spacing w:after="40"/>
            </w:pPr>
            <w:r/>
            <w:r>
              <w:rPr>
                <w:rFonts w:ascii="Aptos" w:hAnsi="Aptos"/>
                <w:b w:val="0"/>
                <w:sz w:val="15"/>
              </w:rPr>
              <w:t>3WS-G11</w:t>
            </w:r>
          </w:p>
        </w:tc>
        <w:tc>
          <w:tcPr>
            <w:tcW w:type="dxa" w:w="2401"/>
            <w:vAlign w:val="top"/>
          </w:tcPr>
          <w:p>
            <w:pPr>
              <w:spacing w:after="40"/>
            </w:pPr>
            <w:r/>
            <w:r>
              <w:rPr>
                <w:rFonts w:ascii="Aptos" w:hAnsi="Aptos"/>
                <w:b w:val="0"/>
                <w:sz w:val="15"/>
              </w:rPr>
              <w:t>Document control and operational evidence traceability: WI-8-2-2-29 Rev.8 pp.4–8 §§6–8; no direct new ISO requirement claimed.</w:t>
            </w:r>
          </w:p>
        </w:tc>
        <w:tc>
          <w:tcPr>
            <w:tcW w:type="dxa" w:w="2401"/>
            <w:vAlign w:val="top"/>
          </w:tcPr>
          <w:p>
            <w:pPr>
              <w:spacing w:after="40"/>
            </w:pPr>
            <w:r/>
            <w:r>
              <w:rPr>
                <w:rFonts w:ascii="Aptos" w:hAnsi="Aptos"/>
                <w:b w:val="0"/>
                <w:sz w:val="15"/>
              </w:rPr>
              <w:t>Qualification / periodic controlled evidence</w:t>
            </w:r>
          </w:p>
        </w:tc>
        <w:tc>
          <w:tcPr>
            <w:tcW w:type="dxa" w:w="2401"/>
            <w:vAlign w:val="top"/>
          </w:tcPr>
          <w:p>
            <w:pPr>
              <w:spacing w:after="40"/>
            </w:pPr>
            <w:r/>
            <w:r>
              <w:rPr>
                <w:rFonts w:ascii="Aptos" w:hAnsi="Aptos"/>
                <w:b w:val="0"/>
                <w:sz w:val="15"/>
              </w:rPr>
              <w:t>Approved i27A or formal decision to use i27 for both routes; process validation &amp; challenge records. Status: OPEN — EVIDENCE / DOCUMENT CONTROL.</w:t>
            </w:r>
          </w:p>
        </w:tc>
      </w:tr>
      <w:tr>
        <w:tc>
          <w:tcPr>
            <w:tcW w:type="dxa" w:w="2401"/>
            <w:vAlign w:val="top"/>
            <w:shd w:fill="F2F5F8"/>
          </w:tcPr>
          <w:p>
            <w:pPr>
              <w:spacing w:after="40"/>
            </w:pPr>
            <w:r/>
            <w:r>
              <w:rPr>
                <w:rFonts w:ascii="Aptos" w:hAnsi="Aptos"/>
                <w:b w:val="0"/>
                <w:sz w:val="15"/>
              </w:rPr>
              <w:t>3WS-G12</w:t>
            </w:r>
          </w:p>
        </w:tc>
        <w:tc>
          <w:tcPr>
            <w:tcW w:type="dxa" w:w="2401"/>
            <w:vAlign w:val="top"/>
            <w:shd w:fill="F2F5F8"/>
          </w:tcPr>
          <w:p>
            <w:pPr>
              <w:spacing w:after="40"/>
            </w:pPr>
            <w:r/>
            <w:r>
              <w:rPr>
                <w:rFonts w:ascii="Aptos" w:hAnsi="Aptos"/>
                <w:b w:val="0"/>
                <w:sz w:val="15"/>
              </w:rPr>
              <w:t>ISO 11135:2014, 11.1–11.3, ISO p.23, PDF p.35</w:t>
            </w:r>
          </w:p>
        </w:tc>
        <w:tc>
          <w:tcPr>
            <w:tcW w:type="dxa" w:w="2401"/>
            <w:vAlign w:val="top"/>
            <w:shd w:fill="F2F5F8"/>
          </w:tcPr>
          <w:p>
            <w:pPr>
              <w:spacing w:after="40"/>
            </w:pPr>
            <w:r/>
            <w:r>
              <w:rPr>
                <w:rFonts w:ascii="Aptos" w:hAnsi="Aptos"/>
                <w:b w:val="0"/>
                <w:sz w:val="15"/>
              </w:rPr>
              <w:t>Qualification / periodic controlled evidence</w:t>
            </w:r>
          </w:p>
        </w:tc>
        <w:tc>
          <w:tcPr>
            <w:tcW w:type="dxa" w:w="2401"/>
            <w:vAlign w:val="top"/>
            <w:shd w:fill="F2F5F8"/>
          </w:tcPr>
          <w:p>
            <w:pPr>
              <w:spacing w:after="40"/>
            </w:pPr>
            <w:r/>
            <w:r>
              <w:rPr>
                <w:rFonts w:ascii="Aptos" w:hAnsi="Aptos"/>
                <w:b w:val="0"/>
                <w:sz w:val="15"/>
              </w:rPr>
              <w:t>Validated EO procedure, complete load data, BI results as applicable, QA/QC release, and deviations. Status: OPEN — EVIDENCE.</w:t>
            </w:r>
          </w:p>
        </w:tc>
      </w:tr>
      <w:tr>
        <w:tc>
          <w:tcPr>
            <w:tcW w:type="dxa" w:w="2401"/>
            <w:vAlign w:val="top"/>
          </w:tcPr>
          <w:p>
            <w:pPr>
              <w:spacing w:after="40"/>
            </w:pPr>
            <w:r/>
            <w:r>
              <w:rPr>
                <w:rFonts w:ascii="Aptos" w:hAnsi="Aptos"/>
                <w:b w:val="0"/>
                <w:sz w:val="15"/>
              </w:rPr>
              <w:t>3WS-G13</w:t>
            </w:r>
          </w:p>
        </w:tc>
        <w:tc>
          <w:tcPr>
            <w:tcW w:type="dxa" w:w="2401"/>
            <w:vAlign w:val="top"/>
          </w:tcPr>
          <w:p>
            <w:pPr>
              <w:spacing w:after="40"/>
            </w:pPr>
            <w:r/>
            <w:r>
              <w:rPr>
                <w:rFonts w:ascii="Aptos" w:hAnsi="Aptos"/>
                <w:b w:val="0"/>
                <w:sz w:val="15"/>
              </w:rPr>
              <w:t>Document-control finding: WI-8-2-2-29 Rev.8, p.10 §13 versus attached F-823-i4-7 Rev.3 and F-823-i4-1 Rev.5; no independent ISO clause claimed.</w:t>
            </w:r>
          </w:p>
        </w:tc>
        <w:tc>
          <w:tcPr>
            <w:tcW w:type="dxa" w:w="2401"/>
            <w:vAlign w:val="top"/>
          </w:tcPr>
          <w:p>
            <w:pPr>
              <w:spacing w:after="40"/>
            </w:pPr>
            <w:r/>
            <w:r>
              <w:rPr>
                <w:rFonts w:ascii="Aptos" w:hAnsi="Aptos"/>
                <w:b w:val="0"/>
                <w:sz w:val="15"/>
              </w:rPr>
              <w:t>Qualification / periodic controlled evidence</w:t>
            </w:r>
          </w:p>
        </w:tc>
        <w:tc>
          <w:tcPr>
            <w:tcW w:type="dxa" w:w="2401"/>
            <w:vAlign w:val="top"/>
          </w:tcPr>
          <w:p>
            <w:pPr>
              <w:spacing w:after="40"/>
            </w:pPr>
            <w:r/>
            <w:r>
              <w:rPr>
                <w:rFonts w:ascii="Aptos" w:hAnsi="Aptos"/>
                <w:b w:val="0"/>
                <w:sz w:val="15"/>
              </w:rPr>
              <w:t>Master list, approved packaging applicability/validation and effective controlled revision approvals. Status: OPEN — APPROVAL / EVIDENCE.</w:t>
            </w:r>
          </w:p>
        </w:tc>
      </w:tr>
    </w:tbl>
    <w:p>
      <w:pPr>
        <w:pStyle w:val="Heading2"/>
      </w:pPr>
      <w:r>
        <w:t>14. Nonconforming material and product</w:t>
      </w:r>
    </w:p>
    <w:p>
      <w:pPr>
        <w:pStyle w:val="ListBullet"/>
      </w:pPr>
      <w:r>
        <w:t>Any defect, leakage failure, detector challenge failure, missing qualification or incorrectly set machine control requires documented HOLD, affected interval/lot definition and approved resolution before restart.</w:t>
      </w:r>
    </w:p>
    <w:p>
      <w:pPr>
        <w:pStyle w:val="ListBullet"/>
      </w:pPr>
      <w:r>
        <w:t>Suspect released status cannot be inferred from an unsigned or draft monitoring form.</w:t>
      </w:r>
    </w:p>
    <w:p>
      <w:pPr>
        <w:pStyle w:val="Heading1"/>
      </w:pPr>
      <w:r>
        <w:t>15. Revision history</w:t>
      </w:r>
    </w:p>
    <w:tbl>
      <w:tblPr>
        <w:tblStyle w:val="TableGrid"/>
        <w:tblW w:type="auto" w:w="0"/>
        <w:jc w:val="center"/>
        <w:tblLayout w:type="fixed"/>
        <w:tblLook w:firstColumn="1" w:firstRow="1" w:lastColumn="0" w:lastRow="0" w:noHBand="0" w:noVBand="1" w:val="04A0"/>
      </w:tblPr>
      <w:tblGrid>
        <w:gridCol w:w="2401"/>
        <w:gridCol w:w="2401"/>
        <w:gridCol w:w="2401"/>
        <w:gridCol w:w="2401"/>
      </w:tblGrid>
      <w:tr>
        <w:trPr>
          <w:tblHeader w:val="true"/>
        </w:trPr>
        <w:tc>
          <w:tcPr>
            <w:tcW w:type="dxa" w:w="2401"/>
            <w:shd w:fill="12304C"/>
          </w:tcPr>
          <w:p>
            <w:pPr>
              <w:spacing w:after="40"/>
            </w:pPr>
            <w:r>
              <w:rPr>
                <w:color w:val="FFFFFF"/>
              </w:rPr>
            </w:r>
            <w:r>
              <w:rPr>
                <w:rFonts w:ascii="Aptos" w:hAnsi="Aptos"/>
                <w:b/>
                <w:color w:val="FFFFFF"/>
                <w:sz w:val="16"/>
              </w:rPr>
              <w:t>Version</w:t>
            </w:r>
          </w:p>
        </w:tc>
        <w:tc>
          <w:tcPr>
            <w:tcW w:type="dxa" w:w="2401"/>
            <w:shd w:fill="12304C"/>
          </w:tcPr>
          <w:p>
            <w:pPr>
              <w:spacing w:after="40"/>
            </w:pPr>
            <w:r>
              <w:rPr>
                <w:color w:val="FFFFFF"/>
              </w:rPr>
            </w:r>
            <w:r>
              <w:rPr>
                <w:rFonts w:ascii="Aptos" w:hAnsi="Aptos"/>
                <w:b/>
                <w:color w:val="FFFFFF"/>
                <w:sz w:val="16"/>
              </w:rPr>
              <w:t>Effective date</w:t>
            </w:r>
          </w:p>
        </w:tc>
        <w:tc>
          <w:tcPr>
            <w:tcW w:type="dxa" w:w="2401"/>
            <w:shd w:fill="12304C"/>
          </w:tcPr>
          <w:p>
            <w:pPr>
              <w:spacing w:after="40"/>
            </w:pPr>
            <w:r>
              <w:rPr>
                <w:color w:val="FFFFFF"/>
              </w:rPr>
            </w:r>
            <w:r>
              <w:rPr>
                <w:rFonts w:ascii="Aptos" w:hAnsi="Aptos"/>
                <w:b/>
                <w:color w:val="FFFFFF"/>
                <w:sz w:val="16"/>
              </w:rPr>
              <w:t>Description</w:t>
            </w:r>
          </w:p>
        </w:tc>
        <w:tc>
          <w:tcPr>
            <w:tcW w:type="dxa" w:w="2401"/>
            <w:shd w:fill="12304C"/>
          </w:tcPr>
          <w:p>
            <w:pPr>
              <w:spacing w:after="40"/>
            </w:pPr>
            <w:r>
              <w:rPr>
                <w:color w:val="FFFFFF"/>
              </w:rPr>
            </w:r>
            <w:r>
              <w:rPr>
                <w:rFonts w:ascii="Aptos" w:hAnsi="Aptos"/>
                <w:b/>
                <w:color w:val="FFFFFF"/>
                <w:sz w:val="16"/>
              </w:rPr>
              <w:t>Status</w:t>
            </w:r>
          </w:p>
        </w:tc>
      </w:tr>
      <w:tr>
        <w:tc>
          <w:tcPr>
            <w:tcW w:type="dxa" w:w="2401"/>
            <w:vAlign w:val="top"/>
          </w:tcPr>
          <w:p>
            <w:pPr>
              <w:spacing w:after="40"/>
            </w:pPr>
            <w:r/>
            <w:r>
              <w:rPr>
                <w:rFonts w:ascii="Aptos" w:hAnsi="Aptos"/>
                <w:b w:val="0"/>
                <w:sz w:val="16"/>
              </w:rPr>
              <w:t>8</w:t>
            </w:r>
          </w:p>
        </w:tc>
        <w:tc>
          <w:tcPr>
            <w:tcW w:type="dxa" w:w="2401"/>
            <w:vAlign w:val="top"/>
          </w:tcPr>
          <w:p>
            <w:pPr>
              <w:spacing w:after="40"/>
            </w:pPr>
            <w:r/>
            <w:r>
              <w:rPr>
                <w:rFonts w:ascii="Aptos" w:hAnsi="Aptos"/>
                <w:b w:val="0"/>
                <w:sz w:val="16"/>
              </w:rPr>
              <w:t>01 Sep 2023</w:t>
            </w:r>
          </w:p>
        </w:tc>
        <w:tc>
          <w:tcPr>
            <w:tcW w:type="dxa" w:w="2401"/>
            <w:vAlign w:val="top"/>
          </w:tcPr>
          <w:p>
            <w:pPr>
              <w:spacing w:after="40"/>
            </w:pPr>
            <w:r/>
            <w:r>
              <w:rPr>
                <w:rFonts w:ascii="Aptos" w:hAnsi="Aptos"/>
                <w:b w:val="0"/>
                <w:sz w:val="16"/>
              </w:rPr>
              <w:t>Original supplied company WI</w:t>
            </w:r>
          </w:p>
        </w:tc>
        <w:tc>
          <w:tcPr>
            <w:tcW w:type="dxa" w:w="2401"/>
            <w:vAlign w:val="top"/>
          </w:tcPr>
          <w:p>
            <w:pPr>
              <w:spacing w:after="40"/>
            </w:pPr>
            <w:r/>
            <w:r>
              <w:rPr>
                <w:rFonts w:ascii="Aptos" w:hAnsi="Aptos"/>
                <w:b w:val="0"/>
                <w:sz w:val="16"/>
              </w:rPr>
              <w:t>Baseline</w:t>
            </w:r>
          </w:p>
        </w:tc>
      </w:tr>
      <w:tr>
        <w:tc>
          <w:tcPr>
            <w:tcW w:type="dxa" w:w="2401"/>
            <w:vAlign w:val="top"/>
            <w:shd w:fill="F2F5F8"/>
          </w:tcPr>
          <w:p>
            <w:pPr>
              <w:spacing w:after="40"/>
            </w:pPr>
            <w:r/>
            <w:r>
              <w:rPr>
                <w:rFonts w:ascii="Aptos" w:hAnsi="Aptos"/>
                <w:b w:val="0"/>
                <w:sz w:val="16"/>
              </w:rPr>
              <w:t>DRAFT</w:t>
            </w:r>
          </w:p>
        </w:tc>
        <w:tc>
          <w:tcPr>
            <w:tcW w:type="dxa" w:w="2401"/>
            <w:vAlign w:val="top"/>
            <w:shd w:fill="F2F5F8"/>
          </w:tcPr>
          <w:p>
            <w:pPr>
              <w:spacing w:after="40"/>
            </w:pPr>
            <w:r/>
            <w:r>
              <w:rPr>
                <w:rFonts w:ascii="Aptos" w:hAnsi="Aptos"/>
                <w:b w:val="0"/>
                <w:sz w:val="16"/>
              </w:rPr>
              <w:t>22 Oct 2026</w:t>
            </w:r>
          </w:p>
        </w:tc>
        <w:tc>
          <w:tcPr>
            <w:tcW w:type="dxa" w:w="2401"/>
            <w:vAlign w:val="top"/>
            <w:shd w:fill="F2F5F8"/>
          </w:tcPr>
          <w:p>
            <w:pPr>
              <w:spacing w:after="40"/>
            </w:pPr>
            <w:r/>
            <w:r>
              <w:rPr>
                <w:rFonts w:ascii="Aptos" w:hAnsi="Aptos"/>
                <w:b w:val="0"/>
                <w:sz w:val="16"/>
              </w:rPr>
              <w:t>Connector type-test separation, in-process screening and record linkage; 3WS-G01 to G13</w:t>
            </w:r>
          </w:p>
        </w:tc>
        <w:tc>
          <w:tcPr>
            <w:tcW w:type="dxa" w:w="2401"/>
            <w:vAlign w:val="top"/>
            <w:shd w:fill="F2F5F8"/>
          </w:tcPr>
          <w:p>
            <w:pPr>
              <w:spacing w:after="40"/>
            </w:pPr>
            <w:r/>
            <w:r>
              <w:rPr>
                <w:rFonts w:ascii="Aptos" w:hAnsi="Aptos"/>
                <w:b w:val="0"/>
                <w:sz w:val="16"/>
              </w:rPr>
              <w:t>Not approved</w:t>
            </w:r>
          </w:p>
        </w:tc>
      </w:tr>
    </w:tbl>
    <w:sectPr w:rsidR="00FC693F" w:rsidRPr="0006063C" w:rsidSect="00034616">
      <w:headerReference w:type="default" r:id="rId9"/>
      <w:footerReference w:type="default" r:id="rId10"/>
      <w:pgSz w:w="11909" w:h="16834"/>
      <w:pgMar w:top="965" w:right="1109" w:bottom="893" w:left="1195"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Draft for technical review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4F5C6B"/>
        <w:sz w:val="14"/>
      </w:rPr>
      <w:t>SAUDI MAIS | QUALITY CONTROL   •   UNCONTROLLED REVIEW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4F5C6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Display" w:hAnsi="Aptos Display"/>
      <w:b/>
      <w:bCs/>
      <w:color w:val="112843"/>
      <w:sz w:val="29"/>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ptos Display" w:hAnsi="Aptos Display"/>
      <w:b/>
      <w:bCs/>
      <w:color w:val="112843"/>
      <w:sz w:val="23"/>
      <w:szCs w:val="26"/>
    </w:rPr>
  </w:style>
  <w:style w:type="paragraph" w:styleId="Heading3">
    <w:name w:val="heading 3"/>
    <w:basedOn w:val="Normal"/>
    <w:next w:val="Normal"/>
    <w:link w:val="Heading3Char"/>
    <w:uiPriority w:val="9"/>
    <w:unhideWhenUsed/>
    <w:qFormat/>
    <w:rsid w:val="00FC693F"/>
    <w:pPr>
      <w:keepNext/>
      <w:keepLines/>
      <w:spacing w:before="260" w:after="100"/>
      <w:outlineLvl w:val="2"/>
    </w:pPr>
    <w:rPr>
      <w:rFonts w:asciiTheme="majorHAnsi" w:eastAsiaTheme="majorEastAsia" w:hAnsiTheme="majorHAnsi" w:cstheme="majorBidi" w:ascii="Aptos Display" w:hAnsi="Aptos Display"/>
      <w:b/>
      <w:bCs/>
      <w:color w:val="112843"/>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60"/>
      <w:contextualSpacing/>
    </w:pPr>
    <w:rPr>
      <w:rFonts w:asciiTheme="majorHAnsi" w:eastAsiaTheme="majorEastAsia" w:hAnsiTheme="majorHAnsi" w:cstheme="majorBidi" w:ascii="Aptos Display" w:hAnsi="Aptos Display"/>
      <w:b/>
      <w:color w:val="112843"/>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