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PROPOSED REVISED WORK INSTRUCTION</w:t>
      </w:r>
    </w:p>
    <w:p>
      <w:r>
        <w:rPr>
          <w:b/>
        </w:rPr>
        <w:t>Production &amp; Test Procedure for Sterile Amnion Hook | Based on WI-8-2-2-26 Rev.5</w:t>
      </w:r>
    </w:p>
    <w:p>
      <w:pPr>
        <w:pStyle w:val="Subtitle"/>
      </w:pPr>
      <w:r>
        <w:t>CONTROLLED DRAFT • Proposed wording only. No supplied record demonstrates completed operational checks, approvals or product conformity.</w:t>
      </w:r>
    </w:p>
    <w:tbl>
      <w:tblPr>
        <w:tblStyle w:val="TableGrid"/>
        <w:tblW w:type="auto" w:w="0"/>
        <w:tblLayout w:type="fixed"/>
        <w:tblLook w:firstColumn="1" w:firstRow="1" w:lastColumn="0" w:lastRow="0" w:noHBand="0" w:noVBand="1" w:val="04A0"/>
      </w:tblPr>
      <w:tblGrid>
        <w:gridCol w:w="4819"/>
        <w:gridCol w:w="4819"/>
      </w:tblGrid>
      <w:tr>
        <w:tc>
          <w:tcPr>
            <w:tcW w:type="dxa" w:w="4819"/>
            <w:vAlign w:val="center"/>
            <w:tcMar>
              <w:top w:w="80" w:type="dxa"/>
              <w:start w:w="90" w:type="dxa"/>
              <w:bottom w:w="65" w:type="dxa"/>
              <w:end w:w="90" w:type="dxa"/>
            </w:tcMar>
            <w:shd w:fill="F5F7FA"/>
          </w:tcPr>
          <w:p>
            <w:pPr>
              <w:spacing w:after="40" w:line="269" w:lineRule="auto"/>
            </w:pPr>
            <w:r>
              <w:rPr>
                <w:b/>
              </w:rPr>
            </w:r>
            <w:r>
              <w:rPr>
                <w:b w:val="0"/>
                <w:color w:val="243140"/>
                <w:sz w:val="18"/>
              </w:rPr>
              <w:t>Document type</w:t>
            </w:r>
          </w:p>
        </w:tc>
        <w:tc>
          <w:tcPr>
            <w:tcW w:type="dxa" w:w="4819"/>
            <w:vAlign w:val="center"/>
            <w:tcMar>
              <w:top w:w="80" w:type="dxa"/>
              <w:start w:w="90" w:type="dxa"/>
              <w:bottom w:w="65" w:type="dxa"/>
              <w:end w:w="90" w:type="dxa"/>
            </w:tcMar>
            <w:shd w:fill="F5F7FA"/>
          </w:tcPr>
          <w:p>
            <w:pPr>
              <w:spacing w:after="40" w:line="269" w:lineRule="auto"/>
            </w:pPr>
            <w:r/>
            <w:r>
              <w:rPr>
                <w:b w:val="0"/>
                <w:color w:val="243140"/>
                <w:sz w:val="18"/>
              </w:rPr>
              <w:t>Controlled draft — proposed replacement for technical review; NOT an authorized revision.</w:t>
            </w:r>
          </w:p>
        </w:tc>
      </w:tr>
      <w:tr>
        <w:tc>
          <w:tcPr>
            <w:tcW w:type="dxa" w:w="4819"/>
            <w:vAlign w:val="center"/>
            <w:tcMar>
              <w:top w:w="80" w:type="dxa"/>
              <w:start w:w="90" w:type="dxa"/>
              <w:bottom w:w="65" w:type="dxa"/>
              <w:end w:w="90" w:type="dxa"/>
            </w:tcMar>
          </w:tcPr>
          <w:p>
            <w:pPr>
              <w:spacing w:after="40" w:line="269" w:lineRule="auto"/>
            </w:pPr>
            <w:r>
              <w:rPr>
                <w:b/>
              </w:rPr>
            </w:r>
            <w:r>
              <w:rPr>
                <w:b w:val="0"/>
                <w:color w:val="243140"/>
                <w:sz w:val="18"/>
              </w:rPr>
              <w:t>Source baseline</w:t>
            </w:r>
          </w:p>
        </w:tc>
        <w:tc>
          <w:tcPr>
            <w:tcW w:type="dxa" w:w="4819"/>
            <w:vAlign w:val="center"/>
            <w:tcMar>
              <w:top w:w="80" w:type="dxa"/>
              <w:start w:w="90" w:type="dxa"/>
              <w:bottom w:w="65" w:type="dxa"/>
              <w:end w:w="90" w:type="dxa"/>
            </w:tcMar>
          </w:tcPr>
          <w:p>
            <w:pPr>
              <w:spacing w:after="40" w:line="269" w:lineRule="auto"/>
            </w:pPr>
            <w:r/>
            <w:r>
              <w:rPr>
                <w:b w:val="0"/>
                <w:color w:val="243140"/>
                <w:sz w:val="18"/>
              </w:rPr>
              <w:t>WI-8-2-2-26 | Rev. 5 | 01 Sep 2023; original content preserved in operational scope.</w:t>
            </w:r>
          </w:p>
        </w:tc>
      </w:tr>
      <w:tr>
        <w:tc>
          <w:tcPr>
            <w:tcW w:type="dxa" w:w="4819"/>
            <w:vAlign w:val="center"/>
            <w:tcMar>
              <w:top w:w="80" w:type="dxa"/>
              <w:start w:w="90" w:type="dxa"/>
              <w:bottom w:w="65" w:type="dxa"/>
              <w:end w:w="90" w:type="dxa"/>
            </w:tcMar>
            <w:shd w:fill="F5F7FA"/>
          </w:tcPr>
          <w:p>
            <w:pPr>
              <w:spacing w:after="40" w:line="269" w:lineRule="auto"/>
            </w:pPr>
            <w:r>
              <w:rPr>
                <w:b/>
              </w:rPr>
            </w:r>
            <w:r>
              <w:rPr>
                <w:b w:val="0"/>
                <w:color w:val="243140"/>
                <w:sz w:val="18"/>
              </w:rPr>
              <w:t>Proposed revision</w:t>
            </w:r>
          </w:p>
        </w:tc>
        <w:tc>
          <w:tcPr>
            <w:tcW w:type="dxa" w:w="4819"/>
            <w:vAlign w:val="center"/>
            <w:tcMar>
              <w:top w:w="80" w:type="dxa"/>
              <w:start w:w="90" w:type="dxa"/>
              <w:bottom w:w="65" w:type="dxa"/>
              <w:end w:w="90" w:type="dxa"/>
            </w:tcMar>
            <w:shd w:fill="F5F7FA"/>
          </w:tcPr>
          <w:p>
            <w:pPr>
              <w:spacing w:after="40" w:line="269" w:lineRule="auto"/>
            </w:pPr>
            <w:r/>
            <w:r>
              <w:rPr>
                <w:b w:val="0"/>
                <w:color w:val="243140"/>
                <w:sz w:val="18"/>
              </w:rPr>
              <w:t>TBD — must be assigned through site Document Control after approvals.</w:t>
            </w:r>
          </w:p>
        </w:tc>
      </w:tr>
      <w:tr>
        <w:tc>
          <w:tcPr>
            <w:tcW w:type="dxa" w:w="4819"/>
            <w:vAlign w:val="center"/>
            <w:tcMar>
              <w:top w:w="80" w:type="dxa"/>
              <w:start w:w="90" w:type="dxa"/>
              <w:bottom w:w="65" w:type="dxa"/>
              <w:end w:w="90" w:type="dxa"/>
            </w:tcMar>
          </w:tcPr>
          <w:p>
            <w:pPr>
              <w:spacing w:after="40" w:line="269" w:lineRule="auto"/>
            </w:pPr>
            <w:r>
              <w:rPr>
                <w:b/>
              </w:rPr>
            </w:r>
            <w:r>
              <w:rPr>
                <w:b w:val="0"/>
                <w:color w:val="243140"/>
                <w:sz w:val="18"/>
              </w:rPr>
              <w:t>Change scope</w:t>
            </w:r>
          </w:p>
        </w:tc>
        <w:tc>
          <w:tcPr>
            <w:tcW w:type="dxa" w:w="4819"/>
            <w:vAlign w:val="center"/>
            <w:tcMar>
              <w:top w:w="80" w:type="dxa"/>
              <w:start w:w="90" w:type="dxa"/>
              <w:bottom w:w="65" w:type="dxa"/>
              <w:end w:w="90" w:type="dxa"/>
            </w:tcMar>
          </w:tcPr>
          <w:p>
            <w:pPr>
              <w:spacing w:after="40" w:line="269" w:lineRule="auto"/>
            </w:pPr>
            <w:r/>
            <w:r>
              <w:rPr>
                <w:b w:val="0"/>
                <w:color w:val="243140"/>
                <w:sz w:val="18"/>
              </w:rPr>
              <w:t>In-process controls primarily: proposed §§5.3–5.5; other existing processes retained or editorially clarified.</w:t>
            </w:r>
          </w:p>
        </w:tc>
      </w:tr>
      <w:tr>
        <w:tc>
          <w:tcPr>
            <w:tcW w:type="dxa" w:w="4819"/>
            <w:vAlign w:val="center"/>
            <w:tcMar>
              <w:top w:w="80" w:type="dxa"/>
              <w:start w:w="90" w:type="dxa"/>
              <w:bottom w:w="65" w:type="dxa"/>
              <w:end w:w="90" w:type="dxa"/>
            </w:tcMar>
            <w:shd w:fill="F5F7FA"/>
          </w:tcPr>
          <w:p>
            <w:pPr>
              <w:spacing w:after="40" w:line="269" w:lineRule="auto"/>
            </w:pPr>
            <w:r>
              <w:rPr>
                <w:b/>
              </w:rPr>
            </w:r>
            <w:r>
              <w:rPr>
                <w:b w:val="0"/>
                <w:color w:val="243140"/>
                <w:sz w:val="18"/>
              </w:rPr>
              <w:t>Open references</w:t>
            </w:r>
          </w:p>
        </w:tc>
        <w:tc>
          <w:tcPr>
            <w:tcW w:type="dxa" w:w="4819"/>
            <w:vAlign w:val="center"/>
            <w:tcMar>
              <w:top w:w="80" w:type="dxa"/>
              <w:start w:w="90" w:type="dxa"/>
              <w:bottom w:w="65" w:type="dxa"/>
              <w:end w:w="90" w:type="dxa"/>
            </w:tcMar>
            <w:shd w:fill="F5F7FA"/>
          </w:tcPr>
          <w:p>
            <w:pPr>
              <w:spacing w:after="40" w:line="269" w:lineRule="auto"/>
            </w:pPr>
            <w:r/>
            <w:r>
              <w:rPr>
                <w:b w:val="0"/>
                <w:color w:val="243140"/>
                <w:sz w:val="18"/>
              </w:rPr>
              <w:t>TF-26-PS, TF-26-PDBM, possible WI-8-2-2-26-1, sampling plan, NCR/hold SOP and measuring method to be verified.</w:t>
            </w:r>
          </w:p>
        </w:tc>
      </w:tr>
      <w:tr>
        <w:tc>
          <w:tcPr>
            <w:tcW w:type="dxa" w:w="4819"/>
            <w:vAlign w:val="center"/>
            <w:tcMar>
              <w:top w:w="80" w:type="dxa"/>
              <w:start w:w="90" w:type="dxa"/>
              <w:bottom w:w="65" w:type="dxa"/>
              <w:end w:w="90" w:type="dxa"/>
            </w:tcMar>
          </w:tcPr>
          <w:p>
            <w:pPr>
              <w:spacing w:after="40" w:line="269" w:lineRule="auto"/>
            </w:pPr>
            <w:r>
              <w:rPr>
                <w:b/>
              </w:rPr>
            </w:r>
            <w:r>
              <w:rPr>
                <w:b w:val="0"/>
                <w:color w:val="243140"/>
                <w:sz w:val="18"/>
              </w:rPr>
              <w:t>Related gap IDs</w:t>
            </w:r>
          </w:p>
        </w:tc>
        <w:tc>
          <w:tcPr>
            <w:tcW w:type="dxa" w:w="4819"/>
            <w:vAlign w:val="center"/>
            <w:tcMar>
              <w:top w:w="80" w:type="dxa"/>
              <w:start w:w="90" w:type="dxa"/>
              <w:bottom w:w="65" w:type="dxa"/>
              <w:end w:w="90" w:type="dxa"/>
            </w:tcMar>
          </w:tcPr>
          <w:p>
            <w:pPr>
              <w:spacing w:after="40" w:line="269" w:lineRule="auto"/>
            </w:pPr>
            <w:r/>
            <w:r>
              <w:rPr>
                <w:b w:val="0"/>
                <w:color w:val="243140"/>
                <w:sz w:val="18"/>
              </w:rPr>
              <w:t>GAP-001 through GAP-009.</w:t>
            </w:r>
          </w:p>
        </w:tc>
      </w:tr>
    </w:tbl>
    <w:p>
      <w:pPr>
        <w:pStyle w:val="Heading1"/>
      </w:pPr>
      <w:r>
        <w:t>1. Purpose</w:t>
      </w:r>
    </w:p>
    <w:p>
      <w:r>
        <w:t>To define the production and test process for Sterile Amnion Hook and the corresponding documented quality controls required before transfer and release, consistent with applicable approved company specifications. In-process controls described in this draft do not replace incoming, packaging or final-release records.</w:t>
      </w:r>
    </w:p>
    <w:p>
      <w:pPr>
        <w:pStyle w:val="Heading1"/>
      </w:pPr>
      <w:r>
        <w:t>2. Scope</w:t>
      </w:r>
    </w:p>
    <w:p>
      <w:r>
        <w:t>Applies to Sterile Amnion Hook manufactured by Saudi Mais Company, including receiving, injection molding, in-process component control, packaging, sterilization linkage and final inspection/release. The principal proposed changes in this version concern injection-stage in-process verification.</w:t>
      </w:r>
    </w:p>
    <w:p>
      <w:pPr>
        <w:pStyle w:val="Heading1"/>
      </w:pPr>
      <w:r>
        <w:t>3. Definition</w:t>
      </w:r>
    </w:p>
    <w:p>
      <w:r>
        <w:t>Amnion Hook: a medical device used to rupture the maternal amniotic sac during delivery, as described in the source WI. In-process control: documented production-stage verification before the component proceeds to the next manufacturing stage. Open Technical Input: product-specific requirement that is not verifiable from the supplied controlled documentation.</w:t>
      </w:r>
    </w:p>
    <w:p>
      <w:pPr>
        <w:pStyle w:val="Heading1"/>
      </w:pPr>
      <w:r>
        <w:t>4. Responsibilities</w:t>
      </w:r>
    </w:p>
    <w:p>
      <w:r>
        <w:t>4.1 Quality Controller (QC): select/check the required sample; perform visual and applicable physical/dimensional checks; record actual outcomes and time; control unacceptable components via the approved process.</w:t>
      </w:r>
    </w:p>
    <w:p>
      <w:r>
        <w:t>4.2 QC Supervisor/QCM: review completed results, escalations and applicable disposition records; authorize decisions within the approved roles and procedures.</w:t>
      </w:r>
    </w:p>
    <w:p>
      <w:r>
        <w:t>4.3 Machine Operator / Assembly: run the approved production setup, identify product and production records, protect good parts, and prevent mix-up or unintended transfer.</w:t>
      </w:r>
    </w:p>
    <w:p>
      <w:r>
        <w:t>4.4 Production Controller: issue applicable materials and production orders. Maintenance/Engineering: set the required mold against approved settings and support approved technical criteria.</w:t>
      </w:r>
    </w:p>
    <w:p>
      <w:r>
        <w:t>4.5 Document Control/QA: verify governing documents and release only approved controlled revisions.</w:t>
      </w:r>
    </w:p>
    <w:p>
      <w:pPr>
        <w:pStyle w:val="Heading1"/>
      </w:pPr>
      <w:r>
        <w:t>5. Procedure</w:t>
      </w:r>
    </w:p>
    <w:p>
      <w:pPr>
        <w:pStyle w:val="Heading2"/>
      </w:pPr>
      <w:r>
        <w:t>5.1 Receiving raw material</w:t>
      </w:r>
    </w:p>
    <w:p>
      <w:r>
        <w:t>5.1.1 Confirm received material matches the purchase order and approved material specification; check all material bags for damage. Take samples under the approved general AQL sampling method referenced by the source WI and inspect granules for appropriate form, black spots, lobes formation and irregularities. Record the result on the applicable receiving/OBM report (F-823-T1 as referenced in §10). Do not infer any numeric AQL or acceptance values not shown in the approved plan.</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608"/>
            <w:vAlign w:val="center"/>
            <w:tcMar>
              <w:top w:w="80" w:type="dxa"/>
              <w:start w:w="90" w:type="dxa"/>
              <w:bottom w:w="65" w:type="dxa"/>
              <w:end w:w="90" w:type="dxa"/>
            </w:tcMar>
            <w:shd w:fill="E7EDF4"/>
          </w:tcPr>
          <w:p>
            <w:pPr>
              <w:spacing w:after="40" w:line="269" w:lineRule="auto"/>
            </w:pPr>
            <w:r/>
            <w:r>
              <w:rPr>
                <w:b/>
                <w:color w:val="243140"/>
                <w:sz w:val="17"/>
              </w:rPr>
              <w:t>Characteristic</w:t>
            </w:r>
          </w:p>
        </w:tc>
        <w:tc>
          <w:tcPr>
            <w:tcW w:type="dxa" w:w="4195"/>
            <w:vAlign w:val="center"/>
            <w:tcMar>
              <w:top w:w="80" w:type="dxa"/>
              <w:start w:w="90" w:type="dxa"/>
              <w:bottom w:w="65" w:type="dxa"/>
              <w:end w:w="90" w:type="dxa"/>
            </w:tcMar>
            <w:shd w:fill="E7EDF4"/>
          </w:tcPr>
          <w:p>
            <w:pPr>
              <w:spacing w:after="40" w:line="269" w:lineRule="auto"/>
            </w:pPr>
            <w:r/>
            <w:r>
              <w:rPr>
                <w:b/>
                <w:color w:val="243140"/>
                <w:sz w:val="17"/>
              </w:rPr>
              <w:t>Source WI requirement</w:t>
            </w:r>
          </w:p>
        </w:tc>
        <w:tc>
          <w:tcPr>
            <w:tcW w:type="dxa" w:w="2268"/>
            <w:vAlign w:val="center"/>
            <w:tcMar>
              <w:top w:w="80" w:type="dxa"/>
              <w:start w:w="90" w:type="dxa"/>
              <w:bottom w:w="65" w:type="dxa"/>
              <w:end w:w="90" w:type="dxa"/>
            </w:tcMar>
            <w:shd w:fill="E7EDF4"/>
          </w:tcPr>
          <w:p>
            <w:pPr>
              <w:spacing w:after="40" w:line="269" w:lineRule="auto"/>
            </w:pPr>
            <w:r/>
            <w:r>
              <w:rPr>
                <w:b/>
                <w:color w:val="243140"/>
                <w:sz w:val="17"/>
              </w:rPr>
              <w:t>Method</w:t>
            </w:r>
          </w:p>
        </w:tc>
      </w:tr>
      <w:tr>
        <w:trPr>
          <w:cantSplit/>
        </w:trPr>
        <w:tc>
          <w:tcPr>
            <w:tcW w:type="dxa" w:w="2608"/>
            <w:vAlign w:val="center"/>
            <w:tcMar>
              <w:top w:w="80" w:type="dxa"/>
              <w:start w:w="90" w:type="dxa"/>
              <w:bottom w:w="65" w:type="dxa"/>
              <w:end w:w="90" w:type="dxa"/>
            </w:tcMar>
          </w:tcPr>
          <w:p>
            <w:pPr>
              <w:spacing w:after="40" w:line="269" w:lineRule="auto"/>
            </w:pPr>
            <w:r/>
            <w:r>
              <w:rPr>
                <w:b w:val="0"/>
                <w:color w:val="243140"/>
                <w:sz w:val="17"/>
              </w:rPr>
              <w:t>Clarity / appearance</w:t>
            </w:r>
          </w:p>
        </w:tc>
        <w:tc>
          <w:tcPr>
            <w:tcW w:type="dxa" w:w="4195"/>
            <w:vAlign w:val="center"/>
            <w:tcMar>
              <w:top w:w="80" w:type="dxa"/>
              <w:start w:w="90" w:type="dxa"/>
              <w:bottom w:w="65" w:type="dxa"/>
              <w:end w:w="90" w:type="dxa"/>
            </w:tcMar>
          </w:tcPr>
          <w:p>
            <w:pPr>
              <w:spacing w:after="40" w:line="269" w:lineRule="auto"/>
            </w:pPr>
            <w:r/>
            <w:r>
              <w:rPr>
                <w:b w:val="0"/>
                <w:color w:val="243140"/>
                <w:sz w:val="17"/>
              </w:rPr>
              <w:t>Clear / good appearance</w:t>
            </w:r>
          </w:p>
        </w:tc>
        <w:tc>
          <w:tcPr>
            <w:tcW w:type="dxa" w:w="2268"/>
            <w:vAlign w:val="center"/>
            <w:tcMar>
              <w:top w:w="80" w:type="dxa"/>
              <w:start w:w="90" w:type="dxa"/>
              <w:bottom w:w="65" w:type="dxa"/>
              <w:end w:w="90" w:type="dxa"/>
            </w:tcMar>
          </w:tcPr>
          <w:p>
            <w:pPr>
              <w:spacing w:after="40" w:line="269" w:lineRule="auto"/>
            </w:pPr>
            <w:r/>
            <w:r>
              <w:rPr>
                <w:b w:val="0"/>
                <w:color w:val="243140"/>
                <w:sz w:val="17"/>
              </w:rPr>
              <w:t>Visual</w:t>
            </w:r>
          </w:p>
        </w:tc>
      </w:tr>
      <w:tr>
        <w:trPr>
          <w:cantSplit/>
        </w:trPr>
        <w:tc>
          <w:tcPr>
            <w:tcW w:type="dxa" w:w="2608"/>
            <w:vAlign w:val="center"/>
            <w:tcMar>
              <w:top w:w="80" w:type="dxa"/>
              <w:start w:w="90" w:type="dxa"/>
              <w:bottom w:w="65" w:type="dxa"/>
              <w:end w:w="90" w:type="dxa"/>
            </w:tcMar>
            <w:shd w:fill="F5F7FA"/>
          </w:tcPr>
          <w:p>
            <w:pPr>
              <w:spacing w:after="40" w:line="269" w:lineRule="auto"/>
            </w:pPr>
            <w:r/>
            <w:r>
              <w:rPr>
                <w:b w:val="0"/>
                <w:color w:val="243140"/>
                <w:sz w:val="17"/>
              </w:rPr>
              <w:t>Bag condition</w:t>
            </w:r>
          </w:p>
        </w:tc>
        <w:tc>
          <w:tcPr>
            <w:tcW w:type="dxa" w:w="4195"/>
            <w:vAlign w:val="center"/>
            <w:tcMar>
              <w:top w:w="80" w:type="dxa"/>
              <w:start w:w="90" w:type="dxa"/>
              <w:bottom w:w="65" w:type="dxa"/>
              <w:end w:w="90" w:type="dxa"/>
            </w:tcMar>
            <w:shd w:fill="F5F7FA"/>
          </w:tcPr>
          <w:p>
            <w:pPr>
              <w:spacing w:after="40" w:line="269" w:lineRule="auto"/>
            </w:pPr>
            <w:r/>
            <w:r>
              <w:rPr>
                <w:b w:val="0"/>
                <w:color w:val="243140"/>
                <w:sz w:val="17"/>
              </w:rPr>
              <w:t>Good / no damaged bags</w:t>
            </w:r>
          </w:p>
        </w:tc>
        <w:tc>
          <w:tcPr>
            <w:tcW w:type="dxa" w:w="2268"/>
            <w:vAlign w:val="center"/>
            <w:tcMar>
              <w:top w:w="80" w:type="dxa"/>
              <w:start w:w="90" w:type="dxa"/>
              <w:bottom w:w="65" w:type="dxa"/>
              <w:end w:w="90" w:type="dxa"/>
            </w:tcMar>
            <w:shd w:fill="F5F7FA"/>
          </w:tcPr>
          <w:p>
            <w:pPr>
              <w:spacing w:after="40" w:line="269" w:lineRule="auto"/>
            </w:pPr>
            <w:r/>
            <w:r>
              <w:rPr>
                <w:b w:val="0"/>
                <w:color w:val="243140"/>
                <w:sz w:val="17"/>
              </w:rPr>
              <w:t>Visual</w:t>
            </w:r>
          </w:p>
        </w:tc>
      </w:tr>
      <w:tr>
        <w:trPr>
          <w:cantSplit/>
        </w:trPr>
        <w:tc>
          <w:tcPr>
            <w:tcW w:type="dxa" w:w="2608"/>
            <w:vAlign w:val="center"/>
            <w:tcMar>
              <w:top w:w="80" w:type="dxa"/>
              <w:start w:w="90" w:type="dxa"/>
              <w:bottom w:w="65" w:type="dxa"/>
              <w:end w:w="90" w:type="dxa"/>
            </w:tcMar>
          </w:tcPr>
          <w:p>
            <w:pPr>
              <w:spacing w:after="40" w:line="269" w:lineRule="auto"/>
            </w:pPr>
            <w:r/>
            <w:r>
              <w:rPr>
                <w:b w:val="0"/>
                <w:color w:val="243140"/>
                <w:sz w:val="17"/>
              </w:rPr>
              <w:t>Material grades / description</w:t>
            </w:r>
          </w:p>
        </w:tc>
        <w:tc>
          <w:tcPr>
            <w:tcW w:type="dxa" w:w="4195"/>
            <w:vAlign w:val="center"/>
            <w:tcMar>
              <w:top w:w="80" w:type="dxa"/>
              <w:start w:w="90" w:type="dxa"/>
              <w:bottom w:w="65" w:type="dxa"/>
              <w:end w:w="90" w:type="dxa"/>
            </w:tcMar>
          </w:tcPr>
          <w:p>
            <w:pPr>
              <w:spacing w:after="40" w:line="269" w:lineRule="auto"/>
            </w:pPr>
            <w:r/>
            <w:r>
              <w:rPr>
                <w:b w:val="0"/>
                <w:color w:val="243140"/>
                <w:sz w:val="17"/>
              </w:rPr>
              <w:t>As per purchase order</w:t>
            </w:r>
          </w:p>
        </w:tc>
        <w:tc>
          <w:tcPr>
            <w:tcW w:type="dxa" w:w="2268"/>
            <w:vAlign w:val="center"/>
            <w:tcMar>
              <w:top w:w="80" w:type="dxa"/>
              <w:start w:w="90" w:type="dxa"/>
              <w:bottom w:w="65" w:type="dxa"/>
              <w:end w:w="90" w:type="dxa"/>
            </w:tcMar>
          </w:tcPr>
          <w:p>
            <w:pPr>
              <w:spacing w:after="40" w:line="269" w:lineRule="auto"/>
            </w:pPr>
            <w:r/>
            <w:r>
              <w:rPr>
                <w:b w:val="0"/>
                <w:color w:val="243140"/>
                <w:sz w:val="17"/>
              </w:rPr>
              <w:t>Visual / physical</w:t>
            </w:r>
          </w:p>
        </w:tc>
      </w:tr>
      <w:tr>
        <w:trPr>
          <w:cantSplit/>
        </w:trPr>
        <w:tc>
          <w:tcPr>
            <w:tcW w:type="dxa" w:w="2608"/>
            <w:vAlign w:val="center"/>
            <w:tcMar>
              <w:top w:w="80" w:type="dxa"/>
              <w:start w:w="90" w:type="dxa"/>
              <w:bottom w:w="65" w:type="dxa"/>
              <w:end w:w="90" w:type="dxa"/>
            </w:tcMar>
            <w:shd w:fill="F5F7FA"/>
          </w:tcPr>
          <w:p>
            <w:pPr>
              <w:spacing w:after="40" w:line="269" w:lineRule="auto"/>
            </w:pPr>
            <w:r/>
            <w:r>
              <w:rPr>
                <w:b w:val="0"/>
                <w:color w:val="243140"/>
                <w:sz w:val="17"/>
              </w:rPr>
              <w:t>Granules appearance</w:t>
            </w:r>
          </w:p>
        </w:tc>
        <w:tc>
          <w:tcPr>
            <w:tcW w:type="dxa" w:w="4195"/>
            <w:vAlign w:val="center"/>
            <w:tcMar>
              <w:top w:w="80" w:type="dxa"/>
              <w:start w:w="90" w:type="dxa"/>
              <w:bottom w:w="65" w:type="dxa"/>
              <w:end w:w="90" w:type="dxa"/>
            </w:tcMar>
            <w:shd w:fill="F5F7FA"/>
          </w:tcPr>
          <w:p>
            <w:pPr>
              <w:spacing w:after="40" w:line="269" w:lineRule="auto"/>
            </w:pPr>
            <w:r/>
            <w:r>
              <w:rPr>
                <w:b w:val="0"/>
                <w:color w:val="243140"/>
                <w:sz w:val="17"/>
              </w:rPr>
              <w:t>Good / transparent / colored</w:t>
            </w:r>
          </w:p>
        </w:tc>
        <w:tc>
          <w:tcPr>
            <w:tcW w:type="dxa" w:w="2268"/>
            <w:vAlign w:val="center"/>
            <w:tcMar>
              <w:top w:w="80" w:type="dxa"/>
              <w:start w:w="90" w:type="dxa"/>
              <w:bottom w:w="65" w:type="dxa"/>
              <w:end w:w="90" w:type="dxa"/>
            </w:tcMar>
            <w:shd w:fill="F5F7FA"/>
          </w:tcPr>
          <w:p>
            <w:pPr>
              <w:spacing w:after="40" w:line="269" w:lineRule="auto"/>
            </w:pPr>
            <w:r/>
            <w:r>
              <w:rPr>
                <w:b w:val="0"/>
                <w:color w:val="243140"/>
                <w:sz w:val="17"/>
              </w:rPr>
              <w:t>Visual</w:t>
            </w:r>
          </w:p>
        </w:tc>
      </w:tr>
      <w:tr>
        <w:trPr>
          <w:cantSplit/>
        </w:trPr>
        <w:tc>
          <w:tcPr>
            <w:tcW w:type="dxa" w:w="2608"/>
            <w:vAlign w:val="center"/>
            <w:tcMar>
              <w:top w:w="80" w:type="dxa"/>
              <w:start w:w="90" w:type="dxa"/>
              <w:bottom w:w="65" w:type="dxa"/>
              <w:end w:w="90" w:type="dxa"/>
            </w:tcMar>
          </w:tcPr>
          <w:p>
            <w:pPr>
              <w:spacing w:after="40" w:line="269" w:lineRule="auto"/>
            </w:pPr>
            <w:r/>
            <w:r>
              <w:rPr>
                <w:b w:val="0"/>
                <w:color w:val="243140"/>
                <w:sz w:val="17"/>
              </w:rPr>
              <w:t>Granules formation</w:t>
            </w:r>
          </w:p>
        </w:tc>
        <w:tc>
          <w:tcPr>
            <w:tcW w:type="dxa" w:w="4195"/>
            <w:vAlign w:val="center"/>
            <w:tcMar>
              <w:top w:w="80" w:type="dxa"/>
              <w:start w:w="90" w:type="dxa"/>
              <w:bottom w:w="65" w:type="dxa"/>
              <w:end w:w="90" w:type="dxa"/>
            </w:tcMar>
          </w:tcPr>
          <w:p>
            <w:pPr>
              <w:spacing w:after="40" w:line="269" w:lineRule="auto"/>
            </w:pPr>
            <w:r/>
            <w:r>
              <w:rPr>
                <w:b w:val="0"/>
                <w:color w:val="243140"/>
                <w:sz w:val="17"/>
              </w:rPr>
              <w:t>No lobes formation</w:t>
            </w:r>
          </w:p>
        </w:tc>
        <w:tc>
          <w:tcPr>
            <w:tcW w:type="dxa" w:w="2268"/>
            <w:vAlign w:val="center"/>
            <w:tcMar>
              <w:top w:w="80" w:type="dxa"/>
              <w:start w:w="90" w:type="dxa"/>
              <w:bottom w:w="65" w:type="dxa"/>
              <w:end w:w="90" w:type="dxa"/>
            </w:tcMar>
          </w:tcPr>
          <w:p>
            <w:pPr>
              <w:spacing w:after="40" w:line="269" w:lineRule="auto"/>
            </w:pPr>
            <w:r/>
            <w:r>
              <w:rPr>
                <w:b w:val="0"/>
                <w:color w:val="243140"/>
                <w:sz w:val="17"/>
              </w:rPr>
              <w:t>Visual</w:t>
            </w:r>
          </w:p>
        </w:tc>
      </w:tr>
      <w:tr>
        <w:trPr>
          <w:cantSplit/>
        </w:trPr>
        <w:tc>
          <w:tcPr>
            <w:tcW w:type="dxa" w:w="2608"/>
            <w:vAlign w:val="center"/>
            <w:tcMar>
              <w:top w:w="80" w:type="dxa"/>
              <w:start w:w="90" w:type="dxa"/>
              <w:bottom w:w="65" w:type="dxa"/>
              <w:end w:w="90" w:type="dxa"/>
            </w:tcMar>
            <w:shd w:fill="F5F7FA"/>
          </w:tcPr>
          <w:p>
            <w:pPr>
              <w:spacing w:after="40" w:line="269" w:lineRule="auto"/>
            </w:pPr>
            <w:r/>
            <w:r>
              <w:rPr>
                <w:b w:val="0"/>
                <w:color w:val="243140"/>
                <w:sz w:val="17"/>
              </w:rPr>
              <w:t>Lot printed status</w:t>
            </w:r>
          </w:p>
        </w:tc>
        <w:tc>
          <w:tcPr>
            <w:tcW w:type="dxa" w:w="4195"/>
            <w:vAlign w:val="center"/>
            <w:tcMar>
              <w:top w:w="80" w:type="dxa"/>
              <w:start w:w="90" w:type="dxa"/>
              <w:bottom w:w="65" w:type="dxa"/>
              <w:end w:w="90" w:type="dxa"/>
            </w:tcMar>
            <w:shd w:fill="F5F7FA"/>
          </w:tcPr>
          <w:p>
            <w:pPr>
              <w:spacing w:after="40" w:line="269" w:lineRule="auto"/>
            </w:pPr>
            <w:r/>
            <w:r>
              <w:rPr>
                <w:b w:val="0"/>
                <w:color w:val="243140"/>
                <w:sz w:val="17"/>
              </w:rPr>
              <w:t>Clear printing</w:t>
            </w:r>
          </w:p>
        </w:tc>
        <w:tc>
          <w:tcPr>
            <w:tcW w:type="dxa" w:w="2268"/>
            <w:vAlign w:val="center"/>
            <w:tcMar>
              <w:top w:w="80" w:type="dxa"/>
              <w:start w:w="90" w:type="dxa"/>
              <w:bottom w:w="65" w:type="dxa"/>
              <w:end w:w="90" w:type="dxa"/>
            </w:tcMar>
            <w:shd w:fill="F5F7FA"/>
          </w:tcPr>
          <w:p>
            <w:pPr>
              <w:spacing w:after="40" w:line="269" w:lineRule="auto"/>
            </w:pPr>
            <w:r/>
            <w:r>
              <w:rPr>
                <w:b w:val="0"/>
                <w:color w:val="243140"/>
                <w:sz w:val="17"/>
              </w:rPr>
              <w:t>Visual</w:t>
            </w:r>
          </w:p>
        </w:tc>
      </w:tr>
      <w:tr>
        <w:trPr>
          <w:cantSplit/>
        </w:trPr>
        <w:tc>
          <w:tcPr>
            <w:tcW w:type="dxa" w:w="2608"/>
            <w:vAlign w:val="center"/>
            <w:tcMar>
              <w:top w:w="80" w:type="dxa"/>
              <w:start w:w="90" w:type="dxa"/>
              <w:bottom w:w="65" w:type="dxa"/>
              <w:end w:w="90" w:type="dxa"/>
            </w:tcMar>
          </w:tcPr>
          <w:p>
            <w:pPr>
              <w:spacing w:after="40" w:line="269" w:lineRule="auto"/>
            </w:pPr>
            <w:r/>
            <w:r>
              <w:rPr>
                <w:b w:val="0"/>
                <w:color w:val="243140"/>
                <w:sz w:val="17"/>
              </w:rPr>
              <w:t>Bag arrangement / identification</w:t>
            </w:r>
          </w:p>
        </w:tc>
        <w:tc>
          <w:tcPr>
            <w:tcW w:type="dxa" w:w="4195"/>
            <w:vAlign w:val="center"/>
            <w:tcMar>
              <w:top w:w="80" w:type="dxa"/>
              <w:start w:w="90" w:type="dxa"/>
              <w:bottom w:w="65" w:type="dxa"/>
              <w:end w:w="90" w:type="dxa"/>
            </w:tcMar>
          </w:tcPr>
          <w:p>
            <w:pPr>
              <w:spacing w:after="40" w:line="269" w:lineRule="auto"/>
            </w:pPr>
            <w:r/>
            <w:r>
              <w:rPr>
                <w:b w:val="0"/>
                <w:color w:val="243140"/>
                <w:sz w:val="17"/>
              </w:rPr>
              <w:t>Specified clear label</w:t>
            </w:r>
          </w:p>
        </w:tc>
        <w:tc>
          <w:tcPr>
            <w:tcW w:type="dxa" w:w="2268"/>
            <w:vAlign w:val="center"/>
            <w:tcMar>
              <w:top w:w="80" w:type="dxa"/>
              <w:start w:w="90" w:type="dxa"/>
              <w:bottom w:w="65" w:type="dxa"/>
              <w:end w:w="90" w:type="dxa"/>
            </w:tcMar>
          </w:tcPr>
          <w:p>
            <w:pPr>
              <w:spacing w:after="40" w:line="269" w:lineRule="auto"/>
            </w:pPr>
            <w:r/>
            <w:r>
              <w:rPr>
                <w:b w:val="0"/>
                <w:color w:val="243140"/>
                <w:sz w:val="17"/>
              </w:rPr>
              <w:t>Visual</w:t>
            </w:r>
          </w:p>
        </w:tc>
      </w:tr>
    </w:tbl>
    <w:p>
      <w:pPr>
        <w:pStyle w:val="Heading2"/>
      </w:pPr>
      <w:r>
        <w:t>5.2 Injection molding / production process</w:t>
      </w:r>
    </w:p>
    <w:p>
      <w:r>
        <w:t>5.2.1 Production Controller shall issue the required raw material and production order for Amnion Hook.</w:t>
      </w:r>
    </w:p>
    <w:p>
      <w:r>
        <w:t>5.2.2 Maintenance shall set the required mold in accordance with the approved production parameters; the machine operator shall feed the raw material specified in the production order.</w:t>
      </w:r>
    </w:p>
    <w:p>
      <w:r>
        <w:t>5.2.3 QC shall sample components using the approved lot-based general-AQL visual and special-AQL physical methods where applicable, and conduct the two-hour ongoing production checks described in §5.4. The authorized plans shall determine sample sizes and any lot acceptance numbers.</w:t>
      </w:r>
    </w:p>
    <w:p>
      <w:r>
        <w:t>5.2.4 QC shall check surface condition and hook formation against §§5.3 and the approved TF-26-PS/controlled visual criteria.</w:t>
      </w:r>
    </w:p>
    <w:p>
      <w:r>
        <w:t>5.2.5 Accepted components shall be collected into identified bags and inspection tags stamped/approved by QC before authorized transfer. Nonaccepted or unverified components shall not be transferred as accepted.</w:t>
      </w:r>
    </w:p>
    <w:p>
      <w:r>
        <w:t>5.2.6 Production supervision and machine operators shall move verified acceptable output to the designated area/next approved process.</w:t>
      </w:r>
    </w:p>
    <w:p>
      <w:pPr>
        <w:pStyle w:val="Heading2"/>
      </w:pPr>
      <w:r>
        <w:t>5.3 In-process product checks [PROPOSED — GAP-001/002/003/008]</w:t>
      </w:r>
    </w:p>
    <w:p>
      <w:r>
        <w:t>5.3.1 Appearance and visual integrity. Examine sampled components for visible contamination, flashing, sink marks, gating defect, short shot, black spots, rough/irregular surfaces, other visible irregularities and damage. Apply approved defect acceptance descriptions; record a distinct result for each specified characteristic. [OPEN TECHNICAL INPUT: controlled defect classification/visual method if required.]</w:t>
      </w:r>
    </w:p>
    <w:p>
      <w:r>
        <w:t>5.3.2 Hook/tip. Confirm the tip is fully formed, visibly pointed, free of tip damage, and the hook is not bent/deformed. The WI source also describes the hook as “good and strong”; the objective strength/functional criterion and whether it is a routine in-process test require authorized technical determination. Until defined, do not invent a strength test or numerical limit. Record hook formation/tip integrity and bend/damage separately. [OPEN TECHNICAL INPUT: functional test method and limits, if applicable.]</w:t>
      </w:r>
    </w:p>
    <w:p>
      <w:r>
        <w:t>5.3.3 Dimensions. Measure each characteristic designated by the approved TF-26-PS/drawing or process plan. For each, document feature, specification revision, unit, approved tolerance, actual measurement, equipment ID, sample identifier and Pass/Fail on a controlled linked worksheet. The source WI specifically requires length per specification; no numeric tolerances are established in the available evidence. [OPEN TECHNICAL INPUT: features, dimensional limits and method.]</w:t>
      </w:r>
    </w:p>
    <w:p>
      <w:r>
        <w:t>5.3.4 Measurement control. Use the device required by the approved method, verify authorized calibration/verification status, and document the instrument ID and linked result-sheet record. An instrument is not mandatory for a visual-only characteristic unless required by the approved method.</w:t>
      </w:r>
    </w:p>
    <w:p>
      <w:pPr>
        <w:pStyle w:val="Heading2"/>
      </w:pPr>
      <w:r>
        <w:t>5.4 Inspection frequency, sampling and traceability [PROPOSED — GAP-004/005/006]</w:t>
      </w:r>
    </w:p>
    <w:p>
      <w:r>
        <w:t>5.4.1 During ongoing production, QC shall check the components every two hours as stated in the source WI and record actual date/time, shift, product and run. Missed checks and associated product-scope decisions shall be documented per approved procedure. Additional events (start-up, changeover, restart) shall follow a separately approved control plan if one exists; their frequencies are not presumed.</w:t>
      </w:r>
    </w:p>
    <w:p>
      <w:r>
        <w:t>5.4.2 Identify which approved sample plan applies: periodic in-process sample or lot-based AQL sample. Record plan reference/revision, n, lot size, defect counts, and AQL/inspection level/Ac/Re when relevant and established. The two-hour check alone does not define an AQL sample. [OPEN TECHNICAL INPUT: approved sampling plans.]</w:t>
      </w:r>
    </w:p>
    <w:p>
      <w:r>
        <w:t>5.4.3 Record type/product code, lot, shift, inspection date/time, production order, run/machine/mold or a unique identifier of a verified linked production record, and QC inspector. Do not duplicate information already maintained in a controlled traceable record when a unique cross-reference is recorded.</w:t>
      </w:r>
    </w:p>
    <w:p>
      <w:pPr>
        <w:pStyle w:val="Heading2"/>
      </w:pPr>
      <w:r>
        <w:t>5.5 Nonconforming / missed-check handling [PROPOSED — GAP-007]</w:t>
      </w:r>
    </w:p>
    <w:p>
      <w:r>
        <w:t>For a failed or missed in-process check, prevent unauthorized transfer of potentially affected components and follow the current authorized segregation/hold/NCR process. Record the affected lot, potentially affected time window/quantity, defect, hold/NCR reference, location, notification, authorized disposition and recheck evidence (if required). Only accepted and released-to-next-process parts shall carry a QC acceptance tag. [OPEN DOCUMENT INPUT: approved NC/hold procedure identifier and escalation rule.]</w:t>
      </w:r>
    </w:p>
    <w:p>
      <w:pPr>
        <w:pStyle w:val="Heading1"/>
      </w:pPr>
      <w:r>
        <w:t>6. Amnion Hook specification</w:t>
      </w:r>
    </w:p>
    <w:p>
      <w:r>
        <w:t>The approved Amnion Hook dimensional and raw-material specifications are established in TF-26-PS according to the source WI. Verify the current controlled revision before use. TF-26-PS was not supplied with this review; no dimensions, tolerances, resin grade or product properties are invented in this draft.</w:t>
      </w:r>
    </w:p>
    <w:p>
      <w:pPr>
        <w:pStyle w:val="Heading1"/>
      </w:pPr>
      <w:r>
        <w:t>7. Packaging and labeling [retained source process]</w:t>
      </w:r>
    </w:p>
    <w:p>
      <w:r>
        <w:t>7.1 Production Controller shall issue packaging film/paper and the packaging order according to approved packaging specifications.</w:t>
      </w:r>
    </w:p>
    <w:p>
      <w:r>
        <w:t>7.2 Machine Operator shall set the specified packaging die and approved machine parameters, and confirm the authorized clichés match the packaging order.</w:t>
      </w:r>
    </w:p>
    <w:p>
      <w:r>
        <w:t>7.3 QC shall check product name, product/code/reference/size/lot identification, type, applicable temperature and sterilization logos, production/expiry dates, package forming, printing, sealing and cutting against the approved packaging specification, and stamp/verify packaging as required by the controlled process.</w:t>
      </w:r>
    </w:p>
    <w:p>
      <w:r>
        <w:t>7.4 After packaging, repacking personnel shall inspect package integrity and condition; acceptable products shall be packed in specified small boxes and outer cartons with required identifying labels.</w:t>
      </w:r>
    </w:p>
    <w:p>
      <w:r>
        <w:t>7.5 F-823-i4 is the referenced packaging in-process control form; it was not reviewed in this assignment.</w:t>
      </w:r>
    </w:p>
    <w:p>
      <w:pPr>
        <w:pStyle w:val="Heading1"/>
      </w:pPr>
      <w:r>
        <w:t>8. Sterilization linkage [retained]</w:t>
      </w:r>
    </w:p>
    <w:p>
      <w:r>
        <w:t>Finished products shall be sterilized in accordance with the approved WI-7-5-1-1 as referenced by the source WI. The sterilization method, cycles and validation evidence were not provided and are not reconstructed in this draft.</w:t>
      </w:r>
    </w:p>
    <w:p>
      <w:pPr>
        <w:pStyle w:val="Heading1"/>
      </w:pPr>
      <w:r>
        <w:t>9. Final inspection and release [retained outside review scope]</w:t>
      </w:r>
    </w:p>
    <w:p>
      <w:r>
        <w:t>9.1 QC shall check unloaded sterilized product after sterilization and sample using the approved visual general-AQL and physical/performance special-AQL procedures, as specified in the existing WI and final-release plan.</w:t>
      </w:r>
    </w:p>
    <w:p>
      <w:r>
        <w:t>9.2 The QA Manager or QCM shall review completed sterilization cycle parameters and inspection reports; required documents shall be reviewed/signed according to the approved site process.</w:t>
      </w:r>
    </w:p>
    <w:p>
      <w:r>
        <w:t>9.3 Following confirmation of required laboratory testing, the QCM shall review and authorize final release as required by the existing site process.</w:t>
      </w:r>
    </w:p>
    <w:p>
      <w:r>
        <w:t>9.4 Production shall record finished quantities prior to transfer to the finished-goods warehouse; products must not be released to the customer until required authorizations are complete.</w:t>
      </w:r>
    </w:p>
    <w:p>
      <w:r>
        <w:t>9.5 F-823-F39 is the final inspection/release record referenced by the source WI. This proposal neither reviews nor replaces that separate record.</w:t>
      </w:r>
    </w:p>
    <w:p>
      <w:pPr>
        <w:pStyle w:val="Heading1"/>
      </w:pPr>
      <w:r>
        <w:t>10. Controlled records, forms and sampling references [GAP-009]</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2835"/>
            <w:vAlign w:val="center"/>
            <w:tcMar>
              <w:top w:w="80" w:type="dxa"/>
              <w:start w:w="90" w:type="dxa"/>
              <w:bottom w:w="65" w:type="dxa"/>
              <w:end w:w="90" w:type="dxa"/>
            </w:tcMar>
            <w:shd w:fill="E7EDF4"/>
          </w:tcPr>
          <w:p>
            <w:pPr>
              <w:spacing w:after="40" w:line="269" w:lineRule="auto"/>
            </w:pPr>
            <w:r/>
            <w:r>
              <w:rPr>
                <w:b/>
                <w:color w:val="243140"/>
                <w:sz w:val="15"/>
              </w:rPr>
              <w:t>Record / reference</w:t>
            </w:r>
          </w:p>
        </w:tc>
        <w:tc>
          <w:tcPr>
            <w:tcW w:type="dxa" w:w="2665"/>
            <w:vAlign w:val="center"/>
            <w:tcMar>
              <w:top w:w="80" w:type="dxa"/>
              <w:start w:w="90" w:type="dxa"/>
              <w:bottom w:w="65" w:type="dxa"/>
              <w:end w:w="90" w:type="dxa"/>
            </w:tcMar>
            <w:shd w:fill="E7EDF4"/>
          </w:tcPr>
          <w:p>
            <w:pPr>
              <w:spacing w:after="40" w:line="269" w:lineRule="auto"/>
            </w:pPr>
            <w:r/>
            <w:r>
              <w:rPr>
                <w:b/>
                <w:color w:val="243140"/>
                <w:sz w:val="15"/>
              </w:rPr>
              <w:t>Source WI identifier</w:t>
            </w:r>
          </w:p>
        </w:tc>
        <w:tc>
          <w:tcPr>
            <w:tcW w:type="dxa" w:w="3572"/>
            <w:vAlign w:val="center"/>
            <w:tcMar>
              <w:top w:w="80" w:type="dxa"/>
              <w:start w:w="90" w:type="dxa"/>
              <w:bottom w:w="65" w:type="dxa"/>
              <w:end w:w="90" w:type="dxa"/>
            </w:tcMar>
            <w:shd w:fill="E7EDF4"/>
          </w:tcPr>
          <w:p>
            <w:pPr>
              <w:spacing w:after="40" w:line="269" w:lineRule="auto"/>
            </w:pPr>
            <w:r/>
            <w:r>
              <w:rPr>
                <w:b/>
                <w:color w:val="243140"/>
                <w:sz w:val="15"/>
              </w:rPr>
              <w:t>Status for this assessment</w:t>
            </w:r>
          </w:p>
        </w:tc>
      </w:tr>
      <w:tr>
        <w:trPr>
          <w:cantSplit/>
        </w:trPr>
        <w:tc>
          <w:tcPr>
            <w:tcW w:type="dxa" w:w="2835"/>
            <w:vAlign w:val="center"/>
            <w:tcMar>
              <w:top w:w="80" w:type="dxa"/>
              <w:start w:w="90" w:type="dxa"/>
              <w:bottom w:w="65" w:type="dxa"/>
              <w:end w:w="90" w:type="dxa"/>
            </w:tcMar>
          </w:tcPr>
          <w:p>
            <w:pPr>
              <w:spacing w:after="40" w:line="269" w:lineRule="auto"/>
            </w:pPr>
            <w:r/>
            <w:r>
              <w:rPr>
                <w:b w:val="0"/>
                <w:color w:val="243140"/>
                <w:sz w:val="15"/>
              </w:rPr>
              <w:t>Incoming material inspection</w:t>
            </w:r>
          </w:p>
        </w:tc>
        <w:tc>
          <w:tcPr>
            <w:tcW w:type="dxa" w:w="2665"/>
            <w:vAlign w:val="center"/>
            <w:tcMar>
              <w:top w:w="80" w:type="dxa"/>
              <w:start w:w="90" w:type="dxa"/>
              <w:bottom w:w="65" w:type="dxa"/>
              <w:end w:w="90" w:type="dxa"/>
            </w:tcMar>
          </w:tcPr>
          <w:p>
            <w:pPr>
              <w:spacing w:after="40" w:line="269" w:lineRule="auto"/>
            </w:pPr>
            <w:r/>
            <w:r>
              <w:rPr>
                <w:b w:val="0"/>
                <w:color w:val="243140"/>
                <w:sz w:val="15"/>
              </w:rPr>
              <w:t>F-823-T1</w:t>
            </w:r>
          </w:p>
        </w:tc>
        <w:tc>
          <w:tcPr>
            <w:tcW w:type="dxa" w:w="3572"/>
            <w:vAlign w:val="center"/>
            <w:tcMar>
              <w:top w:w="80" w:type="dxa"/>
              <w:start w:w="90" w:type="dxa"/>
              <w:bottom w:w="65" w:type="dxa"/>
              <w:end w:w="90" w:type="dxa"/>
            </w:tcMar>
          </w:tcPr>
          <w:p>
            <w:pPr>
              <w:spacing w:after="40" w:line="269" w:lineRule="auto"/>
            </w:pPr>
            <w:r/>
            <w:r>
              <w:rPr>
                <w:b w:val="0"/>
                <w:color w:val="243140"/>
                <w:sz w:val="15"/>
              </w:rPr>
              <w:t>Not provided / not reviewed</w:t>
            </w:r>
          </w:p>
        </w:tc>
      </w:tr>
      <w:tr>
        <w:trPr>
          <w:cantSplit/>
        </w:trPr>
        <w:tc>
          <w:tcPr>
            <w:tcW w:type="dxa" w:w="2835"/>
            <w:vAlign w:val="center"/>
            <w:tcMar>
              <w:top w:w="80" w:type="dxa"/>
              <w:start w:w="90" w:type="dxa"/>
              <w:bottom w:w="65" w:type="dxa"/>
              <w:end w:w="90" w:type="dxa"/>
            </w:tcMar>
            <w:shd w:fill="F5F7FA"/>
          </w:tcPr>
          <w:p>
            <w:pPr>
              <w:spacing w:after="40" w:line="269" w:lineRule="auto"/>
            </w:pPr>
            <w:r/>
            <w:r>
              <w:rPr>
                <w:b w:val="0"/>
                <w:color w:val="243140"/>
                <w:sz w:val="15"/>
              </w:rPr>
              <w:t>Amnion Hook IN-PROCESS control</w:t>
            </w:r>
          </w:p>
        </w:tc>
        <w:tc>
          <w:tcPr>
            <w:tcW w:type="dxa" w:w="2665"/>
            <w:vAlign w:val="center"/>
            <w:tcMar>
              <w:top w:w="80" w:type="dxa"/>
              <w:start w:w="90" w:type="dxa"/>
              <w:bottom w:w="65" w:type="dxa"/>
              <w:end w:w="90" w:type="dxa"/>
            </w:tcMar>
            <w:shd w:fill="F5F7FA"/>
          </w:tcPr>
          <w:p>
            <w:pPr>
              <w:spacing w:after="40" w:line="269" w:lineRule="auto"/>
            </w:pPr>
            <w:r/>
            <w:r>
              <w:rPr>
                <w:b w:val="0"/>
                <w:color w:val="243140"/>
                <w:sz w:val="15"/>
              </w:rPr>
              <w:t>F-823-i5</w:t>
            </w:r>
          </w:p>
        </w:tc>
        <w:tc>
          <w:tcPr>
            <w:tcW w:type="dxa" w:w="3572"/>
            <w:vAlign w:val="center"/>
            <w:tcMar>
              <w:top w:w="80" w:type="dxa"/>
              <w:start w:w="90" w:type="dxa"/>
              <w:bottom w:w="65" w:type="dxa"/>
              <w:end w:w="90" w:type="dxa"/>
            </w:tcMar>
            <w:shd w:fill="F5F7FA"/>
          </w:tcPr>
          <w:p>
            <w:pPr>
              <w:spacing w:after="40" w:line="269" w:lineRule="auto"/>
            </w:pPr>
            <w:r/>
            <w:r>
              <w:rPr>
                <w:b w:val="0"/>
                <w:color w:val="243140"/>
                <w:sz w:val="15"/>
              </w:rPr>
              <w:t>Photo Rev.2 reviewed; replacement draft provided</w:t>
            </w:r>
          </w:p>
        </w:tc>
      </w:tr>
      <w:tr>
        <w:trPr>
          <w:cantSplit/>
        </w:trPr>
        <w:tc>
          <w:tcPr>
            <w:tcW w:type="dxa" w:w="2835"/>
            <w:vAlign w:val="center"/>
            <w:tcMar>
              <w:top w:w="80" w:type="dxa"/>
              <w:start w:w="90" w:type="dxa"/>
              <w:bottom w:w="65" w:type="dxa"/>
              <w:end w:w="90" w:type="dxa"/>
            </w:tcMar>
          </w:tcPr>
          <w:p>
            <w:pPr>
              <w:spacing w:after="40" w:line="269" w:lineRule="auto"/>
            </w:pPr>
            <w:r/>
            <w:r>
              <w:rPr>
                <w:b w:val="0"/>
                <w:color w:val="243140"/>
                <w:sz w:val="15"/>
              </w:rPr>
              <w:t>Packaging in-process control</w:t>
            </w:r>
          </w:p>
        </w:tc>
        <w:tc>
          <w:tcPr>
            <w:tcW w:type="dxa" w:w="2665"/>
            <w:vAlign w:val="center"/>
            <w:tcMar>
              <w:top w:w="80" w:type="dxa"/>
              <w:start w:w="90" w:type="dxa"/>
              <w:bottom w:w="65" w:type="dxa"/>
              <w:end w:w="90" w:type="dxa"/>
            </w:tcMar>
          </w:tcPr>
          <w:p>
            <w:pPr>
              <w:spacing w:after="40" w:line="269" w:lineRule="auto"/>
            </w:pPr>
            <w:r/>
            <w:r>
              <w:rPr>
                <w:b w:val="0"/>
                <w:color w:val="243140"/>
                <w:sz w:val="15"/>
              </w:rPr>
              <w:t>F-823-i4</w:t>
            </w:r>
          </w:p>
        </w:tc>
        <w:tc>
          <w:tcPr>
            <w:tcW w:type="dxa" w:w="3572"/>
            <w:vAlign w:val="center"/>
            <w:tcMar>
              <w:top w:w="80" w:type="dxa"/>
              <w:start w:w="90" w:type="dxa"/>
              <w:bottom w:w="65" w:type="dxa"/>
              <w:end w:w="90" w:type="dxa"/>
            </w:tcMar>
          </w:tcPr>
          <w:p>
            <w:pPr>
              <w:spacing w:after="40" w:line="269" w:lineRule="auto"/>
            </w:pPr>
            <w:r/>
            <w:r>
              <w:rPr>
                <w:b w:val="0"/>
                <w:color w:val="243140"/>
                <w:sz w:val="15"/>
              </w:rPr>
              <w:t>Not provided / not reviewed</w:t>
            </w:r>
          </w:p>
        </w:tc>
      </w:tr>
      <w:tr>
        <w:trPr>
          <w:cantSplit/>
        </w:trPr>
        <w:tc>
          <w:tcPr>
            <w:tcW w:type="dxa" w:w="2835"/>
            <w:vAlign w:val="center"/>
            <w:tcMar>
              <w:top w:w="80" w:type="dxa"/>
              <w:start w:w="90" w:type="dxa"/>
              <w:bottom w:w="65" w:type="dxa"/>
              <w:end w:w="90" w:type="dxa"/>
            </w:tcMar>
            <w:shd w:fill="F5F7FA"/>
          </w:tcPr>
          <w:p>
            <w:pPr>
              <w:spacing w:after="40" w:line="269" w:lineRule="auto"/>
            </w:pPr>
            <w:r/>
            <w:r>
              <w:rPr>
                <w:b w:val="0"/>
                <w:color w:val="243140"/>
                <w:sz w:val="15"/>
              </w:rPr>
              <w:t>Final inspection and release</w:t>
            </w:r>
          </w:p>
        </w:tc>
        <w:tc>
          <w:tcPr>
            <w:tcW w:type="dxa" w:w="2665"/>
            <w:vAlign w:val="center"/>
            <w:tcMar>
              <w:top w:w="80" w:type="dxa"/>
              <w:start w:w="90" w:type="dxa"/>
              <w:bottom w:w="65" w:type="dxa"/>
              <w:end w:w="90" w:type="dxa"/>
            </w:tcMar>
            <w:shd w:fill="F5F7FA"/>
          </w:tcPr>
          <w:p>
            <w:pPr>
              <w:spacing w:after="40" w:line="269" w:lineRule="auto"/>
            </w:pPr>
            <w:r/>
            <w:r>
              <w:rPr>
                <w:b w:val="0"/>
                <w:color w:val="243140"/>
                <w:sz w:val="15"/>
              </w:rPr>
              <w:t>F-823-F39</w:t>
            </w:r>
          </w:p>
        </w:tc>
        <w:tc>
          <w:tcPr>
            <w:tcW w:type="dxa" w:w="3572"/>
            <w:vAlign w:val="center"/>
            <w:tcMar>
              <w:top w:w="80" w:type="dxa"/>
              <w:start w:w="90" w:type="dxa"/>
              <w:bottom w:w="65" w:type="dxa"/>
              <w:end w:w="90" w:type="dxa"/>
            </w:tcMar>
            <w:shd w:fill="F5F7FA"/>
          </w:tcPr>
          <w:p>
            <w:pPr>
              <w:spacing w:after="40" w:line="269" w:lineRule="auto"/>
            </w:pPr>
            <w:r/>
            <w:r>
              <w:rPr>
                <w:b w:val="0"/>
                <w:color w:val="243140"/>
                <w:sz w:val="15"/>
              </w:rPr>
              <w:t>Not provided / not reviewed</w:t>
            </w:r>
          </w:p>
        </w:tc>
      </w:tr>
      <w:tr>
        <w:trPr>
          <w:cantSplit/>
        </w:trPr>
        <w:tc>
          <w:tcPr>
            <w:tcW w:type="dxa" w:w="2835"/>
            <w:vAlign w:val="center"/>
            <w:tcMar>
              <w:top w:w="80" w:type="dxa"/>
              <w:start w:w="90" w:type="dxa"/>
              <w:bottom w:w="65" w:type="dxa"/>
              <w:end w:w="90" w:type="dxa"/>
            </w:tcMar>
          </w:tcPr>
          <w:p>
            <w:pPr>
              <w:spacing w:after="40" w:line="269" w:lineRule="auto"/>
            </w:pPr>
            <w:r/>
            <w:r>
              <w:rPr>
                <w:b w:val="0"/>
                <w:color w:val="243140"/>
                <w:sz w:val="15"/>
              </w:rPr>
              <w:t>Product/raw-material specification</w:t>
            </w:r>
          </w:p>
        </w:tc>
        <w:tc>
          <w:tcPr>
            <w:tcW w:type="dxa" w:w="2665"/>
            <w:vAlign w:val="center"/>
            <w:tcMar>
              <w:top w:w="80" w:type="dxa"/>
              <w:start w:w="90" w:type="dxa"/>
              <w:bottom w:w="65" w:type="dxa"/>
              <w:end w:w="90" w:type="dxa"/>
            </w:tcMar>
          </w:tcPr>
          <w:p>
            <w:pPr>
              <w:spacing w:after="40" w:line="269" w:lineRule="auto"/>
            </w:pPr>
            <w:r/>
            <w:r>
              <w:rPr>
                <w:b w:val="0"/>
                <w:color w:val="243140"/>
                <w:sz w:val="15"/>
              </w:rPr>
              <w:t>TF-26-PS</w:t>
            </w:r>
          </w:p>
        </w:tc>
        <w:tc>
          <w:tcPr>
            <w:tcW w:type="dxa" w:w="3572"/>
            <w:vAlign w:val="center"/>
            <w:tcMar>
              <w:top w:w="80" w:type="dxa"/>
              <w:start w:w="90" w:type="dxa"/>
              <w:bottom w:w="65" w:type="dxa"/>
              <w:end w:w="90" w:type="dxa"/>
            </w:tcMar>
          </w:tcPr>
          <w:p>
            <w:pPr>
              <w:spacing w:after="40" w:line="269" w:lineRule="auto"/>
            </w:pPr>
            <w:r/>
            <w:r>
              <w:rPr>
                <w:b w:val="0"/>
                <w:color w:val="243140"/>
                <w:sz w:val="15"/>
              </w:rPr>
              <w:t>Referenced by WI; not provided</w:t>
            </w:r>
          </w:p>
        </w:tc>
      </w:tr>
      <w:tr>
        <w:trPr>
          <w:cantSplit/>
        </w:trPr>
        <w:tc>
          <w:tcPr>
            <w:tcW w:type="dxa" w:w="2835"/>
            <w:vAlign w:val="center"/>
            <w:tcMar>
              <w:top w:w="80" w:type="dxa"/>
              <w:start w:w="90" w:type="dxa"/>
              <w:bottom w:w="65" w:type="dxa"/>
              <w:end w:w="90" w:type="dxa"/>
            </w:tcMar>
            <w:shd w:fill="F5F7FA"/>
          </w:tcPr>
          <w:p>
            <w:pPr>
              <w:spacing w:after="40" w:line="269" w:lineRule="auto"/>
            </w:pPr>
            <w:r/>
            <w:r>
              <w:rPr>
                <w:b w:val="0"/>
                <w:color w:val="243140"/>
                <w:sz w:val="15"/>
              </w:rPr>
              <w:t>Sterilization instruction</w:t>
            </w:r>
          </w:p>
        </w:tc>
        <w:tc>
          <w:tcPr>
            <w:tcW w:type="dxa" w:w="2665"/>
            <w:vAlign w:val="center"/>
            <w:tcMar>
              <w:top w:w="80" w:type="dxa"/>
              <w:start w:w="90" w:type="dxa"/>
              <w:bottom w:w="65" w:type="dxa"/>
              <w:end w:w="90" w:type="dxa"/>
            </w:tcMar>
            <w:shd w:fill="F5F7FA"/>
          </w:tcPr>
          <w:p>
            <w:pPr>
              <w:spacing w:after="40" w:line="269" w:lineRule="auto"/>
            </w:pPr>
            <w:r/>
            <w:r>
              <w:rPr>
                <w:b w:val="0"/>
                <w:color w:val="243140"/>
                <w:sz w:val="15"/>
              </w:rPr>
              <w:t>WI-7-5-1-1</w:t>
            </w:r>
          </w:p>
        </w:tc>
        <w:tc>
          <w:tcPr>
            <w:tcW w:type="dxa" w:w="3572"/>
            <w:vAlign w:val="center"/>
            <w:tcMar>
              <w:top w:w="80" w:type="dxa"/>
              <w:start w:w="90" w:type="dxa"/>
              <w:bottom w:w="65" w:type="dxa"/>
              <w:end w:w="90" w:type="dxa"/>
            </w:tcMar>
            <w:shd w:fill="F5F7FA"/>
          </w:tcPr>
          <w:p>
            <w:pPr>
              <w:spacing w:after="40" w:line="269" w:lineRule="auto"/>
            </w:pPr>
            <w:r/>
            <w:r>
              <w:rPr>
                <w:b w:val="0"/>
                <w:color w:val="243140"/>
                <w:sz w:val="15"/>
              </w:rPr>
              <w:t>Referenced by WI; not provided</w:t>
            </w:r>
          </w:p>
        </w:tc>
      </w:tr>
    </w:tbl>
    <w:p>
      <w:r>
        <w:t>Additional form-header references (not verified): WI-8-2-2-26-1 and TF-26-PDBM. Verify their validity and governing scope before updating the controlled form.</w:t>
      </w:r>
    </w:p>
    <w:p>
      <w:r>
        <w:t>Additional records proposed for the controlled system: linked dimension measurement worksheet, applicable approved sampling plan, equipment-control record and nonconforming-product / containment record. The exact controlled document IDs and authorized revisions must be assigned by Document Control; do not presume new numbers or approval.</w:t>
      </w:r>
    </w:p>
    <w:p>
      <w:pPr>
        <w:pStyle w:val="Heading1"/>
      </w:pPr>
      <w:r>
        <w:t>11. References</w:t>
      </w:r>
    </w:p>
    <w:p>
      <w:r>
        <w:t>Current source WI §11 states “None”. Proposed source references for technical verification (not established as formally approved references by this report): TF-26-PS; current authorized sampling/control plan; applicable visual/defect and measurement criteria; WI-7-5-1-1; controlled NC/hold process; approved form master list. Do not publish this reference section until verified by Document Control.</w:t>
      </w:r>
    </w:p>
    <w:p>
      <w:pPr>
        <w:pStyle w:val="Heading1"/>
      </w:pPr>
      <w:r>
        <w:t>12. Modification / documentation change history</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cantSplit/>
        </w:trPr>
        <w:tc>
          <w:tcPr>
            <w:tcW w:type="dxa" w:w="1814"/>
            <w:vAlign w:val="center"/>
            <w:tcMar>
              <w:top w:w="80" w:type="dxa"/>
              <w:start w:w="90" w:type="dxa"/>
              <w:bottom w:w="65" w:type="dxa"/>
              <w:end w:w="90" w:type="dxa"/>
            </w:tcMar>
            <w:shd w:fill="E7EDF4"/>
          </w:tcPr>
          <w:p>
            <w:pPr>
              <w:spacing w:after="40" w:line="269" w:lineRule="auto"/>
            </w:pPr>
            <w:r/>
            <w:r>
              <w:rPr>
                <w:b/>
                <w:color w:val="243140"/>
                <w:sz w:val="17"/>
              </w:rPr>
              <w:t>Date</w:t>
            </w:r>
          </w:p>
        </w:tc>
        <w:tc>
          <w:tcPr>
            <w:tcW w:type="dxa" w:w="1701"/>
            <w:vAlign w:val="center"/>
            <w:tcMar>
              <w:top w:w="80" w:type="dxa"/>
              <w:start w:w="90" w:type="dxa"/>
              <w:bottom w:w="65" w:type="dxa"/>
              <w:end w:w="90" w:type="dxa"/>
            </w:tcMar>
            <w:shd w:fill="E7EDF4"/>
          </w:tcPr>
          <w:p>
            <w:pPr>
              <w:spacing w:after="40" w:line="269" w:lineRule="auto"/>
            </w:pPr>
            <w:r/>
            <w:r>
              <w:rPr>
                <w:b/>
                <w:color w:val="243140"/>
                <w:sz w:val="17"/>
              </w:rPr>
              <w:t>Revision</w:t>
            </w:r>
          </w:p>
        </w:tc>
        <w:tc>
          <w:tcPr>
            <w:tcW w:type="dxa" w:w="5556"/>
            <w:vAlign w:val="center"/>
            <w:tcMar>
              <w:top w:w="80" w:type="dxa"/>
              <w:start w:w="90" w:type="dxa"/>
              <w:bottom w:w="65" w:type="dxa"/>
              <w:end w:w="90" w:type="dxa"/>
            </w:tcMar>
            <w:shd w:fill="E7EDF4"/>
          </w:tcPr>
          <w:p>
            <w:pPr>
              <w:spacing w:after="40" w:line="269" w:lineRule="auto"/>
            </w:pPr>
            <w:r/>
            <w:r>
              <w:rPr>
                <w:b/>
                <w:color w:val="243140"/>
                <w:sz w:val="17"/>
              </w:rPr>
              <w:t>Change / status</w:t>
            </w:r>
          </w:p>
        </w:tc>
      </w:tr>
      <w:tr>
        <w:trPr>
          <w:cantSplit/>
        </w:trPr>
        <w:tc>
          <w:tcPr>
            <w:tcW w:type="dxa" w:w="1814"/>
            <w:vAlign w:val="center"/>
            <w:tcMar>
              <w:top w:w="80" w:type="dxa"/>
              <w:start w:w="90" w:type="dxa"/>
              <w:bottom w:w="65" w:type="dxa"/>
              <w:end w:w="90" w:type="dxa"/>
            </w:tcMar>
          </w:tcPr>
          <w:p>
            <w:pPr>
              <w:spacing w:after="40" w:line="269" w:lineRule="auto"/>
            </w:pPr>
            <w:r/>
            <w:r>
              <w:rPr>
                <w:b w:val="0"/>
                <w:color w:val="243140"/>
                <w:sz w:val="17"/>
              </w:rPr>
              <w:t>25 Feb 2017</w:t>
            </w:r>
          </w:p>
        </w:tc>
        <w:tc>
          <w:tcPr>
            <w:tcW w:type="dxa" w:w="1701"/>
            <w:vAlign w:val="center"/>
            <w:tcMar>
              <w:top w:w="80" w:type="dxa"/>
              <w:start w:w="90" w:type="dxa"/>
              <w:bottom w:w="65" w:type="dxa"/>
              <w:end w:w="90" w:type="dxa"/>
            </w:tcMar>
          </w:tcPr>
          <w:p>
            <w:pPr>
              <w:spacing w:after="40" w:line="269" w:lineRule="auto"/>
            </w:pPr>
            <w:r/>
            <w:r>
              <w:rPr>
                <w:b w:val="0"/>
                <w:color w:val="243140"/>
                <w:sz w:val="17"/>
              </w:rPr>
              <w:t>2</w:t>
            </w:r>
          </w:p>
        </w:tc>
        <w:tc>
          <w:tcPr>
            <w:tcW w:type="dxa" w:w="5556"/>
            <w:vAlign w:val="center"/>
            <w:tcMar>
              <w:top w:w="80" w:type="dxa"/>
              <w:start w:w="90" w:type="dxa"/>
              <w:bottom w:w="65" w:type="dxa"/>
              <w:end w:w="90" w:type="dxa"/>
            </w:tcMar>
          </w:tcPr>
          <w:p>
            <w:pPr>
              <w:spacing w:after="40" w:line="269" w:lineRule="auto"/>
            </w:pPr>
            <w:r/>
            <w:r>
              <w:rPr>
                <w:b w:val="0"/>
                <w:color w:val="243140"/>
                <w:sz w:val="17"/>
              </w:rPr>
              <w:t>Source WI records updates to 5.1, 5.4 and 7.0.</w:t>
            </w:r>
          </w:p>
        </w:tc>
      </w:tr>
      <w:tr>
        <w:trPr>
          <w:cantSplit/>
        </w:trPr>
        <w:tc>
          <w:tcPr>
            <w:tcW w:type="dxa" w:w="1814"/>
            <w:vAlign w:val="center"/>
            <w:tcMar>
              <w:top w:w="80" w:type="dxa"/>
              <w:start w:w="90" w:type="dxa"/>
              <w:bottom w:w="65" w:type="dxa"/>
              <w:end w:w="90" w:type="dxa"/>
            </w:tcMar>
            <w:shd w:fill="F5F7FA"/>
          </w:tcPr>
          <w:p>
            <w:pPr>
              <w:spacing w:after="40" w:line="269" w:lineRule="auto"/>
            </w:pPr>
            <w:r/>
            <w:r>
              <w:rPr>
                <w:b w:val="0"/>
                <w:color w:val="243140"/>
                <w:sz w:val="17"/>
              </w:rPr>
              <w:t>23 Nov 2018</w:t>
            </w:r>
          </w:p>
        </w:tc>
        <w:tc>
          <w:tcPr>
            <w:tcW w:type="dxa" w:w="1701"/>
            <w:vAlign w:val="center"/>
            <w:tcMar>
              <w:top w:w="80" w:type="dxa"/>
              <w:start w:w="90" w:type="dxa"/>
              <w:bottom w:w="65" w:type="dxa"/>
              <w:end w:w="90" w:type="dxa"/>
            </w:tcMar>
            <w:shd w:fill="F5F7FA"/>
          </w:tcPr>
          <w:p>
            <w:pPr>
              <w:spacing w:after="40" w:line="269" w:lineRule="auto"/>
            </w:pPr>
            <w:r/>
            <w:r>
              <w:rPr>
                <w:b w:val="0"/>
                <w:color w:val="243140"/>
                <w:sz w:val="17"/>
              </w:rPr>
              <w:t>3</w:t>
            </w:r>
          </w:p>
        </w:tc>
        <w:tc>
          <w:tcPr>
            <w:tcW w:type="dxa" w:w="5556"/>
            <w:vAlign w:val="center"/>
            <w:tcMar>
              <w:top w:w="80" w:type="dxa"/>
              <w:start w:w="90" w:type="dxa"/>
              <w:bottom w:w="65" w:type="dxa"/>
              <w:end w:w="90" w:type="dxa"/>
            </w:tcMar>
            <w:shd w:fill="F5F7FA"/>
          </w:tcPr>
          <w:p>
            <w:pPr>
              <w:spacing w:after="40" w:line="269" w:lineRule="auto"/>
            </w:pPr>
            <w:r/>
            <w:r>
              <w:rPr>
                <w:b w:val="0"/>
                <w:color w:val="243140"/>
                <w:sz w:val="17"/>
              </w:rPr>
              <w:t>Source WI records new §4.3 and §8.</w:t>
            </w:r>
          </w:p>
        </w:tc>
      </w:tr>
      <w:tr>
        <w:trPr>
          <w:cantSplit/>
        </w:trPr>
        <w:tc>
          <w:tcPr>
            <w:tcW w:type="dxa" w:w="1814"/>
            <w:vAlign w:val="center"/>
            <w:tcMar>
              <w:top w:w="80" w:type="dxa"/>
              <w:start w:w="90" w:type="dxa"/>
              <w:bottom w:w="65" w:type="dxa"/>
              <w:end w:w="90" w:type="dxa"/>
            </w:tcMar>
          </w:tcPr>
          <w:p>
            <w:pPr>
              <w:spacing w:after="40" w:line="269" w:lineRule="auto"/>
            </w:pPr>
            <w:r/>
            <w:r>
              <w:rPr>
                <w:b w:val="0"/>
                <w:color w:val="243140"/>
                <w:sz w:val="17"/>
              </w:rPr>
              <w:t>20 Apr 2022</w:t>
            </w:r>
          </w:p>
        </w:tc>
        <w:tc>
          <w:tcPr>
            <w:tcW w:type="dxa" w:w="1701"/>
            <w:vAlign w:val="center"/>
            <w:tcMar>
              <w:top w:w="80" w:type="dxa"/>
              <w:start w:w="90" w:type="dxa"/>
              <w:bottom w:w="65" w:type="dxa"/>
              <w:end w:w="90" w:type="dxa"/>
            </w:tcMar>
          </w:tcPr>
          <w:p>
            <w:pPr>
              <w:spacing w:after="40" w:line="269" w:lineRule="auto"/>
            </w:pPr>
            <w:r/>
            <w:r>
              <w:rPr>
                <w:b w:val="0"/>
                <w:color w:val="243140"/>
                <w:sz w:val="17"/>
              </w:rPr>
              <w:t>4</w:t>
            </w:r>
          </w:p>
        </w:tc>
        <w:tc>
          <w:tcPr>
            <w:tcW w:type="dxa" w:w="5556"/>
            <w:vAlign w:val="center"/>
            <w:tcMar>
              <w:top w:w="80" w:type="dxa"/>
              <w:start w:w="90" w:type="dxa"/>
              <w:bottom w:w="65" w:type="dxa"/>
              <w:end w:w="90" w:type="dxa"/>
            </w:tcMar>
          </w:tcPr>
          <w:p>
            <w:pPr>
              <w:spacing w:after="40" w:line="269" w:lineRule="auto"/>
            </w:pPr>
            <w:r/>
            <w:r>
              <w:rPr>
                <w:b w:val="0"/>
                <w:color w:val="243140"/>
                <w:sz w:val="17"/>
              </w:rPr>
              <w:t>Source WI records product dimension change.</w:t>
            </w:r>
          </w:p>
        </w:tc>
      </w:tr>
      <w:tr>
        <w:trPr>
          <w:cantSplit/>
        </w:trPr>
        <w:tc>
          <w:tcPr>
            <w:tcW w:type="dxa" w:w="1814"/>
            <w:vAlign w:val="center"/>
            <w:tcMar>
              <w:top w:w="80" w:type="dxa"/>
              <w:start w:w="90" w:type="dxa"/>
              <w:bottom w:w="65" w:type="dxa"/>
              <w:end w:w="90" w:type="dxa"/>
            </w:tcMar>
            <w:shd w:fill="F5F7FA"/>
          </w:tcPr>
          <w:p>
            <w:pPr>
              <w:spacing w:after="40" w:line="269" w:lineRule="auto"/>
            </w:pPr>
            <w:r/>
            <w:r>
              <w:rPr>
                <w:b w:val="0"/>
                <w:color w:val="243140"/>
                <w:sz w:val="17"/>
              </w:rPr>
              <w:t>01 Sep 2023</w:t>
            </w:r>
          </w:p>
        </w:tc>
        <w:tc>
          <w:tcPr>
            <w:tcW w:type="dxa" w:w="1701"/>
            <w:vAlign w:val="center"/>
            <w:tcMar>
              <w:top w:w="80" w:type="dxa"/>
              <w:start w:w="90" w:type="dxa"/>
              <w:bottom w:w="65" w:type="dxa"/>
              <w:end w:w="90" w:type="dxa"/>
            </w:tcMar>
            <w:shd w:fill="F5F7FA"/>
          </w:tcPr>
          <w:p>
            <w:pPr>
              <w:spacing w:after="40" w:line="269" w:lineRule="auto"/>
            </w:pPr>
            <w:r/>
            <w:r>
              <w:rPr>
                <w:b w:val="0"/>
                <w:color w:val="243140"/>
                <w:sz w:val="17"/>
              </w:rPr>
              <w:t>5</w:t>
            </w:r>
          </w:p>
        </w:tc>
        <w:tc>
          <w:tcPr>
            <w:tcW w:type="dxa" w:w="5556"/>
            <w:vAlign w:val="center"/>
            <w:tcMar>
              <w:top w:w="80" w:type="dxa"/>
              <w:start w:w="90" w:type="dxa"/>
              <w:bottom w:w="65" w:type="dxa"/>
              <w:end w:w="90" w:type="dxa"/>
            </w:tcMar>
            <w:shd w:fill="F5F7FA"/>
          </w:tcPr>
          <w:p>
            <w:pPr>
              <w:spacing w:after="40" w:line="269" w:lineRule="auto"/>
            </w:pPr>
            <w:r/>
            <w:r>
              <w:rPr>
                <w:b w:val="0"/>
                <w:color w:val="243140"/>
                <w:sz w:val="17"/>
              </w:rPr>
              <w:t>Source WI records additions/updates to §§5, 6, 7, 9, 10.</w:t>
            </w:r>
          </w:p>
        </w:tc>
      </w:tr>
      <w:tr>
        <w:trPr>
          <w:cantSplit/>
        </w:trPr>
        <w:tc>
          <w:tcPr>
            <w:tcW w:type="dxa" w:w="1814"/>
            <w:vAlign w:val="center"/>
            <w:tcMar>
              <w:top w:w="80" w:type="dxa"/>
              <w:start w:w="90" w:type="dxa"/>
              <w:bottom w:w="65" w:type="dxa"/>
              <w:end w:w="90" w:type="dxa"/>
            </w:tcMar>
          </w:tcPr>
          <w:p>
            <w:pPr>
              <w:spacing w:after="40" w:line="269" w:lineRule="auto"/>
            </w:pPr>
            <w:r/>
            <w:r>
              <w:rPr>
                <w:b w:val="0"/>
                <w:color w:val="243140"/>
                <w:sz w:val="17"/>
              </w:rPr>
              <w:t>Pending approval</w:t>
            </w:r>
          </w:p>
        </w:tc>
        <w:tc>
          <w:tcPr>
            <w:tcW w:type="dxa" w:w="1701"/>
            <w:vAlign w:val="center"/>
            <w:tcMar>
              <w:top w:w="80" w:type="dxa"/>
              <w:start w:w="90" w:type="dxa"/>
              <w:bottom w:w="65" w:type="dxa"/>
              <w:end w:w="90" w:type="dxa"/>
            </w:tcMar>
          </w:tcPr>
          <w:p>
            <w:pPr>
              <w:spacing w:after="40" w:line="269" w:lineRule="auto"/>
            </w:pPr>
            <w:r/>
            <w:r>
              <w:rPr>
                <w:b w:val="0"/>
                <w:color w:val="243140"/>
                <w:sz w:val="17"/>
              </w:rPr>
              <w:t>Proposed / TBD</w:t>
            </w:r>
          </w:p>
        </w:tc>
        <w:tc>
          <w:tcPr>
            <w:tcW w:type="dxa" w:w="5556"/>
            <w:vAlign w:val="center"/>
            <w:tcMar>
              <w:top w:w="80" w:type="dxa"/>
              <w:start w:w="90" w:type="dxa"/>
              <w:bottom w:w="65" w:type="dxa"/>
              <w:end w:w="90" w:type="dxa"/>
            </w:tcMar>
          </w:tcPr>
          <w:p>
            <w:pPr>
              <w:spacing w:after="40" w:line="269" w:lineRule="auto"/>
            </w:pPr>
            <w:r/>
            <w:r>
              <w:rPr>
                <w:b w:val="0"/>
                <w:color w:val="243140"/>
                <w:sz w:val="17"/>
              </w:rPr>
              <w:t>This draft proposes §§5.3–5.5 and controlled-reference amendments; linked GAP-001–009. No formal revision assigned.</w:t>
            </w:r>
          </w:p>
        </w:tc>
      </w:tr>
    </w:tbl>
    <w:p>
      <w:pPr>
        <w:pStyle w:val="Heading1"/>
      </w:pPr>
      <w:r>
        <w:t>13. Proposed review / approval routing</w:t>
      </w:r>
    </w:p>
    <w:p>
      <w:r>
        <w:t>Prepared for technical review: QC / Engineering / Production / QA / Document Control. Review and approvals: _______________________________. Effective date / controlled issue number: _______________________________. Status: DRAFT — not effective for production use.</w:t>
      </w:r>
    </w:p>
    <w:sectPr w:rsidR="00FC693F" w:rsidRPr="0006063C" w:rsidSect="00034616">
      <w:headerReference w:type="default" r:id="rId9"/>
      <w:footerReference w:type="default" r:id="rId10"/>
      <w:pgSz w:w="11906" w:h="16838"/>
      <w:pgMar w:top="1191" w:right="1134" w:bottom="1020" w:left="1134" w:header="425"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271"/>
        <w:sz w:val="16"/>
      </w:rPr>
      <w:t xml:space="preserve">DRAFT FOR QC MANAGER TECHNICAL REVIEW  |  Sterile Amnion Hook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rPr>
        <w:color w:val="556271"/>
        <w:sz w:val="16"/>
      </w:rPr>
      <w:t>SAUDI MAIS CO. | QC DOCUMENT REVIEW  •  CONTROLLED DRAFT — NOT APPROVED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6323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ptos Display" w:hAnsi="Aptos Display"/>
      <w:b/>
      <w:bCs/>
      <w:color w:val="1B2F4E"/>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1B2F4E"/>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B2F4E"/>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before="200"/>
      <w:contextualSpacing/>
    </w:pPr>
    <w:rPr>
      <w:rFonts w:asciiTheme="majorHAnsi" w:eastAsiaTheme="majorEastAsia" w:hAnsiTheme="majorHAnsi" w:cstheme="majorBidi" w:ascii="Aptos Display" w:hAnsi="Aptos Display"/>
      <w:b/>
      <w:color w:val="1B2F4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