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CONTROL SYSTEMS  /  EVIDENCE-BASED TECHNICAL REVIEW</w:t>
      </w:r>
    </w:p>
    <w:p>
      <w:pPr>
        <w:pStyle w:val="Title"/>
      </w:pPr>
      <w:r>
        <w:t>CVC Set / Complete Kit — ISO Closure Register</w:t>
      </w:r>
    </w:p>
    <w:p>
      <w:pPr>
        <w:pStyle w:val="Subtitle"/>
      </w:pPr>
      <w:r>
        <w:t>CVC Set / Complete Kit</w:t>
      </w:r>
    </w:p>
    <w:tbl>
      <w:tblPr>
        <w:tblStyle w:val="LightShading-Accent1"/>
        <w:tblW w:type="auto" w:w="0"/>
        <w:tblLook w:firstColumn="1" w:firstRow="1" w:lastColumn="0" w:lastRow="0" w:noHBand="0" w:noVBand="1" w:val="04A0"/>
      </w:tblPr>
      <w:tblGrid>
        <w:gridCol w:w="7524"/>
        <w:gridCol w:w="7524"/>
      </w:tblGrid>
      <w:tr>
        <w:tc>
          <w:tcPr>
            <w:tcW w:type="dxa" w:w="7524"/>
          </w:tcPr>
          <w:p>
            <w:r>
              <w:t>Issue status</w:t>
            </w:r>
          </w:p>
        </w:tc>
        <w:tc>
          <w:tcPr>
            <w:tcW w:type="dxa" w:w="7524"/>
          </w:tcPr>
          <w:p>
            <w:r>
              <w:t>PROPOSED CONTROLLED DRAFT — NOT APPROVED</w:t>
            </w:r>
          </w:p>
        </w:tc>
      </w:tr>
      <w:tr>
        <w:tc>
          <w:tcPr>
            <w:tcW w:type="dxa" w:w="7524"/>
          </w:tcPr>
          <w:p>
            <w:r>
              <w:t>Date prepared</w:t>
            </w:r>
          </w:p>
        </w:tc>
        <w:tc>
          <w:tcPr>
            <w:tcW w:type="dxa" w:w="7524"/>
          </w:tcPr>
          <w:p>
            <w:r>
              <w:t>22 Oct 2026</w:t>
            </w:r>
          </w:p>
        </w:tc>
      </w:tr>
      <w:tr>
        <w:tc>
          <w:tcPr>
            <w:tcW w:type="dxa" w:w="7524"/>
          </w:tcPr>
          <w:p>
            <w:r>
              <w:t>Document type</w:t>
            </w:r>
          </w:p>
        </w:tc>
        <w:tc>
          <w:tcPr>
            <w:tcW w:type="dxa" w:w="7524"/>
          </w:tcPr>
          <w:p>
            <w:r>
              <w:t>Requirements / documentary / operational closure</w:t>
            </w:r>
          </w:p>
        </w:tc>
      </w:tr>
      <w:tr>
        <w:tc>
          <w:tcPr>
            <w:tcW w:type="dxa" w:w="7524"/>
          </w:tcPr>
          <w:p>
            <w:r>
              <w:t>Controlled source</w:t>
            </w:r>
          </w:p>
        </w:tc>
        <w:tc>
          <w:tcPr>
            <w:tcW w:type="dxa" w:w="7524"/>
          </w:tcPr>
          <w:p>
            <w:r>
              <w:t>WI-DD-02 Rev.3</w:t>
            </w:r>
          </w:p>
        </w:tc>
      </w:tr>
      <w:tr>
        <w:tc>
          <w:tcPr>
            <w:tcW w:type="dxa" w:w="7524"/>
          </w:tcPr>
          <w:p>
            <w:r>
              <w:t>Assessment basis</w:t>
            </w:r>
          </w:p>
        </w:tc>
        <w:tc>
          <w:tcPr>
            <w:tcW w:type="dxa" w:w="7524"/>
          </w:tcPr>
          <w:p>
            <w:r>
              <w:t>Requirement-level traceability for supplied source editions</w:t>
            </w:r>
          </w:p>
        </w:tc>
      </w:tr>
      <w:tr>
        <w:tc>
          <w:tcPr>
            <w:tcW w:type="dxa" w:w="7524"/>
          </w:tcPr>
          <w:p>
            <w:r>
              <w:t>Use restriction</w:t>
            </w:r>
          </w:p>
        </w:tc>
        <w:tc>
          <w:tcPr>
            <w:tcW w:type="dxa" w:w="7524"/>
          </w:tcPr>
          <w:p>
            <w:r>
              <w:t>For QC/QA review only. No product acceptance or release permitted on draft alone.</w:t>
            </w:r>
          </w:p>
        </w:tc>
      </w:tr>
    </w:tbl>
    <w:p>
      <w:r>
        <w:t>Evidence rule: “Required” is not “available”. No gap is verified closed without approved documentation and objective records.</w:t>
      </w:r>
    </w:p>
    <w:p>
      <w:r>
        <w:br w:type="page"/>
      </w:r>
    </w:p>
    <w:p>
      <w:pPr>
        <w:pStyle w:val="Heading1"/>
      </w:pPr>
      <w:r>
        <w:t>Closure state definitions</w:t>
      </w:r>
    </w:p>
    <w:p>
      <w:r>
        <w:t>DOCUMENTARY COVERED is not verified conformance. No approved technical revision, valid test data, signed lot record or other objective evidence was provided for the proposed controls. Every status here is OPEN, pending technical review and evidence.</w:t>
      </w:r>
    </w:p>
    <w:tbl>
      <w:tblPr>
        <w:tblStyle w:val="TableGrid"/>
        <w:tblW w:type="auto" w:w="0"/>
        <w:jc w:val="center"/>
        <w:tblLayout w:type="fixed"/>
        <w:tblLook w:firstColumn="1" w:firstRow="1" w:lastColumn="0" w:lastRow="0" w:noHBand="0" w:noVBand="1" w:val="04A0"/>
      </w:tblPr>
      <w:tblGrid>
        <w:gridCol w:w="2508"/>
        <w:gridCol w:w="2508"/>
        <w:gridCol w:w="2508"/>
        <w:gridCol w:w="2508"/>
        <w:gridCol w:w="2508"/>
        <w:gridCol w:w="2508"/>
      </w:tblGrid>
      <w:tr>
        <w:trPr>
          <w:tblHeader w:val="true"/>
        </w:trPr>
        <w:tc>
          <w:tcPr>
            <w:tcW w:type="dxa" w:w="2508"/>
            <w:shd w:fill="12304C"/>
          </w:tcPr>
          <w:p>
            <w:pPr>
              <w:spacing w:after="40"/>
            </w:pPr>
            <w:r>
              <w:rPr>
                <w:color w:val="FFFFFF"/>
              </w:rPr>
            </w:r>
            <w:r>
              <w:rPr>
                <w:rFonts w:ascii="Aptos" w:hAnsi="Aptos"/>
                <w:b/>
                <w:color w:val="FFFFFF"/>
                <w:sz w:val="15"/>
              </w:rPr>
              <w:t>Gap / Requirement</w:t>
            </w:r>
          </w:p>
        </w:tc>
        <w:tc>
          <w:tcPr>
            <w:tcW w:type="dxa" w:w="2508"/>
            <w:shd w:fill="12304C"/>
          </w:tcPr>
          <w:p>
            <w:pPr>
              <w:spacing w:after="40"/>
            </w:pPr>
            <w:r>
              <w:rPr>
                <w:color w:val="FFFFFF"/>
              </w:rPr>
            </w:r>
            <w:r>
              <w:rPr>
                <w:rFonts w:ascii="Aptos" w:hAnsi="Aptos"/>
                <w:b/>
                <w:color w:val="FFFFFF"/>
                <w:sz w:val="15"/>
              </w:rPr>
              <w:t>ISO Source &amp; requirement summary</w:t>
            </w:r>
          </w:p>
        </w:tc>
        <w:tc>
          <w:tcPr>
            <w:tcW w:type="dxa" w:w="2508"/>
            <w:shd w:fill="12304C"/>
          </w:tcPr>
          <w:p>
            <w:pPr>
              <w:spacing w:after="40"/>
            </w:pPr>
            <w:r>
              <w:rPr>
                <w:color w:val="FFFFFF"/>
              </w:rPr>
            </w:r>
            <w:r>
              <w:rPr>
                <w:rFonts w:ascii="Aptos" w:hAnsi="Aptos"/>
                <w:b/>
                <w:color w:val="FFFFFF"/>
                <w:sz w:val="15"/>
              </w:rPr>
              <w:t>Draft WI / form mapping</w:t>
            </w:r>
          </w:p>
        </w:tc>
        <w:tc>
          <w:tcPr>
            <w:tcW w:type="dxa" w:w="2508"/>
            <w:shd w:fill="12304C"/>
          </w:tcPr>
          <w:p>
            <w:pPr>
              <w:spacing w:after="40"/>
            </w:pPr>
            <w:r>
              <w:rPr>
                <w:color w:val="FFFFFF"/>
              </w:rPr>
            </w:r>
            <w:r>
              <w:rPr>
                <w:rFonts w:ascii="Aptos" w:hAnsi="Aptos"/>
                <w:b/>
                <w:color w:val="FFFFFF"/>
                <w:sz w:val="15"/>
              </w:rPr>
              <w:t>Required actual evidence</w:t>
            </w:r>
          </w:p>
        </w:tc>
        <w:tc>
          <w:tcPr>
            <w:tcW w:type="dxa" w:w="2508"/>
            <w:shd w:fill="12304C"/>
          </w:tcPr>
          <w:p>
            <w:pPr>
              <w:spacing w:after="40"/>
            </w:pPr>
            <w:r>
              <w:rPr>
                <w:color w:val="FFFFFF"/>
              </w:rPr>
            </w:r>
            <w:r>
              <w:rPr>
                <w:rFonts w:ascii="Aptos" w:hAnsi="Aptos"/>
                <w:b/>
                <w:color w:val="FFFFFF"/>
                <w:sz w:val="15"/>
              </w:rPr>
              <w:t>Doc status</w:t>
            </w:r>
          </w:p>
        </w:tc>
        <w:tc>
          <w:tcPr>
            <w:tcW w:type="dxa" w:w="2508"/>
            <w:shd w:fill="12304C"/>
          </w:tcPr>
          <w:p>
            <w:pPr>
              <w:spacing w:after="40"/>
            </w:pPr>
            <w:r>
              <w:rPr>
                <w:color w:val="FFFFFF"/>
              </w:rPr>
            </w:r>
            <w:r>
              <w:rPr>
                <w:rFonts w:ascii="Aptos" w:hAnsi="Aptos"/>
                <w:b/>
                <w:color w:val="FFFFFF"/>
                <w:sz w:val="15"/>
              </w:rPr>
              <w:t>Operational closure</w:t>
            </w:r>
          </w:p>
        </w:tc>
      </w:tr>
      <w:tr>
        <w:tc>
          <w:tcPr>
            <w:tcW w:type="dxa" w:w="2508"/>
            <w:vAlign w:val="top"/>
          </w:tcPr>
          <w:p>
            <w:pPr>
              <w:spacing w:after="40"/>
            </w:pPr>
            <w:r/>
            <w:r>
              <w:rPr>
                <w:rFonts w:ascii="Aptos" w:hAnsi="Aptos"/>
                <w:b w:val="0"/>
                <w:sz w:val="15"/>
              </w:rPr>
              <w:t>CVC-G01 / Catheter-shaft tensile acceptance separated from soft-tip requirements</w:t>
            </w:r>
          </w:p>
        </w:tc>
        <w:tc>
          <w:tcPr>
            <w:tcW w:type="dxa" w:w="2508"/>
            <w:vAlign w:val="top"/>
          </w:tcPr>
          <w:p>
            <w:pPr>
              <w:spacing w:after="40"/>
            </w:pPr>
            <w:r/>
            <w:r>
              <w:rPr>
                <w:rFonts w:ascii="Aptos" w:hAnsi="Aptos"/>
                <w:b w:val="0"/>
                <w:sz w:val="15"/>
              </w:rPr>
              <w:t>ISO 10555-1:2013+A1:2017, 4.6, Table 1, ISO p.5, PDF p.15; ISO 10555-3:2013, 4.4, Table 1, ISO p.2, PDF p.10 — ISO 10555-1 requires catheter test-piece peak tensile minimums of 3 N (0.55–&lt;0.75 mm), 5 N (0.75–&lt;1.15 mm), 10 N (1.15–&lt;1.85 mm) and 15 N (&gt;=1.85 mm); soft-tip junctions of specified geometry are assessed separately under ISO 10555-3.</w:t>
            </w:r>
          </w:p>
        </w:tc>
        <w:tc>
          <w:tcPr>
            <w:tcW w:type="dxa" w:w="2508"/>
            <w:vAlign w:val="top"/>
          </w:tcPr>
          <w:p>
            <w:pPr>
              <w:spacing w:after="40"/>
            </w:pPr>
            <w:r/>
            <w:r>
              <w:rPr>
                <w:rFonts w:ascii="Aptos" w:hAnsi="Aptos"/>
                <w:b w:val="0"/>
                <w:sz w:val="15"/>
              </w:rPr>
              <w:t>Proposed §5.3.3 and §8.5: Identify each test-piece location, smallest relevant outside diameter and connection type before tensile verification. For catheter shaft and junctions within ISO 10555-1 scope, apply ISO 10555-</w:t>
              <w:br/>
              <w:t>Linked original forms: i13, i13-2</w:t>
            </w:r>
          </w:p>
        </w:tc>
        <w:tc>
          <w:tcPr>
            <w:tcW w:type="dxa" w:w="2508"/>
            <w:vAlign w:val="top"/>
          </w:tcPr>
          <w:p>
            <w:pPr>
              <w:spacing w:after="40"/>
            </w:pPr>
            <w:r/>
            <w:r>
              <w:rPr>
                <w:rFonts w:ascii="Aptos" w:hAnsi="Aptos"/>
                <w:b w:val="0"/>
                <w:sz w:val="15"/>
              </w:rPr>
              <w:t>Approved tensile matrix by component and size; Annex B or relevant soft-tip method report; instrument calibration; qualified test records and lot/design linkage. Existing 20 N criterion requires controlled authorization and rationale. Status: OPEN — TECHNICAL INPUT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CVC-G02 / Flow-rate recording and lumen-specific criterion</w:t>
            </w:r>
          </w:p>
        </w:tc>
        <w:tc>
          <w:tcPr>
            <w:tcW w:type="dxa" w:w="2508"/>
            <w:vAlign w:val="top"/>
            <w:shd w:fill="F2F5F8"/>
          </w:tcPr>
          <w:p>
            <w:pPr>
              <w:spacing w:after="40"/>
            </w:pPr>
            <w:r/>
            <w:r>
              <w:rPr>
                <w:rFonts w:ascii="Aptos" w:hAnsi="Aptos"/>
                <w:b w:val="0"/>
                <w:sz w:val="15"/>
              </w:rPr>
              <w:t>ISO 10555-1:2013+A1:2017, 4.9 and Annex E, ISO p.5, PDF p.15 — For devices with declared flow rate, measured flow for each lumen shall be at least 80% of manufacturer-stated flow when nominal OD &lt;1.0 mm, or 90% when nominal OD &gt;=1.0 mm (Annex E method).</w:t>
            </w:r>
          </w:p>
        </w:tc>
        <w:tc>
          <w:tcPr>
            <w:tcW w:type="dxa" w:w="2508"/>
            <w:vAlign w:val="top"/>
            <w:shd w:fill="F2F5F8"/>
          </w:tcPr>
          <w:p>
            <w:pPr>
              <w:spacing w:after="40"/>
            </w:pPr>
            <w:r/>
            <w:r>
              <w:rPr>
                <w:rFonts w:ascii="Aptos" w:hAnsi="Aptos"/>
                <w:b w:val="0"/>
                <w:sz w:val="15"/>
              </w:rPr>
              <w:t>Proposed §8.7: For every lumen with declared flow rate, identify nominal OD, claimed flow rate (ml/min), source specification and Annex E procedure. Derive the acceptance minimum by the correct &lt;1.0 mm / &gt;=1.0 mm categor</w:t>
              <w:br/>
              <w:t>Linked original forms: i13, i13-2</w:t>
            </w:r>
          </w:p>
        </w:tc>
        <w:tc>
          <w:tcPr>
            <w:tcW w:type="dxa" w:w="2508"/>
            <w:vAlign w:val="top"/>
            <w:shd w:fill="F2F5F8"/>
          </w:tcPr>
          <w:p>
            <w:pPr>
              <w:spacing w:after="40"/>
            </w:pPr>
            <w:r/>
            <w:r>
              <w:rPr>
                <w:rFonts w:ascii="Aptos" w:hAnsi="Aptos"/>
                <w:b w:val="0"/>
                <w:sz w:val="15"/>
              </w:rPr>
              <w:t>Approved DD-02-PS flow claims and Annex E test reports by lumen; validated frequency decision. Status: OPEN — TECHNICAL INPUT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CVC-G03 / Objective magnification for patient-contacting surface examination</w:t>
            </w:r>
          </w:p>
        </w:tc>
        <w:tc>
          <w:tcPr>
            <w:tcW w:type="dxa" w:w="2508"/>
            <w:vAlign w:val="top"/>
          </w:tcPr>
          <w:p>
            <w:pPr>
              <w:spacing w:after="40"/>
            </w:pPr>
            <w:r/>
            <w:r>
              <w:rPr>
                <w:rFonts w:ascii="Aptos" w:hAnsi="Aptos"/>
                <w:b w:val="0"/>
                <w:sz w:val="15"/>
              </w:rPr>
              <w:t>ISO 10555-1:2013+A1:2017, 4.4, ISO p.4, PDF p.14; ISO 11070:2014, 4.3, ISO p.5, PDF p.11 — Catheter external effective surface and applicable intravascular accessory surfaces are examined at minimum 2.5x magnification and must be free of extraneous matter and defects potentially traumatic to vessels.</w:t>
            </w:r>
          </w:p>
        </w:tc>
        <w:tc>
          <w:tcPr>
            <w:tcW w:type="dxa" w:w="2508"/>
            <w:vAlign w:val="top"/>
          </w:tcPr>
          <w:p>
            <w:pPr>
              <w:spacing w:after="40"/>
            </w:pPr>
            <w:r/>
            <w:r>
              <w:rPr>
                <w:rFonts w:ascii="Aptos" w:hAnsi="Aptos"/>
                <w:b w:val="0"/>
                <w:sz w:val="15"/>
              </w:rPr>
              <w:t>Proposed §§5.3/8.2: Inspect applicable sterile patient-contacting surface at at least 2.5x with approved magnifier under controlled lighting; verify absence of visible extraneous matter, sharp edges and process damage. R</w:t>
              <w:br/>
              <w:t>Linked original forms: i13, i13-2, i15</w:t>
            </w:r>
          </w:p>
        </w:tc>
        <w:tc>
          <w:tcPr>
            <w:tcW w:type="dxa" w:w="2508"/>
            <w:vAlign w:val="top"/>
          </w:tcPr>
          <w:p>
            <w:pPr>
              <w:spacing w:after="40"/>
            </w:pPr>
            <w:r/>
            <w:r>
              <w:rPr>
                <w:rFonts w:ascii="Aptos" w:hAnsi="Aptos"/>
                <w:b w:val="0"/>
                <w:sz w:val="15"/>
              </w:rPr>
              <w:t>Approved visual standard, magnifier/instrument suitability, training and completed in-process records.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CVC-G04 / Radio-detectability traceability and risk applicability</w:t>
            </w:r>
          </w:p>
        </w:tc>
        <w:tc>
          <w:tcPr>
            <w:tcW w:type="dxa" w:w="2508"/>
            <w:vAlign w:val="top"/>
            <w:shd w:fill="F2F5F8"/>
          </w:tcPr>
          <w:p>
            <w:pPr>
              <w:spacing w:after="40"/>
            </w:pPr>
            <w:r/>
            <w:r>
              <w:rPr>
                <w:rFonts w:ascii="Aptos" w:hAnsi="Aptos"/>
                <w:b w:val="0"/>
                <w:sz w:val="15"/>
              </w:rPr>
              <w:t>ISO 10555-1:2013+A1:2017, 4.2, ISO p.4, PDF p.14 — Catheter parts must be radio-detectable when the manufacturer risk assessment determines it necessary; appropriate verification is recommended.</w:t>
            </w:r>
          </w:p>
        </w:tc>
        <w:tc>
          <w:tcPr>
            <w:tcW w:type="dxa" w:w="2508"/>
            <w:vAlign w:val="top"/>
            <w:shd w:fill="F2F5F8"/>
          </w:tcPr>
          <w:p>
            <w:pPr>
              <w:spacing w:after="40"/>
            </w:pPr>
            <w:r/>
            <w:r>
              <w:rPr>
                <w:rFonts w:ascii="Aptos" w:hAnsi="Aptos"/>
                <w:b w:val="0"/>
                <w:sz w:val="15"/>
              </w:rPr>
              <w:t>Proposed §8.8: Document the approved risk assessment deciding which catheter parts require radio-detectability. When required, verify using the approved test method and retain evidence linked to each design revision/mate</w:t>
              <w:br/>
              <w:t>Linked original forms: i13, i15</w:t>
            </w:r>
          </w:p>
        </w:tc>
        <w:tc>
          <w:tcPr>
            <w:tcW w:type="dxa" w:w="2508"/>
            <w:vAlign w:val="top"/>
            <w:shd w:fill="F2F5F8"/>
          </w:tcPr>
          <w:p>
            <w:pPr>
              <w:spacing w:after="40"/>
            </w:pPr>
            <w:r/>
            <w:r>
              <w:rPr>
                <w:rFonts w:ascii="Aptos" w:hAnsi="Aptos"/>
                <w:b w:val="0"/>
                <w:sz w:val="15"/>
              </w:rPr>
              <w:t>Risk assessment, qualified radio-detectability test, materials traceability and change-control review.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CVC-G05 / Liquid-pressure and aspiration-air leakage verification</w:t>
            </w:r>
          </w:p>
        </w:tc>
        <w:tc>
          <w:tcPr>
            <w:tcW w:type="dxa" w:w="2508"/>
            <w:vAlign w:val="top"/>
          </w:tcPr>
          <w:p>
            <w:pPr>
              <w:spacing w:after="40"/>
            </w:pPr>
            <w:r/>
            <w:r>
              <w:rPr>
                <w:rFonts w:ascii="Aptos" w:hAnsi="Aptos"/>
                <w:b w:val="0"/>
                <w:sz w:val="15"/>
              </w:rPr>
              <w:t>ISO 10555-1:2013+A1:2017, 4.7.1, 4.7.2 and Annexes C/D, ISO p.5, PDF p.15 — Catheter hub/connection assemblies must not leak liquid under Annex C test; air must not enter the hub during aspiration under Annex D test.</w:t>
            </w:r>
          </w:p>
        </w:tc>
        <w:tc>
          <w:tcPr>
            <w:tcW w:type="dxa" w:w="2508"/>
            <w:vAlign w:val="top"/>
          </w:tcPr>
          <w:p>
            <w:pPr>
              <w:spacing w:after="40"/>
            </w:pPr>
            <w:r/>
            <w:r>
              <w:rPr>
                <w:rFonts w:ascii="Aptos" w:hAnsi="Aptos"/>
                <w:b w:val="0"/>
                <w:sz w:val="15"/>
              </w:rPr>
              <w:t>Proposed §8.6: Verify catheter leakage and hub aspiration-air integrity by approved work instructions traceable to ISO 10555-1 Annexes C and D. Define specimen preparation, conditions, interface, result decision, equipme</w:t>
              <w:br/>
              <w:t>Linked original forms: i13, i13-2</w:t>
            </w:r>
          </w:p>
        </w:tc>
        <w:tc>
          <w:tcPr>
            <w:tcW w:type="dxa" w:w="2508"/>
            <w:vAlign w:val="top"/>
          </w:tcPr>
          <w:p>
            <w:pPr>
              <w:spacing w:after="40"/>
            </w:pPr>
            <w:r/>
            <w:r>
              <w:rPr>
                <w:rFonts w:ascii="Aptos" w:hAnsi="Aptos"/>
                <w:b w:val="0"/>
                <w:sz w:val="15"/>
              </w:rPr>
              <w:t>Approved Annex C/D methods and reports, acceptance decisions, equipment verification, traceability.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CVC-G06 / Guidewire safety, fracture/flexing and tensile evidence</w:t>
            </w:r>
          </w:p>
        </w:tc>
        <w:tc>
          <w:tcPr>
            <w:tcW w:type="dxa" w:w="2508"/>
            <w:vAlign w:val="top"/>
            <w:shd w:fill="F2F5F8"/>
          </w:tcPr>
          <w:p>
            <w:pPr>
              <w:spacing w:after="40"/>
            </w:pPr>
            <w:r/>
            <w:r>
              <w:rPr>
                <w:rFonts w:ascii="Aptos" w:hAnsi="Aptos"/>
                <w:b w:val="0"/>
                <w:sz w:val="15"/>
              </w:rPr>
              <w:t>ISO 11070:2014, 8.3–8.6 and normative Annexes F/G/H, ISO p.9, PDF p.15 — Safety wire is required unless the core wire is attached to the tip; the guidewire must not suffer dangerous separation or fracture in prescribed fracture/flexing tests; Table 3 minimum peak force is 5 N for 0.55–&lt;0.75 mm and 10 N for &gt;=0.75 mm.</w:t>
            </w:r>
          </w:p>
        </w:tc>
        <w:tc>
          <w:tcPr>
            <w:tcW w:type="dxa" w:w="2508"/>
            <w:vAlign w:val="top"/>
            <w:shd w:fill="F2F5F8"/>
          </w:tcPr>
          <w:p>
            <w:pPr>
              <w:spacing w:after="40"/>
            </w:pPr>
            <w:r/>
            <w:r>
              <w:rPr>
                <w:rFonts w:ascii="Aptos" w:hAnsi="Aptos"/>
                <w:b w:val="0"/>
                <w:sz w:val="15"/>
              </w:rPr>
              <w:t>Proposed §6.4: Confirm approved guidewire configuration, safety-wire/core-to-tip design status, nominal diameter and length. Obtain linked qualification/supplier evidence for ISO 11070 Annex F fracture, Annex G flexing a</w:t>
              <w:br/>
              <w:t>Linked original forms: i13, i13-2</w:t>
            </w:r>
          </w:p>
        </w:tc>
        <w:tc>
          <w:tcPr>
            <w:tcW w:type="dxa" w:w="2508"/>
            <w:vAlign w:val="top"/>
            <w:shd w:fill="F2F5F8"/>
          </w:tcPr>
          <w:p>
            <w:pPr>
              <w:spacing w:after="40"/>
            </w:pPr>
            <w:r/>
            <w:r>
              <w:rPr>
                <w:rFonts w:ascii="Aptos" w:hAnsi="Aptos"/>
                <w:b w:val="0"/>
                <w:sz w:val="15"/>
              </w:rPr>
              <w:t>Approved guidewire design/control plan; actual Annex F/G/H reports or verified supplier evidence; approved disposition.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CVC-G07 / Introducer-needle hub union force by size</w:t>
            </w:r>
          </w:p>
        </w:tc>
        <w:tc>
          <w:tcPr>
            <w:tcW w:type="dxa" w:w="2508"/>
            <w:vAlign w:val="top"/>
          </w:tcPr>
          <w:p>
            <w:pPr>
              <w:spacing w:after="40"/>
            </w:pPr>
            <w:r/>
            <w:r>
              <w:rPr>
                <w:rFonts w:ascii="Aptos" w:hAnsi="Aptos"/>
                <w:b w:val="0"/>
                <w:sz w:val="15"/>
              </w:rPr>
              <w:t>ISO 11070:2014, 5.4.2 and normative Annex I, ISO p.6, PDF p.12 — Introducer needle tube-to-hub union must resist 10 N for nominal OD &lt;0.6 mm or 20 N for OD &gt;=0.6 mm under Annex I test.</w:t>
            </w:r>
          </w:p>
        </w:tc>
        <w:tc>
          <w:tcPr>
            <w:tcW w:type="dxa" w:w="2508"/>
            <w:vAlign w:val="top"/>
          </w:tcPr>
          <w:p>
            <w:pPr>
              <w:spacing w:after="40"/>
            </w:pPr>
            <w:r/>
            <w:r>
              <w:rPr>
                <w:rFonts w:ascii="Aptos" w:hAnsi="Aptos"/>
                <w:b w:val="0"/>
                <w:sz w:val="15"/>
              </w:rPr>
              <w:t>Proposed §6.5: For introducer needles identify nominal OD and applicable ISO 11070 §5.4.2 acceptance force; qualify/test hub-to-tube union using Annex I method. Record test piece, applied force (N), outcome, spec and obj</w:t>
              <w:br/>
              <w:t>Linked original forms: i13, i13-2</w:t>
            </w:r>
          </w:p>
        </w:tc>
        <w:tc>
          <w:tcPr>
            <w:tcW w:type="dxa" w:w="2508"/>
            <w:vAlign w:val="top"/>
          </w:tcPr>
          <w:p>
            <w:pPr>
              <w:spacing w:after="40"/>
            </w:pPr>
            <w:r/>
            <w:r>
              <w:rPr>
                <w:rFonts w:ascii="Aptos" w:hAnsi="Aptos"/>
                <w:b w:val="0"/>
                <w:sz w:val="15"/>
              </w:rPr>
              <w:t>Approved needle specification and Annex I test record/supplier evidence.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CVC-G08 / Hypodermic-needle bonding and lumen patency</w:t>
            </w:r>
          </w:p>
        </w:tc>
        <w:tc>
          <w:tcPr>
            <w:tcW w:type="dxa" w:w="2508"/>
            <w:vAlign w:val="top"/>
            <w:shd w:fill="F2F5F8"/>
          </w:tcPr>
          <w:p>
            <w:pPr>
              <w:spacing w:after="40"/>
            </w:pPr>
            <w:r/>
            <w:r>
              <w:rPr>
                <w:rFonts w:ascii="Aptos" w:hAnsi="Aptos"/>
                <w:b w:val="0"/>
                <w:sz w:val="15"/>
              </w:rPr>
              <w:t>ISO 7864:2016, 4.12 Table 2 and 4.13 Table 3, ISO pp.7–9, PDF pp.13–15 — Hypodermic needle hub bond shall withstand size-specific minimum force in Table 2; lumen patency shall be established by a size-specific stylet or a defined comparative water flow route.</w:t>
            </w:r>
          </w:p>
        </w:tc>
        <w:tc>
          <w:tcPr>
            <w:tcW w:type="dxa" w:w="2508"/>
            <w:vAlign w:val="top"/>
            <w:shd w:fill="F2F5F8"/>
          </w:tcPr>
          <w:p>
            <w:pPr>
              <w:spacing w:after="40"/>
            </w:pPr>
            <w:r/>
            <w:r>
              <w:rPr>
                <w:rFonts w:ascii="Aptos" w:hAnsi="Aptos"/>
                <w:b w:val="0"/>
                <w:sz w:val="15"/>
              </w:rPr>
              <w:t>Proposed §6.6: Classify needle as hypodermic or introducer; do not interchange standards. For hypodermic needles, document selected ISO 7864 Table 2 minimum force and §4.13 method appropriate to needle size/construction;</w:t>
              <w:br/>
              <w:t>Linked original forms: i13, i13-2</w:t>
            </w:r>
          </w:p>
        </w:tc>
        <w:tc>
          <w:tcPr>
            <w:tcW w:type="dxa" w:w="2508"/>
            <w:vAlign w:val="top"/>
            <w:shd w:fill="F2F5F8"/>
          </w:tcPr>
          <w:p>
            <w:pPr>
              <w:spacing w:after="40"/>
            </w:pPr>
            <w:r/>
            <w:r>
              <w:rPr>
                <w:rFonts w:ascii="Aptos" w:hAnsi="Aptos"/>
                <w:b w:val="0"/>
                <w:sz w:val="15"/>
              </w:rPr>
              <w:t>Approved ISO 7864 control route, actual bond/patency evidence, supplier verification and lot traceability.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CVC-G09 / Dilator hub and body peak tensile force</w:t>
            </w:r>
          </w:p>
        </w:tc>
        <w:tc>
          <w:tcPr>
            <w:tcW w:type="dxa" w:w="2508"/>
            <w:vAlign w:val="top"/>
          </w:tcPr>
          <w:p>
            <w:pPr>
              <w:spacing w:after="40"/>
            </w:pPr>
            <w:r/>
            <w:r>
              <w:rPr>
                <w:rFonts w:ascii="Aptos" w:hAnsi="Aptos"/>
                <w:b w:val="0"/>
                <w:sz w:val="15"/>
              </w:rPr>
              <w:t>ISO 11070:2014, 9.3.3, 6.3 Table 2 and Annex C, ISO pp.7,10, PDF pp.13,16 — Dilator-to-hub union and specified test pieces shall meet Table 2 minimum peak tensile forces dependent on smallest OD, using normative Annex C.</w:t>
            </w:r>
          </w:p>
        </w:tc>
        <w:tc>
          <w:tcPr>
            <w:tcW w:type="dxa" w:w="2508"/>
            <w:vAlign w:val="top"/>
          </w:tcPr>
          <w:p>
            <w:pPr>
              <w:spacing w:after="40"/>
            </w:pPr>
            <w:r/>
            <w:r>
              <w:rPr>
                <w:rFonts w:ascii="Aptos" w:hAnsi="Aptos"/>
                <w:b w:val="0"/>
                <w:sz w:val="15"/>
              </w:rPr>
              <w:t xml:space="preserve">Proposed §6.7: Verify dilator dimension and approved hub design; record OD category, Table 2 force (N), Annex C method and actual peak tensile result under approved qualification/periodic control. Do not apply a blanket </w:t>
              <w:br/>
              <w:t>Linked original forms: i13, i13-2</w:t>
            </w:r>
          </w:p>
        </w:tc>
        <w:tc>
          <w:tcPr>
            <w:tcW w:type="dxa" w:w="2508"/>
            <w:vAlign w:val="top"/>
          </w:tcPr>
          <w:p>
            <w:pPr>
              <w:spacing w:after="40"/>
            </w:pPr>
            <w:r/>
            <w:r>
              <w:rPr>
                <w:rFonts w:ascii="Aptos" w:hAnsi="Aptos"/>
                <w:b w:val="0"/>
                <w:sz w:val="15"/>
              </w:rPr>
              <w:t>Approved dilator spec, tensile force qualification and evidence linked to controlled configuration. Status: OPEN — EVIDENCE.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CVC-G10 / Syringe functional performance evidence</w:t>
            </w:r>
          </w:p>
        </w:tc>
        <w:tc>
          <w:tcPr>
            <w:tcW w:type="dxa" w:w="2508"/>
            <w:vAlign w:val="top"/>
            <w:shd w:fill="F2F5F8"/>
          </w:tcPr>
          <w:p>
            <w:pPr>
              <w:spacing w:after="40"/>
            </w:pPr>
            <w:r/>
            <w:r>
              <w:rPr>
                <w:rFonts w:ascii="Aptos" w:hAnsi="Aptos"/>
                <w:b w:val="0"/>
                <w:sz w:val="15"/>
              </w:rPr>
              <w:t>ISO 7886-1:2017, 13.1, 13.2 and normative Annexes B/C/D, ISO p.10, PDF p.18 — For covered manual-use syringes, dead-space acceptance is by Table 1/Annex C, and plunger sealing must pass Annexes B and D; the standard is for design verification and does not itself provide lot-release criteria (Scope, p.1).</w:t>
            </w:r>
          </w:p>
        </w:tc>
        <w:tc>
          <w:tcPr>
            <w:tcW w:type="dxa" w:w="2508"/>
            <w:vAlign w:val="top"/>
            <w:shd w:fill="F2F5F8"/>
          </w:tcPr>
          <w:p>
            <w:pPr>
              <w:spacing w:after="40"/>
            </w:pPr>
            <w:r/>
            <w:r>
              <w:rPr>
                <w:rFonts w:ascii="Aptos" w:hAnsi="Aptos"/>
                <w:b w:val="0"/>
                <w:sz w:val="15"/>
              </w:rPr>
              <w:t>Proposed §6.8: Classify supplied syringe, nominal capacity and applicability of ISO 7886-1. Verify approved supplier/design-qualification record covering dead space (Annex C) and plunger air/liquid leakage (Annexes B/D).</w:t>
              <w:br/>
              <w:t>Linked original forms: i13, i13-2</w:t>
            </w:r>
          </w:p>
        </w:tc>
        <w:tc>
          <w:tcPr>
            <w:tcW w:type="dxa" w:w="2508"/>
            <w:vAlign w:val="top"/>
            <w:shd w:fill="F2F5F8"/>
          </w:tcPr>
          <w:p>
            <w:pPr>
              <w:spacing w:after="40"/>
            </w:pPr>
            <w:r/>
            <w:r>
              <w:rPr>
                <w:rFonts w:ascii="Aptos" w:hAnsi="Aptos"/>
                <w:b w:val="0"/>
                <w:sz w:val="15"/>
              </w:rPr>
              <w:t>Approved syringe technical specification, actual design tests and accepted-supplier evidence.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CVC-G11 / Luer connector type-test linkage</w:t>
            </w:r>
          </w:p>
        </w:tc>
        <w:tc>
          <w:tcPr>
            <w:tcW w:type="dxa" w:w="2508"/>
            <w:vAlign w:val="top"/>
          </w:tcPr>
          <w:p>
            <w:pPr>
              <w:spacing w:after="40"/>
            </w:pPr>
            <w:r/>
            <w:r>
              <w:rPr>
                <w:rFonts w:ascii="Aptos" w:hAnsi="Aptos"/>
                <w:b w:val="0"/>
                <w:sz w:val="15"/>
              </w:rPr>
              <w:t>ISO 80369-7:2016, 4.2–4.3, 5, 6.1–6.6 and Annexes B/C, ISO pp.4–6, PDF pp.11–13 — Relevant Luer connectors require material/modulus controls, Annex B dimensions and applicable type-test performance (leakage, sub-atmospheric air, stress cracking, separation and lock-only tests). These are type tests under §4.3.</w:t>
            </w:r>
          </w:p>
        </w:tc>
        <w:tc>
          <w:tcPr>
            <w:tcW w:type="dxa" w:w="2508"/>
            <w:vAlign w:val="top"/>
          </w:tcPr>
          <w:p>
            <w:pPr>
              <w:spacing w:after="40"/>
            </w:pPr>
            <w:r/>
            <w:r>
              <w:rPr>
                <w:rFonts w:ascii="Aptos" w:hAnsi="Aptos"/>
                <w:b w:val="0"/>
                <w:sz w:val="15"/>
              </w:rPr>
              <w:t xml:space="preserve">Proposed §8.9: For each male/female Luer connector type and material revision identify approved ISO 80369-7 design dossier, Annex B dimensions and applicable §6 type-test reports. In-process assembly checks use verified </w:t>
              <w:br/>
              <w:t>Linked original forms: i13, i13-2, i27</w:t>
            </w:r>
          </w:p>
        </w:tc>
        <w:tc>
          <w:tcPr>
            <w:tcW w:type="dxa" w:w="2508"/>
            <w:vAlign w:val="top"/>
          </w:tcPr>
          <w:p>
            <w:pPr>
              <w:spacing w:after="40"/>
            </w:pPr>
            <w:r/>
            <w:r>
              <w:rPr>
                <w:rFonts w:ascii="Aptos" w:hAnsi="Aptos"/>
                <w:b w:val="0"/>
                <w:sz w:val="15"/>
              </w:rPr>
              <w:t>Approved Luer design/type-test dossier including applicable ISO 80369-7 clauses and ISO 80369-20 test methods (latter not supplied). Status: OPEN — EVIDENCE / MISSING SOURCE.</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CVC-G12 / Validated EO cycle and sterilization release record traceability</w:t>
            </w:r>
          </w:p>
        </w:tc>
        <w:tc>
          <w:tcPr>
            <w:tcW w:type="dxa" w:w="2508"/>
            <w:vAlign w:val="top"/>
            <w:shd w:fill="F2F5F8"/>
          </w:tcPr>
          <w:p>
            <w:pPr>
              <w:spacing w:after="40"/>
            </w:pPr>
            <w:r/>
            <w:r>
              <w:rPr>
                <w:rFonts w:ascii="Aptos" w:hAnsi="Aptos"/>
                <w:b w:val="0"/>
                <w:sz w:val="15"/>
              </w:rPr>
              <w:t>ISO 11135:2014, 11.1–11.3, ISO p.23, PDF p.35 — EO sterilization load release requires documented conformance to routine process specification, BI outcome if used, and a controlled nonconformity response when acceptance is not met.</w:t>
            </w:r>
          </w:p>
        </w:tc>
        <w:tc>
          <w:tcPr>
            <w:tcW w:type="dxa" w:w="2508"/>
            <w:vAlign w:val="top"/>
            <w:shd w:fill="F2F5F8"/>
          </w:tcPr>
          <w:p>
            <w:pPr>
              <w:spacing w:after="40"/>
            </w:pPr>
            <w:r/>
            <w:r>
              <w:rPr>
                <w:rFonts w:ascii="Aptos" w:hAnsi="Aptos"/>
                <w:b w:val="0"/>
                <w:sz w:val="15"/>
              </w:rPr>
              <w:t>Proposed §§10–11: No batch shall be released solely because a proposed form is completed. QC/QA shall verify sterilization load/cycle ID and complete documented ISO 11135 §11.1 criteria, including any applicable BI, devi</w:t>
              <w:br/>
              <w:t>Linked original forms: i13, i13-2, i4-7</w:t>
            </w:r>
          </w:p>
        </w:tc>
        <w:tc>
          <w:tcPr>
            <w:tcW w:type="dxa" w:w="2508"/>
            <w:vAlign w:val="top"/>
            <w:shd w:fill="F2F5F8"/>
          </w:tcPr>
          <w:p>
            <w:pPr>
              <w:spacing w:after="40"/>
            </w:pPr>
            <w:r/>
            <w:r>
              <w:rPr>
                <w:rFonts w:ascii="Aptos" w:hAnsi="Aptos"/>
                <w:b w:val="0"/>
                <w:sz w:val="15"/>
              </w:rPr>
              <w:t>Validated process/qualification, individual load cycle record, BI evidence as applicable, deviation decisions, documented authorized release. Status: OPEN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r>
        <w:tc>
          <w:tcPr>
            <w:tcW w:type="dxa" w:w="2508"/>
            <w:vAlign w:val="top"/>
          </w:tcPr>
          <w:p>
            <w:pPr>
              <w:spacing w:after="40"/>
            </w:pPr>
            <w:r/>
            <w:r>
              <w:rPr>
                <w:rFonts w:ascii="Aptos" w:hAnsi="Aptos"/>
                <w:b w:val="0"/>
                <w:sz w:val="15"/>
              </w:rPr>
              <w:t>CVC-G13 / Conflicting F-823-i13-2 description and record ownership</w:t>
            </w:r>
          </w:p>
        </w:tc>
        <w:tc>
          <w:tcPr>
            <w:tcW w:type="dxa" w:w="2508"/>
            <w:vAlign w:val="top"/>
          </w:tcPr>
          <w:p>
            <w:pPr>
              <w:spacing w:after="40"/>
            </w:pPr>
            <w:r/>
            <w:r>
              <w:rPr>
                <w:rFonts w:ascii="Aptos" w:hAnsi="Aptos"/>
                <w:b w:val="0"/>
                <w:sz w:val="15"/>
              </w:rPr>
              <w:t>Document control reconciliation; source WI-DD-02 Rev.3, p.10 §10 vs F-823-i13-2 Rev.1 header; no ISO clause claimed — This finding concerns contradictory controlled document descriptions, not a directly cited product ISO technical requirement.</w:t>
            </w:r>
          </w:p>
        </w:tc>
        <w:tc>
          <w:tcPr>
            <w:tcW w:type="dxa" w:w="2508"/>
            <w:vAlign w:val="top"/>
          </w:tcPr>
          <w:p>
            <w:pPr>
              <w:spacing w:after="40"/>
            </w:pPr>
            <w:r/>
            <w:r>
              <w:rPr>
                <w:rFonts w:ascii="Aptos" w:hAnsi="Aptos"/>
                <w:b w:val="0"/>
                <w:sz w:val="15"/>
              </w:rPr>
              <w:t>Proposed §12.2: F-823-i13-2 shall be described in the document index by its verified approved function and revision. Current attachment carries “In-process control for CVC Complete kit”; do not silently change identity o</w:t>
              <w:br/>
              <w:t>Linked original forms: i13-2</w:t>
            </w:r>
          </w:p>
        </w:tc>
        <w:tc>
          <w:tcPr>
            <w:tcW w:type="dxa" w:w="2508"/>
            <w:vAlign w:val="top"/>
          </w:tcPr>
          <w:p>
            <w:pPr>
              <w:spacing w:after="40"/>
            </w:pPr>
            <w:r/>
            <w:r>
              <w:rPr>
                <w:rFonts w:ascii="Aptos" w:hAnsi="Aptos"/>
                <w:b w:val="0"/>
                <w:sz w:val="15"/>
              </w:rPr>
              <w:t>Approved document master list, change request, revision/effective-date confirmation, verified supersession if any. Status: OPEN — APPROVAL.</w:t>
            </w:r>
          </w:p>
        </w:tc>
        <w:tc>
          <w:tcPr>
            <w:tcW w:type="dxa" w:w="2508"/>
            <w:vAlign w:val="top"/>
          </w:tcPr>
          <w:p>
            <w:pPr>
              <w:spacing w:after="40"/>
            </w:pPr>
            <w:r/>
            <w:r>
              <w:rPr>
                <w:rFonts w:ascii="Aptos" w:hAnsi="Aptos"/>
                <w:b w:val="0"/>
                <w:sz w:val="15"/>
              </w:rPr>
              <w:t>PROPOSED DRAFT</w:t>
            </w:r>
          </w:p>
        </w:tc>
        <w:tc>
          <w:tcPr>
            <w:tcW w:type="dxa" w:w="2508"/>
            <w:vAlign w:val="top"/>
          </w:tcPr>
          <w:p>
            <w:pPr>
              <w:spacing w:after="40"/>
            </w:pPr>
            <w:r/>
            <w:r>
              <w:rPr>
                <w:rFonts w:ascii="Aptos" w:hAnsi="Aptos"/>
                <w:b w:val="0"/>
                <w:sz w:val="15"/>
              </w:rPr>
              <w:t>OPEN — NOT VERIFIED</w:t>
            </w:r>
          </w:p>
        </w:tc>
      </w:tr>
      <w:tr>
        <w:tc>
          <w:tcPr>
            <w:tcW w:type="dxa" w:w="2508"/>
            <w:vAlign w:val="top"/>
            <w:shd w:fill="F2F5F8"/>
          </w:tcPr>
          <w:p>
            <w:pPr>
              <w:spacing w:after="40"/>
            </w:pPr>
            <w:r/>
            <w:r>
              <w:rPr>
                <w:rFonts w:ascii="Aptos" w:hAnsi="Aptos"/>
                <w:b w:val="0"/>
                <w:sz w:val="15"/>
              </w:rPr>
              <w:t>CVC-G14 / Approval of applicable kit components and quantified checks</w:t>
            </w:r>
          </w:p>
        </w:tc>
        <w:tc>
          <w:tcPr>
            <w:tcW w:type="dxa" w:w="2508"/>
            <w:vAlign w:val="top"/>
            <w:shd w:fill="F2F5F8"/>
          </w:tcPr>
          <w:p>
            <w:pPr>
              <w:spacing w:after="40"/>
            </w:pPr>
            <w:r/>
            <w:r>
              <w:rPr>
                <w:rFonts w:ascii="Aptos" w:hAnsi="Aptos"/>
                <w:b w:val="0"/>
                <w:sz w:val="15"/>
              </w:rPr>
              <w:t>ISO 11070:2014, 10 and Table 4, ISO pp.10–11, PDF pp.16–17 — For kits combining devices within ISO 11070, the manufacturer supplies applicable device size information and controls compatibility; the exact applicable set is configuration-dependent.</w:t>
            </w:r>
          </w:p>
        </w:tc>
        <w:tc>
          <w:tcPr>
            <w:tcW w:type="dxa" w:w="2508"/>
            <w:vAlign w:val="top"/>
            <w:shd w:fill="F2F5F8"/>
          </w:tcPr>
          <w:p>
            <w:pPr>
              <w:spacing w:after="40"/>
            </w:pPr>
            <w:r/>
            <w:r>
              <w:rPr>
                <w:rFonts w:ascii="Aptos" w:hAnsi="Aptos"/>
                <w:b w:val="0"/>
                <w:sz w:val="15"/>
              </w:rPr>
              <w:t xml:space="preserve">Proposed §§6.1 and 8.10: For every selected CVC set/complete-kit product code verify approved BOM revision, guidewire/introducer/dilator compatibility and applicable design/specification reference. Record components and </w:t>
              <w:br/>
              <w:t>Linked original forms: i13-2</w:t>
            </w:r>
          </w:p>
        </w:tc>
        <w:tc>
          <w:tcPr>
            <w:tcW w:type="dxa" w:w="2508"/>
            <w:vAlign w:val="top"/>
            <w:shd w:fill="F2F5F8"/>
          </w:tcPr>
          <w:p>
            <w:pPr>
              <w:spacing w:after="40"/>
            </w:pPr>
            <w:r/>
            <w:r>
              <w:rPr>
                <w:rFonts w:ascii="Aptos" w:hAnsi="Aptos"/>
                <w:b w:val="0"/>
                <w:sz w:val="15"/>
              </w:rPr>
              <w:t>Approved BOM and packaging drawing per set, reconciliation checklist and completed kit records. Status: OPEN — TECHNICAL INPUT / EVIDENCE.</w:t>
            </w:r>
          </w:p>
        </w:tc>
        <w:tc>
          <w:tcPr>
            <w:tcW w:type="dxa" w:w="2508"/>
            <w:vAlign w:val="top"/>
            <w:shd w:fill="F2F5F8"/>
          </w:tcPr>
          <w:p>
            <w:pPr>
              <w:spacing w:after="40"/>
            </w:pPr>
            <w:r/>
            <w:r>
              <w:rPr>
                <w:rFonts w:ascii="Aptos" w:hAnsi="Aptos"/>
                <w:b w:val="0"/>
                <w:sz w:val="15"/>
              </w:rPr>
              <w:t>PROPOSED DRAFT</w:t>
            </w:r>
          </w:p>
        </w:tc>
        <w:tc>
          <w:tcPr>
            <w:tcW w:type="dxa" w:w="2508"/>
            <w:vAlign w:val="top"/>
            <w:shd w:fill="F2F5F8"/>
          </w:tcPr>
          <w:p>
            <w:pPr>
              <w:spacing w:after="40"/>
            </w:pPr>
            <w:r/>
            <w:r>
              <w:rPr>
                <w:rFonts w:ascii="Aptos" w:hAnsi="Aptos"/>
                <w:b w:val="0"/>
                <w:sz w:val="15"/>
              </w:rPr>
              <w:t>OPEN — NOT VERIFIED</w:t>
            </w:r>
          </w:p>
        </w:tc>
      </w:tr>
    </w:tbl>
    <w:p>
      <w:pPr>
        <w:pStyle w:val="Heading1"/>
      </w:pPr>
      <w:r>
        <w:t>Coverage / no-gap review protocol</w:t>
      </w:r>
    </w:p>
    <w:p>
      <w:r>
        <w:t>The supplied requirements have been assessed to the depth of source links listed in the master gap report; the available pack is insufficient for a 100% requirement-by-requirement operational closure assertion. QA must validate the full applicability matrix against approved configurations and controlled specifications, including every relevant normative annex, before final approval.</w:t>
      </w:r>
    </w:p>
    <w:p>
      <w:pPr>
        <w:pStyle w:val="Heading1"/>
      </w:pPr>
      <w:r>
        <w:t>Evidence register - pending</w:t>
      </w:r>
    </w:p>
    <w:p>
      <w:pPr>
        <w:pStyle w:val="ListBullet"/>
      </w:pPr>
      <w:r>
        <w:t>PENDING — DD-02-PS / TF-29-PS current approved revision</w:t>
      </w:r>
    </w:p>
    <w:p>
      <w:pPr>
        <w:pStyle w:val="ListBullet"/>
      </w:pPr>
      <w:r>
        <w:t>PENDING — Approved product BOM and drawings, variants and applicable component supplier certificates</w:t>
      </w:r>
    </w:p>
    <w:p>
      <w:pPr>
        <w:pStyle w:val="ListBullet"/>
      </w:pPr>
      <w:r>
        <w:t>PENDING — Performance qualification/type testing with raw results and calibrations</w:t>
      </w:r>
    </w:p>
    <w:p>
      <w:pPr>
        <w:pStyle w:val="ListBullet"/>
      </w:pPr>
      <w:r>
        <w:t>PENDING — ISO 80369-20 text and company connector test work instructions where relevant</w:t>
      </w:r>
    </w:p>
    <w:p>
      <w:pPr>
        <w:pStyle w:val="ListBullet"/>
      </w:pPr>
      <w:r>
        <w:t>PENDING — EO sterilization validation, BI/control and product release records</w:t>
      </w:r>
    </w:p>
    <w:p>
      <w:pPr>
        <w:pStyle w:val="ListBullet"/>
      </w:pPr>
      <w:r>
        <w:t>PENDING — Controlled document index and effective dates</w:t>
      </w:r>
    </w:p>
    <w:p>
      <w:pPr>
        <w:pStyle w:val="ListBullet"/>
      </w:pPr>
      <w:r>
        <w:t>PENDING — Approved sampling plan, period/frequency risk rationale</w:t>
      </w:r>
    </w:p>
    <w:p>
      <w:pPr>
        <w:pStyle w:val="ListBullet"/>
      </w:pPr>
      <w:r>
        <w:t>PENDING — Approved packaging validation and machine recipes</w:t>
      </w:r>
    </w:p>
    <w:sectPr w:rsidR="00FC693F" w:rsidRPr="0006063C" w:rsidSect="00034616">
      <w:headerReference w:type="default" r:id="rId9"/>
      <w:footerReference w:type="default" r:id="rId10"/>
      <w:pgSz w:w="16834" w:h="11909" w:orient="landscape"/>
      <w:pgMar w:top="965" w:right="893" w:bottom="893" w:left="89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F5C6B"/>
        <w:sz w:val="14"/>
      </w:rPr>
      <w:t>SAUDI MAIS | QUALITY CONTROL   •   UNCONTROLLED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4F5C6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12843"/>
      <w:sz w:val="29"/>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12843"/>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128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128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