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QUALITY CONTROL SYSTEMS  /  EVIDENCE-BASED TECHNICAL REVIEW</w:t>
      </w:r>
    </w:p>
    <w:p>
      <w:pPr>
        <w:pStyle w:val="Title"/>
      </w:pPr>
      <w:r>
        <w:t>CVC Set / Complete Kit — ISO Gap Analysis for QC Manager</w:t>
      </w:r>
    </w:p>
    <w:p>
      <w:pPr>
        <w:pStyle w:val="Subtitle"/>
      </w:pPr>
      <w:r>
        <w:t>CVC Set / Complete Kit</w:t>
      </w:r>
    </w:p>
    <w:tbl>
      <w:tblPr>
        <w:tblStyle w:val="LightShading-Accent1"/>
        <w:tblW w:type="auto" w:w="0"/>
        <w:tblLook w:firstColumn="1" w:firstRow="1" w:lastColumn="0" w:lastRow="0" w:noHBand="0" w:noVBand="1" w:val="04A0"/>
      </w:tblPr>
      <w:tblGrid>
        <w:gridCol w:w="11016"/>
        <w:gridCol w:w="11016"/>
      </w:tblGrid>
      <w:tr>
        <w:tc>
          <w:tcPr>
            <w:tcW w:type="dxa" w:w="11016"/>
          </w:tcPr>
          <w:p>
            <w:r>
              <w:t>Issue status</w:t>
            </w:r>
          </w:p>
        </w:tc>
        <w:tc>
          <w:tcPr>
            <w:tcW w:type="dxa" w:w="11016"/>
          </w:tcPr>
          <w:p>
            <w:r>
              <w:t>PROPOSED CONTROLLED DRAFT — NOT APPROVED</w:t>
            </w:r>
          </w:p>
        </w:tc>
      </w:tr>
      <w:tr>
        <w:tc>
          <w:tcPr>
            <w:tcW w:type="dxa" w:w="11016"/>
          </w:tcPr>
          <w:p>
            <w:r>
              <w:t>Date prepared</w:t>
            </w:r>
          </w:p>
        </w:tc>
        <w:tc>
          <w:tcPr>
            <w:tcW w:type="dxa" w:w="11016"/>
          </w:tcPr>
          <w:p>
            <w:r>
              <w:t>22 Oct 2026</w:t>
            </w:r>
          </w:p>
        </w:tc>
      </w:tr>
      <w:tr>
        <w:tc>
          <w:tcPr>
            <w:tcW w:type="dxa" w:w="11016"/>
          </w:tcPr>
          <w:p>
            <w:r>
              <w:t>Document type</w:t>
            </w:r>
          </w:p>
        </w:tc>
        <w:tc>
          <w:tcPr>
            <w:tcW w:type="dxa" w:w="11016"/>
          </w:tcPr>
          <w:p>
            <w:r>
              <w:t>Technical audit / Master Gap &amp; Revision Table</w:t>
            </w:r>
          </w:p>
        </w:tc>
      </w:tr>
      <w:tr>
        <w:tc>
          <w:tcPr>
            <w:tcW w:type="dxa" w:w="11016"/>
          </w:tcPr>
          <w:p>
            <w:r>
              <w:t>Controlled source</w:t>
            </w:r>
          </w:p>
        </w:tc>
        <w:tc>
          <w:tcPr>
            <w:tcW w:type="dxa" w:w="11016"/>
          </w:tcPr>
          <w:p>
            <w:r>
              <w:t>WI-DD-02 Rev.3</w:t>
            </w:r>
          </w:p>
        </w:tc>
      </w:tr>
      <w:tr>
        <w:tc>
          <w:tcPr>
            <w:tcW w:type="dxa" w:w="11016"/>
          </w:tcPr>
          <w:p>
            <w:r>
              <w:t>Assessment basis</w:t>
            </w:r>
          </w:p>
        </w:tc>
        <w:tc>
          <w:tcPr>
            <w:tcW w:type="dxa" w:w="11016"/>
          </w:tcPr>
          <w:p>
            <w:r>
              <w:t>CVC process / component scope</w:t>
            </w:r>
          </w:p>
        </w:tc>
      </w:tr>
      <w:tr>
        <w:tc>
          <w:tcPr>
            <w:tcW w:type="dxa" w:w="11016"/>
          </w:tcPr>
          <w:p>
            <w:r>
              <w:t>Use restriction</w:t>
            </w:r>
          </w:p>
        </w:tc>
        <w:tc>
          <w:tcPr>
            <w:tcW w:type="dxa" w:w="11016"/>
          </w:tcPr>
          <w:p>
            <w:r>
              <w:t>For QC/QA review only. No product acceptance or release permitted on draft alone.</w:t>
            </w:r>
          </w:p>
        </w:tc>
      </w:tr>
    </w:tbl>
    <w:p>
      <w:r>
        <w:t>Evidence rule: “Required” is not “available”. No gap is verified closed without approved documentation and objective records.</w:t>
      </w:r>
    </w:p>
    <w:p>
      <w:r>
        <w:br w:type="page"/>
      </w:r>
    </w:p>
    <w:p>
      <w:pPr>
        <w:pStyle w:val="Heading1"/>
      </w:pPr>
      <w:r>
        <w:t>2. QC Manager Executive Summary</w:t>
      </w:r>
    </w:p>
    <w:p>
      <w:pPr>
        <w:pStyle w:val="ListBullet"/>
      </w:pPr>
      <w:r>
        <w:t>14 evidence-based findings: P1=8, P2=6, P3=0.</w:t>
      </w:r>
    </w:p>
    <w:p>
      <w:pPr>
        <w:pStyle w:val="ListBullet"/>
      </w:pPr>
      <w:r>
        <w:t>Overall state: documentary and operating evidence cannot be classified as compliant using only the supplied files. No “Verified Closed” findings established.</w:t>
      </w:r>
    </w:p>
    <w:p>
      <w:pPr>
        <w:pStyle w:val="ListBullet"/>
      </w:pPr>
      <w:r>
        <w:t>The supplied Excel records are IN-PROCESS operational controls, not the finished-product inspection/release report. Any ISO type-testing evidence is assigned to qualification, supplier verification or applicable controlled records.</w:t>
      </w:r>
    </w:p>
    <w:p>
      <w:pPr>
        <w:pStyle w:val="ListBullet"/>
      </w:pPr>
      <w:r>
        <w:t>QC Manager decisions: approve correct product/component mapping, controlled specifications, sampling and test routing, record ownership, and missing objective evidence.</w:t>
      </w:r>
    </w:p>
    <w:p>
      <w:pPr>
        <w:pStyle w:val="Heading1"/>
      </w:pPr>
      <w:r>
        <w:t>3. Documents Reviewed</w:t>
      </w:r>
    </w:p>
    <w:p>
      <w:pPr>
        <w:pStyle w:val="ListBullet"/>
      </w:pPr>
      <w:r>
        <w:t>WI-DD-02 Rev.3</w:t>
      </w:r>
    </w:p>
    <w:p>
      <w:pPr>
        <w:pStyle w:val="ListBullet"/>
      </w:pPr>
      <w:r>
        <w:t>Source control forms: F-823-i13 Rev.6; F-823-i13-2 Rev.1; F-823-i15 Rev.16; shared F-823-i27 Rev.7 / F-823-i4-1 Rev.5 / F-823-i4-7 Rev.3.</w:t>
      </w:r>
    </w:p>
    <w:p>
      <w:pPr>
        <w:pStyle w:val="ListBullet"/>
      </w:pPr>
      <w:r>
        <w:t>Supplied applicable standards: ISO 10555-1:2013+A1:2017; ISO 10555-3:2013; ISO 11070:2014; ISO 7864:2016; ISO 7886-1:2017; ISO 80369-7:2016; ISO 11135:2014, as component and process applicability dictates.</w:t>
      </w:r>
    </w:p>
    <w:p>
      <w:pPr>
        <w:pStyle w:val="Heading1"/>
      </w:pPr>
      <w:r>
        <w:t>4. Scope, methodology &amp; restrictions</w:t>
      </w:r>
    </w:p>
    <w:p>
      <w:r>
        <w:t>Sources were reviewed as supplied; actual approved product specifications, BOMs, approved testing work instructions, process-validation plans, supplier records, equipment calibration files, risk files, ISO 80369-20 text and lot-specific EO sterilization records were not supplied. “Missing from supplied package” is not proof a control does not exist at the plant. ISO citations refer to the supplied editions and printed ISO page/PDF page where verifiable.</w:t>
      </w:r>
    </w:p>
    <w:p>
      <w:r>
        <w:t>Design/type testing, incoming checks, hourly process monitoring, packaging validation and sterilization release are distinct routes. Never move every ISO qualification test into each hourly in-process form.</w:t>
      </w:r>
    </w:p>
    <w:p>
      <w:pPr>
        <w:pStyle w:val="Heading1"/>
      </w:pPr>
      <w:r>
        <w:t>5. Applicable ISO / source requirements</w:t>
      </w:r>
    </w:p>
    <w:p>
      <w:pPr>
        <w:pStyle w:val="ListBullet"/>
      </w:pPr>
      <w:r>
        <w:rPr>
          <w:b/>
        </w:rPr>
        <w:t xml:space="preserve">CVC-G01: </w:t>
      </w:r>
      <w:r>
        <w:t>ISO 10555-1:2013+A1:2017, 4.6, Table 1, ISO p.5, PDF p.15; ISO 10555-3:2013, 4.4, Table 1, ISO p.2, PDF p.10 — ISO 10555-1 requires catheter test-piece peak tensile minimums of 3 N (0.55–&lt;0.75 mm), 5 N (0.75–&lt;1.15 mm), 10 N (1.15–&lt;1.85 mm) and 15 N (&gt;=1.85 mm); soft-tip junctions of specified geometry are assessed separately under ISO 10555-3.</w:t>
      </w:r>
    </w:p>
    <w:p>
      <w:pPr>
        <w:pStyle w:val="ListBullet"/>
      </w:pPr>
      <w:r>
        <w:rPr>
          <w:b/>
        </w:rPr>
        <w:t xml:space="preserve">CVC-G02: </w:t>
      </w:r>
      <w:r>
        <w:t>ISO 10555-1:2013+A1:2017, 4.9 and Annex E, ISO p.5, PDF p.15 — For devices with declared flow rate, measured flow for each lumen shall be at least 80% of manufacturer-stated flow when nominal OD &lt;1.0 mm, or 90% when nominal OD &gt;=1.0 mm (Annex E method).</w:t>
      </w:r>
    </w:p>
    <w:p>
      <w:pPr>
        <w:pStyle w:val="ListBullet"/>
      </w:pPr>
      <w:r>
        <w:rPr>
          <w:b/>
        </w:rPr>
        <w:t xml:space="preserve">CVC-G03: </w:t>
      </w:r>
      <w:r>
        <w:t>ISO 10555-1:2013+A1:2017, 4.4, ISO p.4, PDF p.14; ISO 11070:2014, 4.3, ISO p.5, PDF p.11 — Catheter external effective surface and applicable intravascular accessory surfaces are examined at minimum 2.5x magnification and must be free of extraneous matter and defects potentially traumatic to vessels.</w:t>
      </w:r>
    </w:p>
    <w:p>
      <w:pPr>
        <w:pStyle w:val="ListBullet"/>
      </w:pPr>
      <w:r>
        <w:rPr>
          <w:b/>
        </w:rPr>
        <w:t xml:space="preserve">CVC-G04: </w:t>
      </w:r>
      <w:r>
        <w:t>ISO 10555-1:2013+A1:2017, 4.2, ISO p.4, PDF p.14 — Catheter parts must be radio-detectable when the manufacturer risk assessment determines it necessary; appropriate verification is recommended.</w:t>
      </w:r>
    </w:p>
    <w:p>
      <w:pPr>
        <w:pStyle w:val="ListBullet"/>
      </w:pPr>
      <w:r>
        <w:rPr>
          <w:b/>
        </w:rPr>
        <w:t xml:space="preserve">CVC-G05: </w:t>
      </w:r>
      <w:r>
        <w:t>ISO 10555-1:2013+A1:2017, 4.7.1, 4.7.2 and Annexes C/D, ISO p.5, PDF p.15 — Catheter hub/connection assemblies must not leak liquid under Annex C test; air must not enter the hub during aspiration under Annex D test.</w:t>
      </w:r>
    </w:p>
    <w:p>
      <w:pPr>
        <w:pStyle w:val="ListBullet"/>
      </w:pPr>
      <w:r>
        <w:rPr>
          <w:b/>
        </w:rPr>
        <w:t xml:space="preserve">CVC-G06: </w:t>
      </w:r>
      <w:r>
        <w:t>ISO 11070:2014, 8.3–8.6 and normative Annexes F/G/H, ISO p.9, PDF p.15 — Safety wire is required unless the core wire is attached to the tip; the guidewire must not suffer dangerous separation or fracture in prescribed fracture/flexing tests; Table 3 minimum peak force is 5 N for 0.55–&lt;0.75 mm and 10 N for &gt;=0.75 mm.</w:t>
      </w:r>
    </w:p>
    <w:p>
      <w:pPr>
        <w:pStyle w:val="ListBullet"/>
      </w:pPr>
      <w:r>
        <w:rPr>
          <w:b/>
        </w:rPr>
        <w:t xml:space="preserve">CVC-G07: </w:t>
      </w:r>
      <w:r>
        <w:t>ISO 11070:2014, 5.4.2 and normative Annex I, ISO p.6, PDF p.12 — Introducer needle tube-to-hub union must resist 10 N for nominal OD &lt;0.6 mm or 20 N for OD &gt;=0.6 mm under Annex I test.</w:t>
      </w:r>
    </w:p>
    <w:p>
      <w:pPr>
        <w:pStyle w:val="ListBullet"/>
      </w:pPr>
      <w:r>
        <w:rPr>
          <w:b/>
        </w:rPr>
        <w:t xml:space="preserve">CVC-G08: </w:t>
      </w:r>
      <w:r>
        <w:t>ISO 7864:2016, 4.12 Table 2 and 4.13 Table 3, ISO pp.7–9, PDF pp.13–15 — Hypodermic needle hub bond shall withstand size-specific minimum force in Table 2; lumen patency shall be established by a size-specific stylet or a defined comparative water flow route.</w:t>
      </w:r>
    </w:p>
    <w:p>
      <w:pPr>
        <w:pStyle w:val="ListBullet"/>
      </w:pPr>
      <w:r>
        <w:rPr>
          <w:b/>
        </w:rPr>
        <w:t xml:space="preserve">CVC-G09: </w:t>
      </w:r>
      <w:r>
        <w:t>ISO 11070:2014, 9.3.3, 6.3 Table 2 and Annex C, ISO pp.7,10, PDF pp.13,16 — Dilator-to-hub union and specified test pieces shall meet Table 2 minimum peak tensile forces dependent on smallest OD, using normative Annex C.</w:t>
      </w:r>
    </w:p>
    <w:p>
      <w:pPr>
        <w:pStyle w:val="ListBullet"/>
      </w:pPr>
      <w:r>
        <w:rPr>
          <w:b/>
        </w:rPr>
        <w:t xml:space="preserve">CVC-G10: </w:t>
      </w:r>
      <w:r>
        <w:t>ISO 7886-1:2017, 13.1, 13.2 and normative Annexes B/C/D, ISO p.10, PDF p.18 — For covered manual-use syringes, dead-space acceptance is by Table 1/Annex C, and plunger sealing must pass Annexes B and D; the standard is for design verification and does not itself provide lot-release criteria (Scope, p.1).</w:t>
      </w:r>
    </w:p>
    <w:p>
      <w:pPr>
        <w:pStyle w:val="ListBullet"/>
      </w:pPr>
      <w:r>
        <w:rPr>
          <w:b/>
        </w:rPr>
        <w:t xml:space="preserve">CVC-G11: </w:t>
      </w:r>
      <w:r>
        <w:t>ISO 80369-7:2016, 4.2–4.3, 5, 6.1–6.6 and Annexes B/C, ISO pp.4–6, PDF pp.11–13 — Relevant Luer connectors require material/modulus controls, Annex B dimensions and applicable type-test performance (leakage, sub-atmospheric air, stress cracking, separation and lock-only tests). These are type tests under §4.3.</w:t>
      </w:r>
    </w:p>
    <w:p>
      <w:pPr>
        <w:pStyle w:val="ListBullet"/>
      </w:pPr>
      <w:r>
        <w:rPr>
          <w:b/>
        </w:rPr>
        <w:t xml:space="preserve">CVC-G12: </w:t>
      </w:r>
      <w:r>
        <w:t>ISO 11135:2014, 11.1–11.3, ISO p.23, PDF p.35 — EO sterilization load release requires documented conformance to routine process specification, BI outcome if used, and a controlled nonconformity response when acceptance is not met.</w:t>
      </w:r>
    </w:p>
    <w:p>
      <w:pPr>
        <w:pStyle w:val="ListBullet"/>
      </w:pPr>
      <w:r>
        <w:rPr>
          <w:b/>
        </w:rPr>
        <w:t xml:space="preserve">CVC-G13: </w:t>
      </w:r>
      <w:r>
        <w:t>Document control reconciliation; source WI-DD-02 Rev.3, p.10 §10 vs F-823-i13-2 Rev.1 header; no ISO clause claimed — This finding concerns contradictory controlled document descriptions, not a directly cited product ISO technical requirement.</w:t>
      </w:r>
    </w:p>
    <w:p>
      <w:pPr>
        <w:pStyle w:val="ListBullet"/>
      </w:pPr>
      <w:r>
        <w:rPr>
          <w:b/>
        </w:rPr>
        <w:t xml:space="preserve">CVC-G14: </w:t>
      </w:r>
      <w:r>
        <w:t>ISO 11070:2014, 10 and Table 4, ISO pp.10–11, PDF pp.16–17 — For kits combining devices within ISO 11070, the manufacturer supplies applicable device size information and controls compatibility; the exact applicable set is configuration-dependent.</w:t>
      </w:r>
    </w:p>
    <w:p>
      <w:pPr>
        <w:pStyle w:val="Heading1"/>
      </w:pPr>
      <w:r>
        <w:t>6. Identified gaps</w:t>
      </w:r>
    </w:p>
    <w:tbl>
      <w:tblPr>
        <w:tblStyle w:val="TableGrid"/>
        <w:tblW w:type="auto" w:w="0"/>
        <w:jc w:val="center"/>
        <w:tblLayout w:type="fixed"/>
        <w:tblLook w:firstColumn="1" w:firstRow="1" w:lastColumn="0" w:lastRow="0" w:noHBand="0" w:noVBand="1" w:val="04A0"/>
      </w:tblPr>
      <w:tblGrid>
        <w:gridCol w:w="7344"/>
        <w:gridCol w:w="7344"/>
        <w:gridCol w:w="7344"/>
      </w:tblGrid>
      <w:tr>
        <w:trPr>
          <w:tblHeader w:val="true"/>
        </w:trPr>
        <w:tc>
          <w:tcPr>
            <w:tcW w:type="dxa" w:w="7344"/>
            <w:shd w:fill="12304C"/>
          </w:tcPr>
          <w:p>
            <w:pPr>
              <w:spacing w:after="40"/>
            </w:pPr>
            <w:r>
              <w:rPr>
                <w:color w:val="FFFFFF"/>
              </w:rPr>
            </w:r>
            <w:r>
              <w:rPr>
                <w:rFonts w:ascii="Aptos" w:hAnsi="Aptos"/>
                <w:b/>
                <w:color w:val="FFFFFF"/>
                <w:sz w:val="16"/>
              </w:rPr>
              <w:t>Gap</w:t>
            </w:r>
          </w:p>
        </w:tc>
        <w:tc>
          <w:tcPr>
            <w:tcW w:type="dxa" w:w="7344"/>
            <w:shd w:fill="12304C"/>
          </w:tcPr>
          <w:p>
            <w:pPr>
              <w:spacing w:after="40"/>
            </w:pPr>
            <w:r>
              <w:rPr>
                <w:color w:val="FFFFFF"/>
              </w:rPr>
            </w:r>
            <w:r>
              <w:rPr>
                <w:rFonts w:ascii="Aptos" w:hAnsi="Aptos"/>
                <w:b/>
                <w:color w:val="FFFFFF"/>
                <w:sz w:val="16"/>
              </w:rPr>
              <w:t>Priority</w:t>
            </w:r>
          </w:p>
        </w:tc>
        <w:tc>
          <w:tcPr>
            <w:tcW w:type="dxa" w:w="7344"/>
            <w:shd w:fill="12304C"/>
          </w:tcPr>
          <w:p>
            <w:pPr>
              <w:spacing w:after="40"/>
            </w:pPr>
            <w:r>
              <w:rPr>
                <w:color w:val="FFFFFF"/>
              </w:rPr>
            </w:r>
            <w:r>
              <w:rPr>
                <w:rFonts w:ascii="Aptos" w:hAnsi="Aptos"/>
                <w:b/>
                <w:color w:val="FFFFFF"/>
                <w:sz w:val="16"/>
              </w:rPr>
              <w:t>Confirmed issue type</w:t>
            </w:r>
          </w:p>
        </w:tc>
      </w:tr>
      <w:tr>
        <w:tc>
          <w:tcPr>
            <w:tcW w:type="dxa" w:w="7344"/>
            <w:vAlign w:val="top"/>
          </w:tcPr>
          <w:p>
            <w:pPr>
              <w:spacing w:after="40"/>
            </w:pPr>
            <w:r/>
            <w:r>
              <w:rPr>
                <w:rFonts w:ascii="Aptos" w:hAnsi="Aptos"/>
                <w:b w:val="0"/>
                <w:sz w:val="16"/>
              </w:rPr>
              <w:t>CVC-G01</w:t>
            </w:r>
          </w:p>
        </w:tc>
        <w:tc>
          <w:tcPr>
            <w:tcW w:type="dxa" w:w="7344"/>
            <w:vAlign w:val="top"/>
          </w:tcPr>
          <w:p>
            <w:pPr>
              <w:spacing w:after="40"/>
            </w:pPr>
            <w:r/>
            <w:r>
              <w:rPr>
                <w:rFonts w:ascii="Aptos" w:hAnsi="Aptos"/>
                <w:b w:val="0"/>
                <w:sz w:val="16"/>
              </w:rPr>
              <w:t>P1</w:t>
            </w:r>
          </w:p>
        </w:tc>
        <w:tc>
          <w:tcPr>
            <w:tcW w:type="dxa" w:w="7344"/>
            <w:vAlign w:val="top"/>
          </w:tcPr>
          <w:p>
            <w:pPr>
              <w:spacing w:after="40"/>
            </w:pPr>
            <w:r/>
            <w:r>
              <w:rPr>
                <w:rFonts w:ascii="Aptos" w:hAnsi="Aptos"/>
                <w:b w:val="0"/>
                <w:sz w:val="16"/>
              </w:rPr>
              <w:t>Catheter-shaft tensile acceptance separated from soft-tip requirements</w:t>
            </w:r>
          </w:p>
        </w:tc>
      </w:tr>
      <w:tr>
        <w:tc>
          <w:tcPr>
            <w:tcW w:type="dxa" w:w="7344"/>
            <w:vAlign w:val="top"/>
            <w:shd w:fill="F2F5F8"/>
          </w:tcPr>
          <w:p>
            <w:pPr>
              <w:spacing w:after="40"/>
            </w:pPr>
            <w:r/>
            <w:r>
              <w:rPr>
                <w:rFonts w:ascii="Aptos" w:hAnsi="Aptos"/>
                <w:b w:val="0"/>
                <w:sz w:val="16"/>
              </w:rPr>
              <w:t>CVC-G02</w:t>
            </w:r>
          </w:p>
        </w:tc>
        <w:tc>
          <w:tcPr>
            <w:tcW w:type="dxa" w:w="7344"/>
            <w:vAlign w:val="top"/>
            <w:shd w:fill="F2F5F8"/>
          </w:tcPr>
          <w:p>
            <w:pPr>
              <w:spacing w:after="40"/>
            </w:pPr>
            <w:r/>
            <w:r>
              <w:rPr>
                <w:rFonts w:ascii="Aptos" w:hAnsi="Aptos"/>
                <w:b w:val="0"/>
                <w:sz w:val="16"/>
              </w:rPr>
              <w:t>P2</w:t>
            </w:r>
          </w:p>
        </w:tc>
        <w:tc>
          <w:tcPr>
            <w:tcW w:type="dxa" w:w="7344"/>
            <w:vAlign w:val="top"/>
            <w:shd w:fill="F2F5F8"/>
          </w:tcPr>
          <w:p>
            <w:pPr>
              <w:spacing w:after="40"/>
            </w:pPr>
            <w:r/>
            <w:r>
              <w:rPr>
                <w:rFonts w:ascii="Aptos" w:hAnsi="Aptos"/>
                <w:b w:val="0"/>
                <w:sz w:val="16"/>
              </w:rPr>
              <w:t>Flow-rate recording and lumen-specific criterion</w:t>
            </w:r>
          </w:p>
        </w:tc>
      </w:tr>
      <w:tr>
        <w:tc>
          <w:tcPr>
            <w:tcW w:type="dxa" w:w="7344"/>
            <w:vAlign w:val="top"/>
          </w:tcPr>
          <w:p>
            <w:pPr>
              <w:spacing w:after="40"/>
            </w:pPr>
            <w:r/>
            <w:r>
              <w:rPr>
                <w:rFonts w:ascii="Aptos" w:hAnsi="Aptos"/>
                <w:b w:val="0"/>
                <w:sz w:val="16"/>
              </w:rPr>
              <w:t>CVC-G03</w:t>
            </w:r>
          </w:p>
        </w:tc>
        <w:tc>
          <w:tcPr>
            <w:tcW w:type="dxa" w:w="7344"/>
            <w:vAlign w:val="top"/>
          </w:tcPr>
          <w:p>
            <w:pPr>
              <w:spacing w:after="40"/>
            </w:pPr>
            <w:r/>
            <w:r>
              <w:rPr>
                <w:rFonts w:ascii="Aptos" w:hAnsi="Aptos"/>
                <w:b w:val="0"/>
                <w:sz w:val="16"/>
              </w:rPr>
              <w:t>P2</w:t>
            </w:r>
          </w:p>
        </w:tc>
        <w:tc>
          <w:tcPr>
            <w:tcW w:type="dxa" w:w="7344"/>
            <w:vAlign w:val="top"/>
          </w:tcPr>
          <w:p>
            <w:pPr>
              <w:spacing w:after="40"/>
            </w:pPr>
            <w:r/>
            <w:r>
              <w:rPr>
                <w:rFonts w:ascii="Aptos" w:hAnsi="Aptos"/>
                <w:b w:val="0"/>
                <w:sz w:val="16"/>
              </w:rPr>
              <w:t>Objective magnification for patient-contacting surface examination</w:t>
            </w:r>
          </w:p>
        </w:tc>
      </w:tr>
      <w:tr>
        <w:tc>
          <w:tcPr>
            <w:tcW w:type="dxa" w:w="7344"/>
            <w:vAlign w:val="top"/>
            <w:shd w:fill="F2F5F8"/>
          </w:tcPr>
          <w:p>
            <w:pPr>
              <w:spacing w:after="40"/>
            </w:pPr>
            <w:r/>
            <w:r>
              <w:rPr>
                <w:rFonts w:ascii="Aptos" w:hAnsi="Aptos"/>
                <w:b w:val="0"/>
                <w:sz w:val="16"/>
              </w:rPr>
              <w:t>CVC-G04</w:t>
            </w:r>
          </w:p>
        </w:tc>
        <w:tc>
          <w:tcPr>
            <w:tcW w:type="dxa" w:w="7344"/>
            <w:vAlign w:val="top"/>
            <w:shd w:fill="F2F5F8"/>
          </w:tcPr>
          <w:p>
            <w:pPr>
              <w:spacing w:after="40"/>
            </w:pPr>
            <w:r/>
            <w:r>
              <w:rPr>
                <w:rFonts w:ascii="Aptos" w:hAnsi="Aptos"/>
                <w:b w:val="0"/>
                <w:sz w:val="16"/>
              </w:rPr>
              <w:t>P2</w:t>
            </w:r>
          </w:p>
        </w:tc>
        <w:tc>
          <w:tcPr>
            <w:tcW w:type="dxa" w:w="7344"/>
            <w:vAlign w:val="top"/>
            <w:shd w:fill="F2F5F8"/>
          </w:tcPr>
          <w:p>
            <w:pPr>
              <w:spacing w:after="40"/>
            </w:pPr>
            <w:r/>
            <w:r>
              <w:rPr>
                <w:rFonts w:ascii="Aptos" w:hAnsi="Aptos"/>
                <w:b w:val="0"/>
                <w:sz w:val="16"/>
              </w:rPr>
              <w:t>Radio-detectability traceability and risk applicability</w:t>
            </w:r>
          </w:p>
        </w:tc>
      </w:tr>
      <w:tr>
        <w:tc>
          <w:tcPr>
            <w:tcW w:type="dxa" w:w="7344"/>
            <w:vAlign w:val="top"/>
          </w:tcPr>
          <w:p>
            <w:pPr>
              <w:spacing w:after="40"/>
            </w:pPr>
            <w:r/>
            <w:r>
              <w:rPr>
                <w:rFonts w:ascii="Aptos" w:hAnsi="Aptos"/>
                <w:b w:val="0"/>
                <w:sz w:val="16"/>
              </w:rPr>
              <w:t>CVC-G05</w:t>
            </w:r>
          </w:p>
        </w:tc>
        <w:tc>
          <w:tcPr>
            <w:tcW w:type="dxa" w:w="7344"/>
            <w:vAlign w:val="top"/>
          </w:tcPr>
          <w:p>
            <w:pPr>
              <w:spacing w:after="40"/>
            </w:pPr>
            <w:r/>
            <w:r>
              <w:rPr>
                <w:rFonts w:ascii="Aptos" w:hAnsi="Aptos"/>
                <w:b w:val="0"/>
                <w:sz w:val="16"/>
              </w:rPr>
              <w:t>P1</w:t>
            </w:r>
          </w:p>
        </w:tc>
        <w:tc>
          <w:tcPr>
            <w:tcW w:type="dxa" w:w="7344"/>
            <w:vAlign w:val="top"/>
          </w:tcPr>
          <w:p>
            <w:pPr>
              <w:spacing w:after="40"/>
            </w:pPr>
            <w:r/>
            <w:r>
              <w:rPr>
                <w:rFonts w:ascii="Aptos" w:hAnsi="Aptos"/>
                <w:b w:val="0"/>
                <w:sz w:val="16"/>
              </w:rPr>
              <w:t>Liquid-pressure and aspiration-air leakage verification</w:t>
            </w:r>
          </w:p>
        </w:tc>
      </w:tr>
      <w:tr>
        <w:tc>
          <w:tcPr>
            <w:tcW w:type="dxa" w:w="7344"/>
            <w:vAlign w:val="top"/>
            <w:shd w:fill="F2F5F8"/>
          </w:tcPr>
          <w:p>
            <w:pPr>
              <w:spacing w:after="40"/>
            </w:pPr>
            <w:r/>
            <w:r>
              <w:rPr>
                <w:rFonts w:ascii="Aptos" w:hAnsi="Aptos"/>
                <w:b w:val="0"/>
                <w:sz w:val="16"/>
              </w:rPr>
              <w:t>CVC-G06</w:t>
            </w:r>
          </w:p>
        </w:tc>
        <w:tc>
          <w:tcPr>
            <w:tcW w:type="dxa" w:w="7344"/>
            <w:vAlign w:val="top"/>
            <w:shd w:fill="F2F5F8"/>
          </w:tcPr>
          <w:p>
            <w:pPr>
              <w:spacing w:after="40"/>
            </w:pPr>
            <w:r/>
            <w:r>
              <w:rPr>
                <w:rFonts w:ascii="Aptos" w:hAnsi="Aptos"/>
                <w:b w:val="0"/>
                <w:sz w:val="16"/>
              </w:rPr>
              <w:t>P1</w:t>
            </w:r>
          </w:p>
        </w:tc>
        <w:tc>
          <w:tcPr>
            <w:tcW w:type="dxa" w:w="7344"/>
            <w:vAlign w:val="top"/>
            <w:shd w:fill="F2F5F8"/>
          </w:tcPr>
          <w:p>
            <w:pPr>
              <w:spacing w:after="40"/>
            </w:pPr>
            <w:r/>
            <w:r>
              <w:rPr>
                <w:rFonts w:ascii="Aptos" w:hAnsi="Aptos"/>
                <w:b w:val="0"/>
                <w:sz w:val="16"/>
              </w:rPr>
              <w:t>Guidewire safety, fracture/flexing and tensile evidence</w:t>
            </w:r>
          </w:p>
        </w:tc>
      </w:tr>
      <w:tr>
        <w:tc>
          <w:tcPr>
            <w:tcW w:type="dxa" w:w="7344"/>
            <w:vAlign w:val="top"/>
          </w:tcPr>
          <w:p>
            <w:pPr>
              <w:spacing w:after="40"/>
            </w:pPr>
            <w:r/>
            <w:r>
              <w:rPr>
                <w:rFonts w:ascii="Aptos" w:hAnsi="Aptos"/>
                <w:b w:val="0"/>
                <w:sz w:val="16"/>
              </w:rPr>
              <w:t>CVC-G07</w:t>
            </w:r>
          </w:p>
        </w:tc>
        <w:tc>
          <w:tcPr>
            <w:tcW w:type="dxa" w:w="7344"/>
            <w:vAlign w:val="top"/>
          </w:tcPr>
          <w:p>
            <w:pPr>
              <w:spacing w:after="40"/>
            </w:pPr>
            <w:r/>
            <w:r>
              <w:rPr>
                <w:rFonts w:ascii="Aptos" w:hAnsi="Aptos"/>
                <w:b w:val="0"/>
                <w:sz w:val="16"/>
              </w:rPr>
              <w:t>P1</w:t>
            </w:r>
          </w:p>
        </w:tc>
        <w:tc>
          <w:tcPr>
            <w:tcW w:type="dxa" w:w="7344"/>
            <w:vAlign w:val="top"/>
          </w:tcPr>
          <w:p>
            <w:pPr>
              <w:spacing w:after="40"/>
            </w:pPr>
            <w:r/>
            <w:r>
              <w:rPr>
                <w:rFonts w:ascii="Aptos" w:hAnsi="Aptos"/>
                <w:b w:val="0"/>
                <w:sz w:val="16"/>
              </w:rPr>
              <w:t>Introducer-needle hub union force by size</w:t>
            </w:r>
          </w:p>
        </w:tc>
      </w:tr>
      <w:tr>
        <w:tc>
          <w:tcPr>
            <w:tcW w:type="dxa" w:w="7344"/>
            <w:vAlign w:val="top"/>
            <w:shd w:fill="F2F5F8"/>
          </w:tcPr>
          <w:p>
            <w:pPr>
              <w:spacing w:after="40"/>
            </w:pPr>
            <w:r/>
            <w:r>
              <w:rPr>
                <w:rFonts w:ascii="Aptos" w:hAnsi="Aptos"/>
                <w:b w:val="0"/>
                <w:sz w:val="16"/>
              </w:rPr>
              <w:t>CVC-G08</w:t>
            </w:r>
          </w:p>
        </w:tc>
        <w:tc>
          <w:tcPr>
            <w:tcW w:type="dxa" w:w="7344"/>
            <w:vAlign w:val="top"/>
            <w:shd w:fill="F2F5F8"/>
          </w:tcPr>
          <w:p>
            <w:pPr>
              <w:spacing w:after="40"/>
            </w:pPr>
            <w:r/>
            <w:r>
              <w:rPr>
                <w:rFonts w:ascii="Aptos" w:hAnsi="Aptos"/>
                <w:b w:val="0"/>
                <w:sz w:val="16"/>
              </w:rPr>
              <w:t>P1</w:t>
            </w:r>
          </w:p>
        </w:tc>
        <w:tc>
          <w:tcPr>
            <w:tcW w:type="dxa" w:w="7344"/>
            <w:vAlign w:val="top"/>
            <w:shd w:fill="F2F5F8"/>
          </w:tcPr>
          <w:p>
            <w:pPr>
              <w:spacing w:after="40"/>
            </w:pPr>
            <w:r/>
            <w:r>
              <w:rPr>
                <w:rFonts w:ascii="Aptos" w:hAnsi="Aptos"/>
                <w:b w:val="0"/>
                <w:sz w:val="16"/>
              </w:rPr>
              <w:t>Hypodermic-needle bonding and lumen patency</w:t>
            </w:r>
          </w:p>
        </w:tc>
      </w:tr>
      <w:tr>
        <w:tc>
          <w:tcPr>
            <w:tcW w:type="dxa" w:w="7344"/>
            <w:vAlign w:val="top"/>
          </w:tcPr>
          <w:p>
            <w:pPr>
              <w:spacing w:after="40"/>
            </w:pPr>
            <w:r/>
            <w:r>
              <w:rPr>
                <w:rFonts w:ascii="Aptos" w:hAnsi="Aptos"/>
                <w:b w:val="0"/>
                <w:sz w:val="16"/>
              </w:rPr>
              <w:t>CVC-G09</w:t>
            </w:r>
          </w:p>
        </w:tc>
        <w:tc>
          <w:tcPr>
            <w:tcW w:type="dxa" w:w="7344"/>
            <w:vAlign w:val="top"/>
          </w:tcPr>
          <w:p>
            <w:pPr>
              <w:spacing w:after="40"/>
            </w:pPr>
            <w:r/>
            <w:r>
              <w:rPr>
                <w:rFonts w:ascii="Aptos" w:hAnsi="Aptos"/>
                <w:b w:val="0"/>
                <w:sz w:val="16"/>
              </w:rPr>
              <w:t>P1</w:t>
            </w:r>
          </w:p>
        </w:tc>
        <w:tc>
          <w:tcPr>
            <w:tcW w:type="dxa" w:w="7344"/>
            <w:vAlign w:val="top"/>
          </w:tcPr>
          <w:p>
            <w:pPr>
              <w:spacing w:after="40"/>
            </w:pPr>
            <w:r/>
            <w:r>
              <w:rPr>
                <w:rFonts w:ascii="Aptos" w:hAnsi="Aptos"/>
                <w:b w:val="0"/>
                <w:sz w:val="16"/>
              </w:rPr>
              <w:t>Dilator hub and body peak tensile force</w:t>
            </w:r>
          </w:p>
        </w:tc>
      </w:tr>
      <w:tr>
        <w:tc>
          <w:tcPr>
            <w:tcW w:type="dxa" w:w="7344"/>
            <w:vAlign w:val="top"/>
            <w:shd w:fill="F2F5F8"/>
          </w:tcPr>
          <w:p>
            <w:pPr>
              <w:spacing w:after="40"/>
            </w:pPr>
            <w:r/>
            <w:r>
              <w:rPr>
                <w:rFonts w:ascii="Aptos" w:hAnsi="Aptos"/>
                <w:b w:val="0"/>
                <w:sz w:val="16"/>
              </w:rPr>
              <w:t>CVC-G10</w:t>
            </w:r>
          </w:p>
        </w:tc>
        <w:tc>
          <w:tcPr>
            <w:tcW w:type="dxa" w:w="7344"/>
            <w:vAlign w:val="top"/>
            <w:shd w:fill="F2F5F8"/>
          </w:tcPr>
          <w:p>
            <w:pPr>
              <w:spacing w:after="40"/>
            </w:pPr>
            <w:r/>
            <w:r>
              <w:rPr>
                <w:rFonts w:ascii="Aptos" w:hAnsi="Aptos"/>
                <w:b w:val="0"/>
                <w:sz w:val="16"/>
              </w:rPr>
              <w:t>P2</w:t>
            </w:r>
          </w:p>
        </w:tc>
        <w:tc>
          <w:tcPr>
            <w:tcW w:type="dxa" w:w="7344"/>
            <w:vAlign w:val="top"/>
            <w:shd w:fill="F2F5F8"/>
          </w:tcPr>
          <w:p>
            <w:pPr>
              <w:spacing w:after="40"/>
            </w:pPr>
            <w:r/>
            <w:r>
              <w:rPr>
                <w:rFonts w:ascii="Aptos" w:hAnsi="Aptos"/>
                <w:b w:val="0"/>
                <w:sz w:val="16"/>
              </w:rPr>
              <w:t>Syringe functional performance evidence</w:t>
            </w:r>
          </w:p>
        </w:tc>
      </w:tr>
      <w:tr>
        <w:tc>
          <w:tcPr>
            <w:tcW w:type="dxa" w:w="7344"/>
            <w:vAlign w:val="top"/>
          </w:tcPr>
          <w:p>
            <w:pPr>
              <w:spacing w:after="40"/>
            </w:pPr>
            <w:r/>
            <w:r>
              <w:rPr>
                <w:rFonts w:ascii="Aptos" w:hAnsi="Aptos"/>
                <w:b w:val="0"/>
                <w:sz w:val="16"/>
              </w:rPr>
              <w:t>CVC-G11</w:t>
            </w:r>
          </w:p>
        </w:tc>
        <w:tc>
          <w:tcPr>
            <w:tcW w:type="dxa" w:w="7344"/>
            <w:vAlign w:val="top"/>
          </w:tcPr>
          <w:p>
            <w:pPr>
              <w:spacing w:after="40"/>
            </w:pPr>
            <w:r/>
            <w:r>
              <w:rPr>
                <w:rFonts w:ascii="Aptos" w:hAnsi="Aptos"/>
                <w:b w:val="0"/>
                <w:sz w:val="16"/>
              </w:rPr>
              <w:t>P1</w:t>
            </w:r>
          </w:p>
        </w:tc>
        <w:tc>
          <w:tcPr>
            <w:tcW w:type="dxa" w:w="7344"/>
            <w:vAlign w:val="top"/>
          </w:tcPr>
          <w:p>
            <w:pPr>
              <w:spacing w:after="40"/>
            </w:pPr>
            <w:r/>
            <w:r>
              <w:rPr>
                <w:rFonts w:ascii="Aptos" w:hAnsi="Aptos"/>
                <w:b w:val="0"/>
                <w:sz w:val="16"/>
              </w:rPr>
              <w:t>Luer connector type-test linkage</w:t>
            </w:r>
          </w:p>
        </w:tc>
      </w:tr>
      <w:tr>
        <w:tc>
          <w:tcPr>
            <w:tcW w:type="dxa" w:w="7344"/>
            <w:vAlign w:val="top"/>
            <w:shd w:fill="F2F5F8"/>
          </w:tcPr>
          <w:p>
            <w:pPr>
              <w:spacing w:after="40"/>
            </w:pPr>
            <w:r/>
            <w:r>
              <w:rPr>
                <w:rFonts w:ascii="Aptos" w:hAnsi="Aptos"/>
                <w:b w:val="0"/>
                <w:sz w:val="16"/>
              </w:rPr>
              <w:t>CVC-G12</w:t>
            </w:r>
          </w:p>
        </w:tc>
        <w:tc>
          <w:tcPr>
            <w:tcW w:type="dxa" w:w="7344"/>
            <w:vAlign w:val="top"/>
            <w:shd w:fill="F2F5F8"/>
          </w:tcPr>
          <w:p>
            <w:pPr>
              <w:spacing w:after="40"/>
            </w:pPr>
            <w:r/>
            <w:r>
              <w:rPr>
                <w:rFonts w:ascii="Aptos" w:hAnsi="Aptos"/>
                <w:b w:val="0"/>
                <w:sz w:val="16"/>
              </w:rPr>
              <w:t>P1</w:t>
            </w:r>
          </w:p>
        </w:tc>
        <w:tc>
          <w:tcPr>
            <w:tcW w:type="dxa" w:w="7344"/>
            <w:vAlign w:val="top"/>
            <w:shd w:fill="F2F5F8"/>
          </w:tcPr>
          <w:p>
            <w:pPr>
              <w:spacing w:after="40"/>
            </w:pPr>
            <w:r/>
            <w:r>
              <w:rPr>
                <w:rFonts w:ascii="Aptos" w:hAnsi="Aptos"/>
                <w:b w:val="0"/>
                <w:sz w:val="16"/>
              </w:rPr>
              <w:t>Validated EO cycle and sterilization release record traceability</w:t>
            </w:r>
          </w:p>
        </w:tc>
      </w:tr>
      <w:tr>
        <w:tc>
          <w:tcPr>
            <w:tcW w:type="dxa" w:w="7344"/>
            <w:vAlign w:val="top"/>
          </w:tcPr>
          <w:p>
            <w:pPr>
              <w:spacing w:after="40"/>
            </w:pPr>
            <w:r/>
            <w:r>
              <w:rPr>
                <w:rFonts w:ascii="Aptos" w:hAnsi="Aptos"/>
                <w:b w:val="0"/>
                <w:sz w:val="16"/>
              </w:rPr>
              <w:t>CVC-G13</w:t>
            </w:r>
          </w:p>
        </w:tc>
        <w:tc>
          <w:tcPr>
            <w:tcW w:type="dxa" w:w="7344"/>
            <w:vAlign w:val="top"/>
          </w:tcPr>
          <w:p>
            <w:pPr>
              <w:spacing w:after="40"/>
            </w:pPr>
            <w:r/>
            <w:r>
              <w:rPr>
                <w:rFonts w:ascii="Aptos" w:hAnsi="Aptos"/>
                <w:b w:val="0"/>
                <w:sz w:val="16"/>
              </w:rPr>
              <w:t>P2</w:t>
            </w:r>
          </w:p>
        </w:tc>
        <w:tc>
          <w:tcPr>
            <w:tcW w:type="dxa" w:w="7344"/>
            <w:vAlign w:val="top"/>
          </w:tcPr>
          <w:p>
            <w:pPr>
              <w:spacing w:after="40"/>
            </w:pPr>
            <w:r/>
            <w:r>
              <w:rPr>
                <w:rFonts w:ascii="Aptos" w:hAnsi="Aptos"/>
                <w:b w:val="0"/>
                <w:sz w:val="16"/>
              </w:rPr>
              <w:t>Conflicting F-823-i13-2 description and record ownership</w:t>
            </w:r>
          </w:p>
        </w:tc>
      </w:tr>
      <w:tr>
        <w:tc>
          <w:tcPr>
            <w:tcW w:type="dxa" w:w="7344"/>
            <w:vAlign w:val="top"/>
            <w:shd w:fill="F2F5F8"/>
          </w:tcPr>
          <w:p>
            <w:pPr>
              <w:spacing w:after="40"/>
            </w:pPr>
            <w:r/>
            <w:r>
              <w:rPr>
                <w:rFonts w:ascii="Aptos" w:hAnsi="Aptos"/>
                <w:b w:val="0"/>
                <w:sz w:val="16"/>
              </w:rPr>
              <w:t>CVC-G14</w:t>
            </w:r>
          </w:p>
        </w:tc>
        <w:tc>
          <w:tcPr>
            <w:tcW w:type="dxa" w:w="7344"/>
            <w:vAlign w:val="top"/>
            <w:shd w:fill="F2F5F8"/>
          </w:tcPr>
          <w:p>
            <w:pPr>
              <w:spacing w:after="40"/>
            </w:pPr>
            <w:r/>
            <w:r>
              <w:rPr>
                <w:rFonts w:ascii="Aptos" w:hAnsi="Aptos"/>
                <w:b w:val="0"/>
                <w:sz w:val="16"/>
              </w:rPr>
              <w:t>P2</w:t>
            </w:r>
          </w:p>
        </w:tc>
        <w:tc>
          <w:tcPr>
            <w:tcW w:type="dxa" w:w="7344"/>
            <w:vAlign w:val="top"/>
            <w:shd w:fill="F2F5F8"/>
          </w:tcPr>
          <w:p>
            <w:pPr>
              <w:spacing w:after="40"/>
            </w:pPr>
            <w:r/>
            <w:r>
              <w:rPr>
                <w:rFonts w:ascii="Aptos" w:hAnsi="Aptos"/>
                <w:b w:val="0"/>
                <w:sz w:val="16"/>
              </w:rPr>
              <w:t>Approval of applicable kit components and quantified checks</w:t>
            </w:r>
          </w:p>
        </w:tc>
      </w:tr>
    </w:tbl>
    <w:p>
      <w:pPr>
        <w:pStyle w:val="Heading1"/>
      </w:pPr>
      <w:r>
        <w:t>7. MASTER GAP &amp; REVISION TABLE</w:t>
      </w:r>
    </w:p>
    <w:p>
      <w:r>
        <w:t>The seven governing columns below carry both the source-derived findings and full proposed corrective wording. All closure statuses remain open until the recorded evidence is reviewed.</w:t>
      </w:r>
    </w:p>
    <w:tbl>
      <w:tblPr>
        <w:tblStyle w:val="TableGrid"/>
        <w:tblW w:type="auto" w:w="0"/>
        <w:jc w:val="center"/>
        <w:tblLayout w:type="fixed"/>
        <w:tblLook w:firstColumn="1" w:firstRow="1" w:lastColumn="0" w:lastRow="0" w:noHBand="0" w:noVBand="1" w:val="04A0"/>
      </w:tblPr>
      <w:tblGrid>
        <w:gridCol w:w="3147"/>
        <w:gridCol w:w="3147"/>
        <w:gridCol w:w="3147"/>
        <w:gridCol w:w="3147"/>
        <w:gridCol w:w="3147"/>
        <w:gridCol w:w="3147"/>
        <w:gridCol w:w="3147"/>
      </w:tblGrid>
      <w:tr>
        <w:trPr>
          <w:tblHeader w:val="true"/>
        </w:trPr>
        <w:tc>
          <w:tcPr>
            <w:tcW w:type="dxa" w:w="2592"/>
            <w:shd w:fill="12304C"/>
          </w:tcPr>
          <w:p>
            <w:pPr>
              <w:spacing w:after="40"/>
            </w:pPr>
            <w:r>
              <w:rPr>
                <w:color w:val="FFFFFF"/>
              </w:rPr>
            </w:r>
            <w:r>
              <w:rPr>
                <w:rFonts w:ascii="Aptos" w:hAnsi="Aptos"/>
                <w:b/>
                <w:color w:val="FFFFFF"/>
                <w:sz w:val="16"/>
              </w:rPr>
              <w:t>Gap / Our Problem</w:t>
            </w:r>
          </w:p>
        </w:tc>
        <w:tc>
          <w:tcPr>
            <w:tcW w:type="dxa" w:w="2880"/>
            <w:shd w:fill="12304C"/>
          </w:tcPr>
          <w:p>
            <w:pPr>
              <w:spacing w:after="40"/>
            </w:pPr>
            <w:r>
              <w:rPr>
                <w:color w:val="FFFFFF"/>
              </w:rPr>
            </w:r>
            <w:r>
              <w:rPr>
                <w:rFonts w:ascii="Aptos" w:hAnsi="Aptos"/>
                <w:b/>
                <w:color w:val="FFFFFF"/>
                <w:sz w:val="16"/>
              </w:rPr>
              <w:t>ISO Says</w:t>
            </w:r>
          </w:p>
        </w:tc>
        <w:tc>
          <w:tcPr>
            <w:tcW w:type="dxa" w:w="2520"/>
            <w:shd w:fill="12304C"/>
          </w:tcPr>
          <w:p>
            <w:pPr>
              <w:spacing w:after="40"/>
            </w:pPr>
            <w:r>
              <w:rPr>
                <w:color w:val="FFFFFF"/>
              </w:rPr>
            </w:r>
            <w:r>
              <w:rPr>
                <w:rFonts w:ascii="Aptos" w:hAnsi="Aptos"/>
                <w:b/>
                <w:color w:val="FFFFFF"/>
                <w:sz w:val="16"/>
              </w:rPr>
              <w:t>Existing WI Text</w:t>
            </w:r>
          </w:p>
        </w:tc>
        <w:tc>
          <w:tcPr>
            <w:tcW w:type="dxa" w:w="4104"/>
            <w:shd w:fill="12304C"/>
          </w:tcPr>
          <w:p>
            <w:pPr>
              <w:spacing w:after="40"/>
            </w:pPr>
            <w:r>
              <w:rPr>
                <w:color w:val="FFFFFF"/>
              </w:rPr>
            </w:r>
            <w:r>
              <w:rPr>
                <w:rFonts w:ascii="Aptos" w:hAnsi="Aptos"/>
                <w:b/>
                <w:color w:val="FFFFFF"/>
                <w:sz w:val="16"/>
              </w:rPr>
              <w:t>Revised WI Text</w:t>
            </w:r>
          </w:p>
        </w:tc>
        <w:tc>
          <w:tcPr>
            <w:tcW w:type="dxa" w:w="2448"/>
            <w:shd w:fill="12304C"/>
          </w:tcPr>
          <w:p>
            <w:pPr>
              <w:spacing w:after="40"/>
            </w:pPr>
            <w:r>
              <w:rPr>
                <w:color w:val="FFFFFF"/>
              </w:rPr>
            </w:r>
            <w:r>
              <w:rPr>
                <w:rFonts w:ascii="Aptos" w:hAnsi="Aptos"/>
                <w:b/>
                <w:color w:val="FFFFFF"/>
                <w:sz w:val="16"/>
              </w:rPr>
              <w:t>Existing Inspection Text</w:t>
            </w:r>
          </w:p>
        </w:tc>
        <w:tc>
          <w:tcPr>
            <w:tcW w:type="dxa" w:w="4104"/>
            <w:shd w:fill="12304C"/>
          </w:tcPr>
          <w:p>
            <w:pPr>
              <w:spacing w:after="40"/>
            </w:pPr>
            <w:r>
              <w:rPr>
                <w:color w:val="FFFFFF"/>
              </w:rPr>
            </w:r>
            <w:r>
              <w:rPr>
                <w:rFonts w:ascii="Aptos" w:hAnsi="Aptos"/>
                <w:b/>
                <w:color w:val="FFFFFF"/>
                <w:sz w:val="16"/>
              </w:rPr>
              <w:t>Revised Inspection Text</w:t>
            </w:r>
          </w:p>
        </w:tc>
        <w:tc>
          <w:tcPr>
            <w:tcW w:type="dxa" w:w="3312"/>
            <w:shd w:fill="12304C"/>
          </w:tcPr>
          <w:p>
            <w:pPr>
              <w:spacing w:after="40"/>
            </w:pPr>
            <w:r>
              <w:rPr>
                <w:color w:val="FFFFFF"/>
              </w:rPr>
            </w:r>
            <w:r>
              <w:rPr>
                <w:rFonts w:ascii="Aptos" w:hAnsi="Aptos"/>
                <w:b/>
                <w:color w:val="FFFFFF"/>
                <w:sz w:val="16"/>
              </w:rPr>
              <w:t>Evidence (ISO Closure)</w:t>
            </w:r>
          </w:p>
        </w:tc>
      </w:tr>
      <w:tr>
        <w:tc>
          <w:tcPr>
            <w:tcW w:type="dxa" w:w="2592"/>
            <w:vAlign w:val="top"/>
          </w:tcPr>
          <w:p>
            <w:pPr>
              <w:spacing w:after="40"/>
            </w:pPr>
            <w:r/>
            <w:r>
              <w:rPr>
                <w:rFonts w:ascii="Aptos" w:hAnsi="Aptos"/>
                <w:b w:val="0"/>
                <w:sz w:val="14"/>
              </w:rPr>
              <w:t>CVC-G01 | P1 | Catheter-shaft tensile acceptance separated from soft-tip requirements</w:t>
              <w:br/>
              <w:t>Problem: Existing control cannot prove the full verified requirement or its approved alternative route.</w:t>
            </w:r>
          </w:p>
        </w:tc>
        <w:tc>
          <w:tcPr>
            <w:tcW w:type="dxa" w:w="2880"/>
            <w:vAlign w:val="top"/>
          </w:tcPr>
          <w:p>
            <w:pPr>
              <w:spacing w:after="40"/>
            </w:pPr>
            <w:r/>
            <w:r>
              <w:rPr>
                <w:rFonts w:ascii="Aptos" w:hAnsi="Aptos"/>
                <w:b w:val="0"/>
                <w:sz w:val="14"/>
              </w:rPr>
              <w:t>ISO 10555-1:2013+A1:2017, 4.6, Table 1, ISO p.5, PDF p.15; ISO 10555-3:2013, 4.4, Table 1, ISO p.2, PDF p.10</w:t>
              <w:br/>
              <w:t>ISO Says: ISO 10555-1 requires catheter test-piece peak tensile minimums of 3 N (0.55–&lt;0.75 mm), 5 N (0.75–&lt;1.15 mm), 10 N (1.15–&lt;1.85 mm) and 15 N (&gt;=1.85 mm); soft-tip junctions of specified geometry are assessed separately under ISO 10555-3.</w:t>
            </w:r>
          </w:p>
        </w:tc>
        <w:tc>
          <w:tcPr>
            <w:tcW w:type="dxa" w:w="2520"/>
            <w:vAlign w:val="top"/>
          </w:tcPr>
          <w:p>
            <w:pPr>
              <w:spacing w:after="40"/>
            </w:pPr>
            <w:r/>
            <w:r>
              <w:rPr>
                <w:rFonts w:ascii="Aptos" w:hAnsi="Aptos"/>
                <w:b w:val="0"/>
                <w:sz w:val="14"/>
              </w:rPr>
              <w:t>WI-DD-02 Rev.3, p.3 §5.3.3 lists 3/4/5 N as “tensile force of the catheter”; p.9 §6.1 says pull test “more than 20 N/min”.</w:t>
            </w:r>
          </w:p>
        </w:tc>
        <w:tc>
          <w:tcPr>
            <w:tcW w:type="dxa" w:w="4104"/>
            <w:vAlign w:val="top"/>
          </w:tcPr>
          <w:p>
            <w:pPr>
              <w:spacing w:after="40"/>
            </w:pPr>
            <w:r/>
            <w:r>
              <w:rPr>
                <w:rFonts w:ascii="Aptos" w:hAnsi="Aptos"/>
                <w:b w:val="0"/>
                <w:sz w:val="14"/>
              </w:rPr>
              <w:t>Proposed §5.3.3 and §8.5: Identify each test-piece location, smallest relevant outside diameter and connection type before tensile verification. For catheter shaft and junctions within ISO 10555-1 scope, apply ISO 10555-1:2013+A1:2017 §4.6 Table 1 with Annex B method and record peak tensile force (N). For soft-tip junctions use ISO 10555-3 §4.4 and its applicable Table 1 only when the design falls within its stated scope. Retain any separately approved higher company requirement only with a traceable, component-specific specification and method. Do not treat “N/min” as a force unit.</w:t>
            </w:r>
          </w:p>
        </w:tc>
        <w:tc>
          <w:tcPr>
            <w:tcW w:type="dxa" w:w="2448"/>
            <w:vAlign w:val="top"/>
          </w:tcPr>
          <w:p>
            <w:pPr>
              <w:spacing w:after="40"/>
            </w:pPr>
            <w:r/>
            <w:r>
              <w:rPr>
                <w:rFonts w:ascii="Aptos" w:hAnsi="Aptos"/>
                <w:b w:val="0"/>
                <w:sz w:val="14"/>
              </w:rPr>
              <w:t>F-823-i13 Rev.6, row 17: “Pull test / 20 N, min. – No limit”; F-823-i13-2 Rev.1, row 43 same language.</w:t>
            </w:r>
          </w:p>
        </w:tc>
        <w:tc>
          <w:tcPr>
            <w:tcW w:type="dxa" w:w="4104"/>
            <w:vAlign w:val="top"/>
          </w:tcPr>
          <w:p>
            <w:pPr>
              <w:spacing w:after="40"/>
            </w:pPr>
            <w:r/>
            <w:r>
              <w:rPr>
                <w:rFonts w:ascii="Aptos" w:hAnsi="Aptos"/>
                <w:b w:val="0"/>
                <w:sz w:val="14"/>
              </w:rPr>
              <w:t>For the applicable test: Component/test piece ID; diameter (mm); standard/method ID; specification number/rev; required peak tensile force (N); observed peak force (N); equipment/calibration; specimen and lot ID; Pass/Fail/Pending; protocol/results attachment. If separately verified through qualification or periodic evidence, record that reference and do not force an hourly destructive test.</w:t>
            </w:r>
          </w:p>
        </w:tc>
        <w:tc>
          <w:tcPr>
            <w:tcW w:type="dxa" w:w="3312"/>
            <w:vAlign w:val="top"/>
          </w:tcPr>
          <w:p>
            <w:pPr>
              <w:spacing w:after="40"/>
            </w:pPr>
            <w:r/>
            <w:r>
              <w:rPr>
                <w:rFonts w:ascii="Aptos" w:hAnsi="Aptos"/>
                <w:b w:val="0"/>
                <w:sz w:val="14"/>
              </w:rPr>
              <w:t>Required Evidence: Approved tensile matrix by component and size; Annex B or relevant soft-tip method report; instrument calibration; qualified test records and lot/design linkage. Existing 20 N criterion requires controlled authorization and rationale. Status: OPEN — TECHNICAL INPUT / EVIDENCE.</w:t>
              <w:br/>
              <w:t>Verification route: Qualification / periodic controlled evidence</w:t>
              <w:br/>
              <w:t>Available ID: NOT VERIFIED</w:t>
              <w:br/>
              <w:t>Current closure: OPEN — NOT VERIFIED</w:t>
            </w:r>
          </w:p>
        </w:tc>
      </w:tr>
      <w:tr>
        <w:tc>
          <w:tcPr>
            <w:tcW w:type="dxa" w:w="2592"/>
            <w:vAlign w:val="top"/>
            <w:shd w:fill="F2F5F8"/>
          </w:tcPr>
          <w:p>
            <w:pPr>
              <w:spacing w:after="40"/>
            </w:pPr>
            <w:r/>
            <w:r>
              <w:rPr>
                <w:rFonts w:ascii="Aptos" w:hAnsi="Aptos"/>
                <w:b w:val="0"/>
                <w:sz w:val="14"/>
              </w:rPr>
              <w:t>CVC-G02 | P2 | Flow-rate recording and lumen-specific criterion</w:t>
              <w:br/>
              <w:t>Problem: Existing control cannot prove the full verified requirement or its approved alternative route.</w:t>
            </w:r>
          </w:p>
        </w:tc>
        <w:tc>
          <w:tcPr>
            <w:tcW w:type="dxa" w:w="2880"/>
            <w:vAlign w:val="top"/>
            <w:shd w:fill="F2F5F8"/>
          </w:tcPr>
          <w:p>
            <w:pPr>
              <w:spacing w:after="40"/>
            </w:pPr>
            <w:r/>
            <w:r>
              <w:rPr>
                <w:rFonts w:ascii="Aptos" w:hAnsi="Aptos"/>
                <w:b w:val="0"/>
                <w:sz w:val="14"/>
              </w:rPr>
              <w:t>ISO 10555-1:2013+A1:2017, 4.9 and Annex E, ISO p.5, PDF p.15</w:t>
              <w:br/>
              <w:t>ISO Says: For devices with declared flow rate, measured flow for each lumen shall be at least 80% of manufacturer-stated flow when nominal OD &lt;1.0 mm, or 90% when nominal OD &gt;=1.0 mm (Annex E method).</w:t>
            </w:r>
          </w:p>
        </w:tc>
        <w:tc>
          <w:tcPr>
            <w:tcW w:type="dxa" w:w="2520"/>
            <w:vAlign w:val="top"/>
            <w:shd w:fill="F2F5F8"/>
          </w:tcPr>
          <w:p>
            <w:pPr>
              <w:spacing w:after="40"/>
            </w:pPr>
            <w:r/>
            <w:r>
              <w:rPr>
                <w:rFonts w:ascii="Aptos" w:hAnsi="Aptos"/>
                <w:b w:val="0"/>
                <w:sz w:val="14"/>
              </w:rPr>
              <w:t>WI-DD-02 Rev.3, pp.8–9 §6–6.1: flow-related controls referenced broadly; no visible lumen-specific numeric acceptance matrix in these sections.</w:t>
            </w:r>
          </w:p>
        </w:tc>
        <w:tc>
          <w:tcPr>
            <w:tcW w:type="dxa" w:w="4104"/>
            <w:vAlign w:val="top"/>
            <w:shd w:fill="F2F5F8"/>
          </w:tcPr>
          <w:p>
            <w:pPr>
              <w:spacing w:after="40"/>
            </w:pPr>
            <w:r/>
            <w:r>
              <w:rPr>
                <w:rFonts w:ascii="Aptos" w:hAnsi="Aptos"/>
                <w:b w:val="0"/>
                <w:sz w:val="14"/>
              </w:rPr>
              <w:t>Proposed §8.7: For every lumen with declared flow rate, identify nominal OD, claimed flow rate (ml/min), source specification and Annex E procedure. Derive the acceptance minimum by the correct &lt;1.0 mm / &gt;=1.0 mm category, record measured flow and Pass/Fail. Route the test to approved qualification/periodic or routine control plan with documented frequency; retain source data.</w:t>
            </w:r>
          </w:p>
        </w:tc>
        <w:tc>
          <w:tcPr>
            <w:tcW w:type="dxa" w:w="2448"/>
            <w:vAlign w:val="top"/>
            <w:shd w:fill="F2F5F8"/>
          </w:tcPr>
          <w:p>
            <w:pPr>
              <w:spacing w:after="40"/>
            </w:pPr>
            <w:r/>
            <w:r>
              <w:rPr>
                <w:rFonts w:ascii="Aptos" w:hAnsi="Aptos"/>
                <w:b w:val="0"/>
                <w:sz w:val="14"/>
              </w:rPr>
              <w:t>F-823-i13 Rev.6, row 15 “Comply with the specification (DD-02-PS)”; F-823-i13-2 row 41 same without result units.</w:t>
            </w:r>
          </w:p>
        </w:tc>
        <w:tc>
          <w:tcPr>
            <w:tcW w:type="dxa" w:w="4104"/>
            <w:vAlign w:val="top"/>
            <w:shd w:fill="F2F5F8"/>
          </w:tcPr>
          <w:p>
            <w:pPr>
              <w:spacing w:after="40"/>
            </w:pPr>
            <w:r/>
            <w:r>
              <w:rPr>
                <w:rFonts w:ascii="Aptos" w:hAnsi="Aptos"/>
                <w:b w:val="0"/>
                <w:sz w:val="14"/>
              </w:rPr>
              <w:t>Lumen ID; catheter OD (mm); manufacturer claim (ml/min); minimum (ml/min); actual (ml/min); method ID; instrument; sample count; report/lot evidence reference; result.</w:t>
            </w:r>
          </w:p>
        </w:tc>
        <w:tc>
          <w:tcPr>
            <w:tcW w:type="dxa" w:w="3312"/>
            <w:vAlign w:val="top"/>
            <w:shd w:fill="F2F5F8"/>
          </w:tcPr>
          <w:p>
            <w:pPr>
              <w:spacing w:after="40"/>
            </w:pPr>
            <w:r/>
            <w:r>
              <w:rPr>
                <w:rFonts w:ascii="Aptos" w:hAnsi="Aptos"/>
                <w:b w:val="0"/>
                <w:sz w:val="14"/>
              </w:rPr>
              <w:t>Required Evidence: Approved DD-02-PS flow claims and Annex E test reports by lumen; validated frequency decision. Status: OPEN — TECHNICAL INPUT / EVIDENCE.</w:t>
              <w:br/>
              <w:t>Verification route: Qualification / periodic controlled evidence</w:t>
              <w:br/>
              <w:t>Available ID: NOT VERIFIED</w:t>
              <w:br/>
              <w:t>Current closure: OPEN — NOT VERIFIED</w:t>
            </w:r>
          </w:p>
        </w:tc>
      </w:tr>
      <w:tr>
        <w:tc>
          <w:tcPr>
            <w:tcW w:type="dxa" w:w="2592"/>
            <w:vAlign w:val="top"/>
          </w:tcPr>
          <w:p>
            <w:pPr>
              <w:spacing w:after="40"/>
            </w:pPr>
            <w:r/>
            <w:r>
              <w:rPr>
                <w:rFonts w:ascii="Aptos" w:hAnsi="Aptos"/>
                <w:b w:val="0"/>
                <w:sz w:val="14"/>
              </w:rPr>
              <w:t>CVC-G03 | P2 | Objective magnification for patient-contacting surface examination</w:t>
              <w:br/>
              <w:t>Problem: Existing control cannot prove the full verified requirement or its approved alternative route.</w:t>
            </w:r>
          </w:p>
        </w:tc>
        <w:tc>
          <w:tcPr>
            <w:tcW w:type="dxa" w:w="2880"/>
            <w:vAlign w:val="top"/>
          </w:tcPr>
          <w:p>
            <w:pPr>
              <w:spacing w:after="40"/>
            </w:pPr>
            <w:r/>
            <w:r>
              <w:rPr>
                <w:rFonts w:ascii="Aptos" w:hAnsi="Aptos"/>
                <w:b w:val="0"/>
                <w:sz w:val="14"/>
              </w:rPr>
              <w:t>ISO 10555-1:2013+A1:2017, 4.4, ISO p.4, PDF p.14; ISO 11070:2014, 4.3, ISO p.5, PDF p.11</w:t>
              <w:br/>
              <w:t>ISO Says: Catheter external effective surface and applicable intravascular accessory surfaces are examined at minimum 2.5x magnification and must be free of extraneous matter and defects potentially traumatic to vessels.</w:t>
            </w:r>
          </w:p>
        </w:tc>
        <w:tc>
          <w:tcPr>
            <w:tcW w:type="dxa" w:w="2520"/>
            <w:vAlign w:val="top"/>
          </w:tcPr>
          <w:p>
            <w:pPr>
              <w:spacing w:after="40"/>
            </w:pPr>
            <w:r/>
            <w:r>
              <w:rPr>
                <w:rFonts w:ascii="Aptos" w:hAnsi="Aptos"/>
                <w:b w:val="0"/>
                <w:sz w:val="14"/>
              </w:rPr>
              <w:t>WI-DD-02 Rev.3, p.2 §5.3.1 requires smooth, undamaged tubing; p.3 guidewire requires smooth surface; observation method/magnification is not defined in those instructions.</w:t>
            </w:r>
          </w:p>
        </w:tc>
        <w:tc>
          <w:tcPr>
            <w:tcW w:type="dxa" w:w="4104"/>
            <w:vAlign w:val="top"/>
          </w:tcPr>
          <w:p>
            <w:pPr>
              <w:spacing w:after="40"/>
            </w:pPr>
            <w:r/>
            <w:r>
              <w:rPr>
                <w:rFonts w:ascii="Aptos" w:hAnsi="Aptos"/>
                <w:b w:val="0"/>
                <w:sz w:val="14"/>
              </w:rPr>
              <w:t>Proposed §§5.3/8.2: Inspect applicable sterile patient-contacting surface at at least 2.5x with approved magnifier under controlled lighting; verify absence of visible extraneous matter, sharp edges and process damage. Record device/component, sample reference and observed defect condition. Retain established cosmetic checks for non-patient-contacting components.</w:t>
            </w:r>
          </w:p>
        </w:tc>
        <w:tc>
          <w:tcPr>
            <w:tcW w:type="dxa" w:w="2448"/>
            <w:vAlign w:val="top"/>
          </w:tcPr>
          <w:p>
            <w:pPr>
              <w:spacing w:after="40"/>
            </w:pPr>
            <w:r/>
            <w:r>
              <w:rPr>
                <w:rFonts w:ascii="Aptos" w:hAnsi="Aptos"/>
                <w:b w:val="0"/>
                <w:sz w:val="14"/>
              </w:rPr>
              <w:t>F-823-i13 rows 1–3 use “Cream white, smooth”, “Clear, good appearance” and “Without defect”.</w:t>
            </w:r>
          </w:p>
        </w:tc>
        <w:tc>
          <w:tcPr>
            <w:tcW w:type="dxa" w:w="4104"/>
            <w:vAlign w:val="top"/>
          </w:tcPr>
          <w:p>
            <w:pPr>
              <w:spacing w:after="40"/>
            </w:pPr>
            <w:r/>
            <w:r>
              <w:rPr>
                <w:rFonts w:ascii="Aptos" w:hAnsi="Aptos"/>
                <w:b w:val="0"/>
                <w:sz w:val="14"/>
              </w:rPr>
              <w:t>Add inspected component, instrument ID, 2.5x or greater magnification, defect finding, measured result where applicable, time/shift, disposition and lot traceability.</w:t>
            </w:r>
          </w:p>
        </w:tc>
        <w:tc>
          <w:tcPr>
            <w:tcW w:type="dxa" w:w="3312"/>
            <w:vAlign w:val="top"/>
          </w:tcPr>
          <w:p>
            <w:pPr>
              <w:spacing w:after="40"/>
            </w:pPr>
            <w:r/>
            <w:r>
              <w:rPr>
                <w:rFonts w:ascii="Aptos" w:hAnsi="Aptos"/>
                <w:b w:val="0"/>
                <w:sz w:val="14"/>
              </w:rPr>
              <w:t>Required Evidence: Approved visual standard, magnifier/instrument suitability, training and completed in-process records. Status: OPEN — EVIDENCE.</w:t>
              <w:br/>
              <w:t>Verification route: Qualification / periodic controlled evidence</w:t>
              <w:br/>
              <w:t>Available ID: NOT VERIFIED</w:t>
              <w:br/>
              <w:t>Current closure: OPEN — NOT VERIFIED</w:t>
            </w:r>
          </w:p>
        </w:tc>
      </w:tr>
      <w:tr>
        <w:tc>
          <w:tcPr>
            <w:tcW w:type="dxa" w:w="2592"/>
            <w:vAlign w:val="top"/>
            <w:shd w:fill="F2F5F8"/>
          </w:tcPr>
          <w:p>
            <w:pPr>
              <w:spacing w:after="40"/>
            </w:pPr>
            <w:r/>
            <w:r>
              <w:rPr>
                <w:rFonts w:ascii="Aptos" w:hAnsi="Aptos"/>
                <w:b w:val="0"/>
                <w:sz w:val="14"/>
              </w:rPr>
              <w:t>CVC-G04 | P2 | Radio-detectability traceability and risk applicability</w:t>
              <w:br/>
              <w:t>Problem: Existing control cannot prove the full verified requirement or its approved alternative route.</w:t>
            </w:r>
          </w:p>
        </w:tc>
        <w:tc>
          <w:tcPr>
            <w:tcW w:type="dxa" w:w="2880"/>
            <w:vAlign w:val="top"/>
            <w:shd w:fill="F2F5F8"/>
          </w:tcPr>
          <w:p>
            <w:pPr>
              <w:spacing w:after="40"/>
            </w:pPr>
            <w:r/>
            <w:r>
              <w:rPr>
                <w:rFonts w:ascii="Aptos" w:hAnsi="Aptos"/>
                <w:b w:val="0"/>
                <w:sz w:val="14"/>
              </w:rPr>
              <w:t>ISO 10555-1:2013+A1:2017, 4.2, ISO p.4, PDF p.14</w:t>
              <w:br/>
              <w:t>ISO Says: Catheter parts must be radio-detectable when the manufacturer risk assessment determines it necessary; appropriate verification is recommended.</w:t>
            </w:r>
          </w:p>
        </w:tc>
        <w:tc>
          <w:tcPr>
            <w:tcW w:type="dxa" w:w="2520"/>
            <w:vAlign w:val="top"/>
            <w:shd w:fill="F2F5F8"/>
          </w:tcPr>
          <w:p>
            <w:pPr>
              <w:spacing w:after="40"/>
            </w:pPr>
            <w:r/>
            <w:r>
              <w:rPr>
                <w:rFonts w:ascii="Aptos" w:hAnsi="Aptos"/>
                <w:b w:val="0"/>
                <w:sz w:val="14"/>
              </w:rPr>
              <w:t>WI-DD-02 Rev.3, p.2 §5.3.1 states CVC catheter should be radio-detectable, without identifying design verification evidence in that subsection.</w:t>
            </w:r>
          </w:p>
        </w:tc>
        <w:tc>
          <w:tcPr>
            <w:tcW w:type="dxa" w:w="4104"/>
            <w:vAlign w:val="top"/>
            <w:shd w:fill="F2F5F8"/>
          </w:tcPr>
          <w:p>
            <w:pPr>
              <w:spacing w:after="40"/>
            </w:pPr>
            <w:r/>
            <w:r>
              <w:rPr>
                <w:rFonts w:ascii="Aptos" w:hAnsi="Aptos"/>
                <w:b w:val="0"/>
                <w:sz w:val="14"/>
              </w:rPr>
              <w:t>Proposed §8.8: Document the approved risk assessment deciding which catheter parts require radio-detectability. When required, verify using the approved test method and retain evidence linked to each design revision/material formulation. During production confirm approved radiopaque material/part and specification identity.</w:t>
            </w:r>
          </w:p>
        </w:tc>
        <w:tc>
          <w:tcPr>
            <w:tcW w:type="dxa" w:w="2448"/>
            <w:vAlign w:val="top"/>
            <w:shd w:fill="F2F5F8"/>
          </w:tcPr>
          <w:p>
            <w:pPr>
              <w:spacing w:after="40"/>
            </w:pPr>
            <w:r/>
            <w:r>
              <w:rPr>
                <w:rFonts w:ascii="Aptos" w:hAnsi="Aptos"/>
                <w:b w:val="0"/>
                <w:sz w:val="14"/>
              </w:rPr>
              <w:t>F-823-i13 rows 1–6 do not identify a radio-detectability evidence field.</w:t>
            </w:r>
          </w:p>
        </w:tc>
        <w:tc>
          <w:tcPr>
            <w:tcW w:type="dxa" w:w="4104"/>
            <w:vAlign w:val="top"/>
            <w:shd w:fill="F2F5F8"/>
          </w:tcPr>
          <w:p>
            <w:pPr>
              <w:spacing w:after="40"/>
            </w:pPr>
            <w:r/>
            <w:r>
              <w:rPr>
                <w:rFonts w:ascii="Aptos" w:hAnsi="Aptos"/>
                <w:b w:val="0"/>
                <w:sz w:val="14"/>
              </w:rPr>
              <w:t>In-process record: component/material revision and approved qualification record ID; no routine X-ray test unless control plan requires it.</w:t>
            </w:r>
          </w:p>
        </w:tc>
        <w:tc>
          <w:tcPr>
            <w:tcW w:type="dxa" w:w="3312"/>
            <w:vAlign w:val="top"/>
            <w:shd w:fill="F2F5F8"/>
          </w:tcPr>
          <w:p>
            <w:pPr>
              <w:spacing w:after="40"/>
            </w:pPr>
            <w:r/>
            <w:r>
              <w:rPr>
                <w:rFonts w:ascii="Aptos" w:hAnsi="Aptos"/>
                <w:b w:val="0"/>
                <w:sz w:val="14"/>
              </w:rPr>
              <w:t>Required Evidence: Risk assessment, qualified radio-detectability test, materials traceability and change-control review. Status: OPEN — EVIDENCE.</w:t>
              <w:br/>
              <w:t>Verification route: Qualification / periodic controlled evidence</w:t>
              <w:br/>
              <w:t>Available ID: NOT VERIFIED</w:t>
              <w:br/>
              <w:t>Current closure: OPEN — NOT VERIFIED</w:t>
            </w:r>
          </w:p>
        </w:tc>
      </w:tr>
      <w:tr>
        <w:tc>
          <w:tcPr>
            <w:tcW w:type="dxa" w:w="2592"/>
            <w:vAlign w:val="top"/>
          </w:tcPr>
          <w:p>
            <w:pPr>
              <w:spacing w:after="40"/>
            </w:pPr>
            <w:r/>
            <w:r>
              <w:rPr>
                <w:rFonts w:ascii="Aptos" w:hAnsi="Aptos"/>
                <w:b w:val="0"/>
                <w:sz w:val="14"/>
              </w:rPr>
              <w:t>CVC-G05 | P1 | Liquid-pressure and aspiration-air leakage verification</w:t>
              <w:br/>
              <w:t>Problem: Existing control cannot prove the full verified requirement or its approved alternative route.</w:t>
            </w:r>
          </w:p>
        </w:tc>
        <w:tc>
          <w:tcPr>
            <w:tcW w:type="dxa" w:w="2880"/>
            <w:vAlign w:val="top"/>
          </w:tcPr>
          <w:p>
            <w:pPr>
              <w:spacing w:after="40"/>
            </w:pPr>
            <w:r/>
            <w:r>
              <w:rPr>
                <w:rFonts w:ascii="Aptos" w:hAnsi="Aptos"/>
                <w:b w:val="0"/>
                <w:sz w:val="14"/>
              </w:rPr>
              <w:t>ISO 10555-1:2013+A1:2017, 4.7.1, 4.7.2 and Annexes C/D, ISO p.5, PDF p.15</w:t>
              <w:br/>
              <w:t>ISO Says: Catheter hub/connection assemblies must not leak liquid under Annex C test; air must not enter the hub during aspiration under Annex D test.</w:t>
            </w:r>
          </w:p>
        </w:tc>
        <w:tc>
          <w:tcPr>
            <w:tcW w:type="dxa" w:w="2520"/>
            <w:vAlign w:val="top"/>
          </w:tcPr>
          <w:p>
            <w:pPr>
              <w:spacing w:after="40"/>
            </w:pPr>
            <w:r/>
            <w:r>
              <w:rPr>
                <w:rFonts w:ascii="Aptos" w:hAnsi="Aptos"/>
                <w:b w:val="0"/>
                <w:sz w:val="14"/>
              </w:rPr>
              <w:t>WI-DD-02 Rev.3, pp.4–6 §5.4 refers to “No leakage” for connectors, cannula and clamps but does not show Annex C/D procedure and instrument settings for whole CVC assembly in those lines.</w:t>
            </w:r>
          </w:p>
        </w:tc>
        <w:tc>
          <w:tcPr>
            <w:tcW w:type="dxa" w:w="4104"/>
            <w:vAlign w:val="top"/>
          </w:tcPr>
          <w:p>
            <w:pPr>
              <w:spacing w:after="40"/>
            </w:pPr>
            <w:r/>
            <w:r>
              <w:rPr>
                <w:rFonts w:ascii="Aptos" w:hAnsi="Aptos"/>
                <w:b w:val="0"/>
                <w:sz w:val="14"/>
              </w:rPr>
              <w:t>Proposed §8.6: Verify catheter leakage and hub aspiration-air integrity by approved work instructions traceable to ISO 10555-1 Annexes C and D. Define specimen preparation, conditions, interface, result decision, equipment, change-control requalification triggers and test route. For in-process checks, retain leak screening only as a company process check unless shown equivalent to the Annex method.</w:t>
            </w:r>
          </w:p>
        </w:tc>
        <w:tc>
          <w:tcPr>
            <w:tcW w:type="dxa" w:w="2448"/>
            <w:vAlign w:val="top"/>
          </w:tcPr>
          <w:p>
            <w:pPr>
              <w:spacing w:after="40"/>
            </w:pPr>
            <w:r/>
            <w:r>
              <w:rPr>
                <w:rFonts w:ascii="Aptos" w:hAnsi="Aptos"/>
                <w:b w:val="0"/>
                <w:sz w:val="14"/>
              </w:rPr>
              <w:t>F-823-i13 row 13 fixation device: “No leakage”; row 19 sealing cap “No leakage”; no Annex C/D record number fields.</w:t>
            </w:r>
          </w:p>
        </w:tc>
        <w:tc>
          <w:tcPr>
            <w:tcW w:type="dxa" w:w="4104"/>
            <w:vAlign w:val="top"/>
          </w:tcPr>
          <w:p>
            <w:pPr>
              <w:spacing w:after="40"/>
            </w:pPr>
            <w:r/>
            <w:r>
              <w:rPr>
                <w:rFonts w:ascii="Aptos" w:hAnsi="Aptos"/>
                <w:b w:val="0"/>
                <w:sz w:val="14"/>
              </w:rPr>
              <w:t>Control reference: Annex C liquid test report and Annex D aspiration test report by product family/lot/design; optional in-process screening result and parameters recorded separately.</w:t>
            </w:r>
          </w:p>
        </w:tc>
        <w:tc>
          <w:tcPr>
            <w:tcW w:type="dxa" w:w="3312"/>
            <w:vAlign w:val="top"/>
          </w:tcPr>
          <w:p>
            <w:pPr>
              <w:spacing w:after="40"/>
            </w:pPr>
            <w:r/>
            <w:r>
              <w:rPr>
                <w:rFonts w:ascii="Aptos" w:hAnsi="Aptos"/>
                <w:b w:val="0"/>
                <w:sz w:val="14"/>
              </w:rPr>
              <w:t>Required Evidence: Approved Annex C/D methods and reports, acceptance decisions, equipment verification, traceability. Status: OPEN — EVIDENCE.</w:t>
              <w:br/>
              <w:t>Verification route: Qualification / periodic controlled evidence</w:t>
              <w:br/>
              <w:t>Available ID: NOT VERIFIED</w:t>
              <w:br/>
              <w:t>Current closure: OPEN — NOT VERIFIED</w:t>
            </w:r>
          </w:p>
        </w:tc>
      </w:tr>
      <w:tr>
        <w:tc>
          <w:tcPr>
            <w:tcW w:type="dxa" w:w="2592"/>
            <w:vAlign w:val="top"/>
            <w:shd w:fill="F2F5F8"/>
          </w:tcPr>
          <w:p>
            <w:pPr>
              <w:spacing w:after="40"/>
            </w:pPr>
            <w:r/>
            <w:r>
              <w:rPr>
                <w:rFonts w:ascii="Aptos" w:hAnsi="Aptos"/>
                <w:b w:val="0"/>
                <w:sz w:val="14"/>
              </w:rPr>
              <w:t>CVC-G06 | P1 | Guidewire safety, fracture/flexing and tensile evidence</w:t>
              <w:br/>
              <w:t>Problem: Existing control cannot prove the full verified requirement or its approved alternative route.</w:t>
            </w:r>
          </w:p>
        </w:tc>
        <w:tc>
          <w:tcPr>
            <w:tcW w:type="dxa" w:w="2880"/>
            <w:vAlign w:val="top"/>
            <w:shd w:fill="F2F5F8"/>
          </w:tcPr>
          <w:p>
            <w:pPr>
              <w:spacing w:after="40"/>
            </w:pPr>
            <w:r/>
            <w:r>
              <w:rPr>
                <w:rFonts w:ascii="Aptos" w:hAnsi="Aptos"/>
                <w:b w:val="0"/>
                <w:sz w:val="14"/>
              </w:rPr>
              <w:t>ISO 11070:2014, 8.3–8.6 and normative Annexes F/G/H, ISO p.9, PDF p.15</w:t>
              <w:br/>
              <w:t>ISO Says: Safety wire is required unless the core wire is attached to the tip; the guidewire must not suffer dangerous separation or fracture in prescribed fracture/flexing tests; Table 3 minimum peak force is 5 N for 0.55–&lt;0.75 mm and 10 N for &gt;=0.75 mm.</w:t>
            </w:r>
          </w:p>
        </w:tc>
        <w:tc>
          <w:tcPr>
            <w:tcW w:type="dxa" w:w="2520"/>
            <w:vAlign w:val="top"/>
            <w:shd w:fill="F2F5F8"/>
          </w:tcPr>
          <w:p>
            <w:pPr>
              <w:spacing w:after="40"/>
            </w:pPr>
            <w:r/>
            <w:r>
              <w:rPr>
                <w:rFonts w:ascii="Aptos" w:hAnsi="Aptos"/>
                <w:b w:val="0"/>
                <w:sz w:val="14"/>
              </w:rPr>
              <w:t>WI-DD-02 Rev.3, p.3 §5.4.1 inspects guidewire type, diameter, smoothness and corrosion; does not explicitly define fracture/flexing evidence in this component description.</w:t>
            </w:r>
          </w:p>
        </w:tc>
        <w:tc>
          <w:tcPr>
            <w:tcW w:type="dxa" w:w="4104"/>
            <w:vAlign w:val="top"/>
            <w:shd w:fill="F2F5F8"/>
          </w:tcPr>
          <w:p>
            <w:pPr>
              <w:spacing w:after="40"/>
            </w:pPr>
            <w:r/>
            <w:r>
              <w:rPr>
                <w:rFonts w:ascii="Aptos" w:hAnsi="Aptos"/>
                <w:b w:val="0"/>
                <w:sz w:val="14"/>
              </w:rPr>
              <w:t>Proposed §6.4: Confirm approved guidewire configuration, safety-wire/core-to-tip design status, nominal diameter and length. Obtain linked qualification/supplier evidence for ISO 11070 Annex F fracture, Annex G flexing and Annex H peak force with diameter-specific Table 3 criterion; verify evidence validity and approved changes at incoming/assembly stages.</w:t>
            </w:r>
          </w:p>
        </w:tc>
        <w:tc>
          <w:tcPr>
            <w:tcW w:type="dxa" w:w="2448"/>
            <w:vAlign w:val="top"/>
            <w:shd w:fill="F2F5F8"/>
          </w:tcPr>
          <w:p>
            <w:pPr>
              <w:spacing w:after="40"/>
            </w:pPr>
            <w:r/>
            <w:r>
              <w:rPr>
                <w:rFonts w:ascii="Aptos" w:hAnsi="Aptos"/>
                <w:b w:val="0"/>
                <w:sz w:val="14"/>
              </w:rPr>
              <w:t>F-823-i13 row 12 and F-823-i13-2 row 12 check guidewire length/size only.</w:t>
            </w:r>
          </w:p>
        </w:tc>
        <w:tc>
          <w:tcPr>
            <w:tcW w:type="dxa" w:w="4104"/>
            <w:vAlign w:val="top"/>
            <w:shd w:fill="F2F5F8"/>
          </w:tcPr>
          <w:p>
            <w:pPr>
              <w:spacing w:after="40"/>
            </w:pPr>
            <w:r/>
            <w:r>
              <w:rPr>
                <w:rFonts w:ascii="Aptos" w:hAnsi="Aptos"/>
                <w:b w:val="0"/>
                <w:sz w:val="14"/>
              </w:rPr>
              <w:t>Record guidewire component code/lot, supplier/qualification report IDs, approved dimensions and evidence verification status; visual in-process result remains separate.</w:t>
            </w:r>
          </w:p>
        </w:tc>
        <w:tc>
          <w:tcPr>
            <w:tcW w:type="dxa" w:w="3312"/>
            <w:vAlign w:val="top"/>
            <w:shd w:fill="F2F5F8"/>
          </w:tcPr>
          <w:p>
            <w:pPr>
              <w:spacing w:after="40"/>
            </w:pPr>
            <w:r/>
            <w:r>
              <w:rPr>
                <w:rFonts w:ascii="Aptos" w:hAnsi="Aptos"/>
                <w:b w:val="0"/>
                <w:sz w:val="14"/>
              </w:rPr>
              <w:t>Required Evidence: Approved guidewire design/control plan; actual Annex F/G/H reports or verified supplier evidence; approved disposition. Status: OPEN — EVIDENCE.</w:t>
              <w:br/>
              <w:t>Verification route: Qualification / periodic controlled evidence</w:t>
              <w:br/>
              <w:t>Available ID: NOT VERIFIED</w:t>
              <w:br/>
              <w:t>Current closure: OPEN — NOT VERIFIED</w:t>
            </w:r>
          </w:p>
        </w:tc>
      </w:tr>
      <w:tr>
        <w:tc>
          <w:tcPr>
            <w:tcW w:type="dxa" w:w="2592"/>
            <w:vAlign w:val="top"/>
          </w:tcPr>
          <w:p>
            <w:pPr>
              <w:spacing w:after="40"/>
            </w:pPr>
            <w:r/>
            <w:r>
              <w:rPr>
                <w:rFonts w:ascii="Aptos" w:hAnsi="Aptos"/>
                <w:b w:val="0"/>
                <w:sz w:val="14"/>
              </w:rPr>
              <w:t>CVC-G07 | P1 | Introducer-needle hub union force by size</w:t>
              <w:br/>
              <w:t>Problem: Existing control cannot prove the full verified requirement or its approved alternative route.</w:t>
            </w:r>
          </w:p>
        </w:tc>
        <w:tc>
          <w:tcPr>
            <w:tcW w:type="dxa" w:w="2880"/>
            <w:vAlign w:val="top"/>
          </w:tcPr>
          <w:p>
            <w:pPr>
              <w:spacing w:after="40"/>
            </w:pPr>
            <w:r/>
            <w:r>
              <w:rPr>
                <w:rFonts w:ascii="Aptos" w:hAnsi="Aptos"/>
                <w:b w:val="0"/>
                <w:sz w:val="14"/>
              </w:rPr>
              <w:t>ISO 11070:2014, 5.4.2 and normative Annex I, ISO p.6, PDF p.12</w:t>
              <w:br/>
              <w:t>ISO Says: Introducer needle tube-to-hub union must resist 10 N for nominal OD &lt;0.6 mm or 20 N for OD &gt;=0.6 mm under Annex I test.</w:t>
            </w:r>
          </w:p>
        </w:tc>
        <w:tc>
          <w:tcPr>
            <w:tcW w:type="dxa" w:w="2520"/>
            <w:vAlign w:val="top"/>
          </w:tcPr>
          <w:p>
            <w:pPr>
              <w:spacing w:after="40"/>
            </w:pPr>
            <w:r/>
            <w:r>
              <w:rPr>
                <w:rFonts w:ascii="Aptos" w:hAnsi="Aptos"/>
                <w:b w:val="0"/>
                <w:sz w:val="14"/>
              </w:rPr>
              <w:t>WI-DD-02 Rev.3, pp.4–5 §5.4.2 requires “Strong gluing ... no pull out” for introducer needle but lacks size-specific force criterion in the displayed receiving table.</w:t>
            </w:r>
          </w:p>
        </w:tc>
        <w:tc>
          <w:tcPr>
            <w:tcW w:type="dxa" w:w="4104"/>
            <w:vAlign w:val="top"/>
          </w:tcPr>
          <w:p>
            <w:pPr>
              <w:spacing w:after="40"/>
            </w:pPr>
            <w:r/>
            <w:r>
              <w:rPr>
                <w:rFonts w:ascii="Aptos" w:hAnsi="Aptos"/>
                <w:b w:val="0"/>
                <w:sz w:val="14"/>
              </w:rPr>
              <w:t>Proposed §6.5: For introducer needles identify nominal OD and applicable ISO 11070 §5.4.2 acceptance force; qualify/test hub-to-tube union using Annex I method. Record test piece, applied force (N), outcome, spec and objective report; routine receiving may rely on an approved, traceable supplier qualification/control plan.</w:t>
            </w:r>
          </w:p>
        </w:tc>
        <w:tc>
          <w:tcPr>
            <w:tcW w:type="dxa" w:w="2448"/>
            <w:vAlign w:val="top"/>
          </w:tcPr>
          <w:p>
            <w:pPr>
              <w:spacing w:after="40"/>
            </w:pPr>
            <w:r/>
            <w:r>
              <w:rPr>
                <w:rFonts w:ascii="Aptos" w:hAnsi="Aptos"/>
                <w:b w:val="0"/>
                <w:sz w:val="14"/>
              </w:rPr>
              <w:t>F-823-i13 row 20 “Introducer Needle / As per specification”; kit row 38 “No bend tip / Sharp needle”.</w:t>
            </w:r>
          </w:p>
        </w:tc>
        <w:tc>
          <w:tcPr>
            <w:tcW w:type="dxa" w:w="4104"/>
            <w:vAlign w:val="top"/>
          </w:tcPr>
          <w:p>
            <w:pPr>
              <w:spacing w:after="40"/>
            </w:pPr>
            <w:r/>
            <w:r>
              <w:rPr>
                <w:rFonts w:ascii="Aptos" w:hAnsi="Aptos"/>
                <w:b w:val="0"/>
                <w:sz w:val="14"/>
              </w:rPr>
              <w:t>Component code, OD (mm), source spec, Annex I evidence reference; if performed, applied force (N), observed separation and Pass/Fail.</w:t>
            </w:r>
          </w:p>
        </w:tc>
        <w:tc>
          <w:tcPr>
            <w:tcW w:type="dxa" w:w="3312"/>
            <w:vAlign w:val="top"/>
          </w:tcPr>
          <w:p>
            <w:pPr>
              <w:spacing w:after="40"/>
            </w:pPr>
            <w:r/>
            <w:r>
              <w:rPr>
                <w:rFonts w:ascii="Aptos" w:hAnsi="Aptos"/>
                <w:b w:val="0"/>
                <w:sz w:val="14"/>
              </w:rPr>
              <w:t>Required Evidence: Approved needle specification and Annex I test record/supplier evidence. Status: OPEN — EVIDENCE.</w:t>
              <w:br/>
              <w:t>Verification route: Qualification / periodic controlled evidence</w:t>
              <w:br/>
              <w:t>Available ID: NOT VERIFIED</w:t>
              <w:br/>
              <w:t>Current closure: OPEN — NOT VERIFIED</w:t>
            </w:r>
          </w:p>
        </w:tc>
      </w:tr>
      <w:tr>
        <w:tc>
          <w:tcPr>
            <w:tcW w:type="dxa" w:w="2592"/>
            <w:vAlign w:val="top"/>
            <w:shd w:fill="F2F5F8"/>
          </w:tcPr>
          <w:p>
            <w:pPr>
              <w:spacing w:after="40"/>
            </w:pPr>
            <w:r/>
            <w:r>
              <w:rPr>
                <w:rFonts w:ascii="Aptos" w:hAnsi="Aptos"/>
                <w:b w:val="0"/>
                <w:sz w:val="14"/>
              </w:rPr>
              <w:t>CVC-G08 | P1 | Hypodermic-needle bonding and lumen patency</w:t>
              <w:br/>
              <w:t>Problem: Existing control cannot prove the full verified requirement or its approved alternative route.</w:t>
            </w:r>
          </w:p>
        </w:tc>
        <w:tc>
          <w:tcPr>
            <w:tcW w:type="dxa" w:w="2880"/>
            <w:vAlign w:val="top"/>
            <w:shd w:fill="F2F5F8"/>
          </w:tcPr>
          <w:p>
            <w:pPr>
              <w:spacing w:after="40"/>
            </w:pPr>
            <w:r/>
            <w:r>
              <w:rPr>
                <w:rFonts w:ascii="Aptos" w:hAnsi="Aptos"/>
                <w:b w:val="0"/>
                <w:sz w:val="14"/>
              </w:rPr>
              <w:t>ISO 7864:2016, 4.12 Table 2 and 4.13 Table 3, ISO pp.7–9, PDF pp.13–15</w:t>
              <w:br/>
              <w:t>ISO Says: Hypodermic needle hub bond shall withstand size-specific minimum force in Table 2; lumen patency shall be established by a size-specific stylet or a defined comparative water flow route.</w:t>
            </w:r>
          </w:p>
        </w:tc>
        <w:tc>
          <w:tcPr>
            <w:tcW w:type="dxa" w:w="2520"/>
            <w:vAlign w:val="top"/>
            <w:shd w:fill="F2F5F8"/>
          </w:tcPr>
          <w:p>
            <w:pPr>
              <w:spacing w:after="40"/>
            </w:pPr>
            <w:r/>
            <w:r>
              <w:rPr>
                <w:rFonts w:ascii="Aptos" w:hAnsi="Aptos"/>
                <w:b w:val="0"/>
                <w:sz w:val="14"/>
              </w:rPr>
              <w:t>WI-DD-02 Rev.3, pp.4–5 §5.4.2 checks needle sharpness and “Strong gluing” but current CVC kit form records dimensions and visual features only.</w:t>
            </w:r>
          </w:p>
        </w:tc>
        <w:tc>
          <w:tcPr>
            <w:tcW w:type="dxa" w:w="4104"/>
            <w:vAlign w:val="top"/>
            <w:shd w:fill="F2F5F8"/>
          </w:tcPr>
          <w:p>
            <w:pPr>
              <w:spacing w:after="40"/>
            </w:pPr>
            <w:r/>
            <w:r>
              <w:rPr>
                <w:rFonts w:ascii="Aptos" w:hAnsi="Aptos"/>
                <w:b w:val="0"/>
                <w:sz w:val="14"/>
              </w:rPr>
              <w:t>Proposed §6.6: Classify needle as hypodermic or introducer; do not interchange standards. For hypodermic needles, document selected ISO 7864 Table 2 minimum force and §4.13 method appropriate to needle size/construction; confirm supplier/qualification proof and lot linkage. Preserve visual sharpness and package checks.</w:t>
            </w:r>
          </w:p>
        </w:tc>
        <w:tc>
          <w:tcPr>
            <w:tcW w:type="dxa" w:w="2448"/>
            <w:vAlign w:val="top"/>
            <w:shd w:fill="F2F5F8"/>
          </w:tcPr>
          <w:p>
            <w:pPr>
              <w:spacing w:after="40"/>
            </w:pPr>
            <w:r/>
            <w:r>
              <w:rPr>
                <w:rFonts w:ascii="Aptos" w:hAnsi="Aptos"/>
                <w:b w:val="0"/>
                <w:sz w:val="14"/>
              </w:rPr>
              <w:t>F-823-i13 row 22 and complete-kit row 20: color coding, sharp tip and dimensions without bonding or patency evidence reference.</w:t>
            </w:r>
          </w:p>
        </w:tc>
        <w:tc>
          <w:tcPr>
            <w:tcW w:type="dxa" w:w="4104"/>
            <w:vAlign w:val="top"/>
            <w:shd w:fill="F2F5F8"/>
          </w:tcPr>
          <w:p>
            <w:pPr>
              <w:spacing w:after="40"/>
            </w:pPr>
            <w:r/>
            <w:r>
              <w:rPr>
                <w:rFonts w:ascii="Aptos" w:hAnsi="Aptos"/>
                <w:b w:val="0"/>
                <w:sz w:val="14"/>
              </w:rPr>
              <w:t>Needle nominal size/lot, bonding evidence, patency method/qualification ID, source approval, receipt disposition.</w:t>
            </w:r>
          </w:p>
        </w:tc>
        <w:tc>
          <w:tcPr>
            <w:tcW w:type="dxa" w:w="3312"/>
            <w:vAlign w:val="top"/>
            <w:shd w:fill="F2F5F8"/>
          </w:tcPr>
          <w:p>
            <w:pPr>
              <w:spacing w:after="40"/>
            </w:pPr>
            <w:r/>
            <w:r>
              <w:rPr>
                <w:rFonts w:ascii="Aptos" w:hAnsi="Aptos"/>
                <w:b w:val="0"/>
                <w:sz w:val="14"/>
              </w:rPr>
              <w:t>Required Evidence: Approved ISO 7864 control route, actual bond/patency evidence, supplier verification and lot traceability. Status: OPEN — EVIDENCE.</w:t>
              <w:br/>
              <w:t>Verification route: Qualification / periodic controlled evidence</w:t>
              <w:br/>
              <w:t>Available ID: NOT VERIFIED</w:t>
              <w:br/>
              <w:t>Current closure: OPEN — NOT VERIFIED</w:t>
            </w:r>
          </w:p>
        </w:tc>
      </w:tr>
      <w:tr>
        <w:tc>
          <w:tcPr>
            <w:tcW w:type="dxa" w:w="2592"/>
            <w:vAlign w:val="top"/>
          </w:tcPr>
          <w:p>
            <w:pPr>
              <w:spacing w:after="40"/>
            </w:pPr>
            <w:r/>
            <w:r>
              <w:rPr>
                <w:rFonts w:ascii="Aptos" w:hAnsi="Aptos"/>
                <w:b w:val="0"/>
                <w:sz w:val="14"/>
              </w:rPr>
              <w:t>CVC-G09 | P1 | Dilator hub and body peak tensile force</w:t>
              <w:br/>
              <w:t>Problem: Existing control cannot prove the full verified requirement or its approved alternative route.</w:t>
            </w:r>
          </w:p>
        </w:tc>
        <w:tc>
          <w:tcPr>
            <w:tcW w:type="dxa" w:w="2880"/>
            <w:vAlign w:val="top"/>
          </w:tcPr>
          <w:p>
            <w:pPr>
              <w:spacing w:after="40"/>
            </w:pPr>
            <w:r/>
            <w:r>
              <w:rPr>
                <w:rFonts w:ascii="Aptos" w:hAnsi="Aptos"/>
                <w:b w:val="0"/>
                <w:sz w:val="14"/>
              </w:rPr>
              <w:t>ISO 11070:2014, 9.3.3, 6.3 Table 2 and Annex C, ISO pp.7,10, PDF pp.13,16</w:t>
              <w:br/>
              <w:t>ISO Says: Dilator-to-hub union and specified test pieces shall meet Table 2 minimum peak tensile forces dependent on smallest OD, using normative Annex C.</w:t>
            </w:r>
          </w:p>
        </w:tc>
        <w:tc>
          <w:tcPr>
            <w:tcW w:type="dxa" w:w="2520"/>
            <w:vAlign w:val="top"/>
          </w:tcPr>
          <w:p>
            <w:pPr>
              <w:spacing w:after="40"/>
            </w:pPr>
            <w:r/>
            <w:r>
              <w:rPr>
                <w:rFonts w:ascii="Aptos" w:hAnsi="Aptos"/>
                <w:b w:val="0"/>
                <w:sz w:val="14"/>
              </w:rPr>
              <w:t>WI-DD-02 Rev.3, p.5 §5.4.5 describes good fitting and no pullout, without a Table 2 force matrix in the component check.</w:t>
            </w:r>
          </w:p>
        </w:tc>
        <w:tc>
          <w:tcPr>
            <w:tcW w:type="dxa" w:w="4104"/>
            <w:vAlign w:val="top"/>
          </w:tcPr>
          <w:p>
            <w:pPr>
              <w:spacing w:after="40"/>
            </w:pPr>
            <w:r/>
            <w:r>
              <w:rPr>
                <w:rFonts w:ascii="Aptos" w:hAnsi="Aptos"/>
                <w:b w:val="0"/>
                <w:sz w:val="14"/>
              </w:rPr>
              <w:t>Proposed §6.7: Verify dilator dimension and approved hub design; record OD category, Table 2 force (N), Annex C method and actual peak tensile result under approved qualification/periodic control. Do not apply a blanket 20 N to all configurations without manufacturer approval.</w:t>
            </w:r>
          </w:p>
        </w:tc>
        <w:tc>
          <w:tcPr>
            <w:tcW w:type="dxa" w:w="2448"/>
            <w:vAlign w:val="top"/>
          </w:tcPr>
          <w:p>
            <w:pPr>
              <w:spacing w:after="40"/>
            </w:pPr>
            <w:r/>
            <w:r>
              <w:rPr>
                <w:rFonts w:ascii="Aptos" w:hAnsi="Aptos"/>
                <w:b w:val="0"/>
                <w:sz w:val="14"/>
              </w:rPr>
              <w:t>F-823-i13 row 11; complete-kit row 11: “As per specification” with no proof link.</w:t>
            </w:r>
          </w:p>
        </w:tc>
        <w:tc>
          <w:tcPr>
            <w:tcW w:type="dxa" w:w="4104"/>
            <w:vAlign w:val="top"/>
          </w:tcPr>
          <w:p>
            <w:pPr>
              <w:spacing w:after="40"/>
            </w:pPr>
            <w:r/>
            <w:r>
              <w:rPr>
                <w:rFonts w:ascii="Aptos" w:hAnsi="Aptos"/>
                <w:b w:val="0"/>
                <w:sz w:val="14"/>
              </w:rPr>
              <w:t>Record dilator size/lot, applicable Table 2 band, tensile test/qualification ID, component conformity status and traceable report.</w:t>
            </w:r>
          </w:p>
        </w:tc>
        <w:tc>
          <w:tcPr>
            <w:tcW w:type="dxa" w:w="3312"/>
            <w:vAlign w:val="top"/>
          </w:tcPr>
          <w:p>
            <w:pPr>
              <w:spacing w:after="40"/>
            </w:pPr>
            <w:r/>
            <w:r>
              <w:rPr>
                <w:rFonts w:ascii="Aptos" w:hAnsi="Aptos"/>
                <w:b w:val="0"/>
                <w:sz w:val="14"/>
              </w:rPr>
              <w:t>Required Evidence: Approved dilator spec, tensile force qualification and evidence linked to controlled configuration. Status: OPEN — EVIDENCE.</w:t>
              <w:br/>
              <w:t>Verification route: Qualification / periodic controlled evidence</w:t>
              <w:br/>
              <w:t>Available ID: NOT VERIFIED</w:t>
              <w:br/>
              <w:t>Current closure: OPEN — NOT VERIFIED</w:t>
            </w:r>
          </w:p>
        </w:tc>
      </w:tr>
      <w:tr>
        <w:tc>
          <w:tcPr>
            <w:tcW w:type="dxa" w:w="2592"/>
            <w:vAlign w:val="top"/>
            <w:shd w:fill="F2F5F8"/>
          </w:tcPr>
          <w:p>
            <w:pPr>
              <w:spacing w:after="40"/>
            </w:pPr>
            <w:r/>
            <w:r>
              <w:rPr>
                <w:rFonts w:ascii="Aptos" w:hAnsi="Aptos"/>
                <w:b w:val="0"/>
                <w:sz w:val="14"/>
              </w:rPr>
              <w:t>CVC-G10 | P2 | Syringe functional performance evidence</w:t>
              <w:br/>
              <w:t>Problem: Existing control cannot prove the full verified requirement or its approved alternative route.</w:t>
            </w:r>
          </w:p>
        </w:tc>
        <w:tc>
          <w:tcPr>
            <w:tcW w:type="dxa" w:w="2880"/>
            <w:vAlign w:val="top"/>
            <w:shd w:fill="F2F5F8"/>
          </w:tcPr>
          <w:p>
            <w:pPr>
              <w:spacing w:after="40"/>
            </w:pPr>
            <w:r/>
            <w:r>
              <w:rPr>
                <w:rFonts w:ascii="Aptos" w:hAnsi="Aptos"/>
                <w:b w:val="0"/>
                <w:sz w:val="14"/>
              </w:rPr>
              <w:t>ISO 7886-1:2017, 13.1, 13.2 and normative Annexes B/C/D, ISO p.10, PDF p.18</w:t>
              <w:br/>
              <w:t>ISO Says: For covered manual-use syringes, dead-space acceptance is by Table 1/Annex C, and plunger sealing must pass Annexes B and D; the standard is for design verification and does not itself provide lot-release criteria (Scope, p.1).</w:t>
            </w:r>
          </w:p>
        </w:tc>
        <w:tc>
          <w:tcPr>
            <w:tcW w:type="dxa" w:w="2520"/>
            <w:vAlign w:val="top"/>
            <w:shd w:fill="F2F5F8"/>
          </w:tcPr>
          <w:p>
            <w:pPr>
              <w:spacing w:after="40"/>
            </w:pPr>
            <w:r/>
            <w:r>
              <w:rPr>
                <w:rFonts w:ascii="Aptos" w:hAnsi="Aptos"/>
                <w:b w:val="0"/>
                <w:sz w:val="14"/>
              </w:rPr>
              <w:t>WI-DD-02 Rev.3, pp.5–6 §5.4.3 describes smooth movement and no leakage, not the applicable design test record/method for syringe performance.</w:t>
            </w:r>
          </w:p>
        </w:tc>
        <w:tc>
          <w:tcPr>
            <w:tcW w:type="dxa" w:w="4104"/>
            <w:vAlign w:val="top"/>
            <w:shd w:fill="F2F5F8"/>
          </w:tcPr>
          <w:p>
            <w:pPr>
              <w:spacing w:after="40"/>
            </w:pPr>
            <w:r/>
            <w:r>
              <w:rPr>
                <w:rFonts w:ascii="Aptos" w:hAnsi="Aptos"/>
                <w:b w:val="0"/>
                <w:sz w:val="14"/>
              </w:rPr>
              <w:t>Proposed §6.8: Classify supplied syringe, nominal capacity and applicability of ISO 7886-1. Verify approved supplier/design-qualification record covering dead space (Annex C) and plunger air/liquid leakage (Annexes B/D). Routine in-process visual/functional checks are not represented as these design tests.</w:t>
            </w:r>
          </w:p>
        </w:tc>
        <w:tc>
          <w:tcPr>
            <w:tcW w:type="dxa" w:w="2448"/>
            <w:vAlign w:val="top"/>
            <w:shd w:fill="F2F5F8"/>
          </w:tcPr>
          <w:p>
            <w:pPr>
              <w:spacing w:after="40"/>
            </w:pPr>
            <w:r/>
            <w:r>
              <w:rPr>
                <w:rFonts w:ascii="Aptos" w:hAnsi="Aptos"/>
                <w:b w:val="0"/>
                <w:sz w:val="14"/>
              </w:rPr>
              <w:t>F-823-i13 rows 7–8: clarity and graduation scale; complete-kit rows 7–8/22: clarity, scale, plunger movement.</w:t>
            </w:r>
          </w:p>
        </w:tc>
        <w:tc>
          <w:tcPr>
            <w:tcW w:type="dxa" w:w="4104"/>
            <w:vAlign w:val="top"/>
            <w:shd w:fill="F2F5F8"/>
          </w:tcPr>
          <w:p>
            <w:pPr>
              <w:spacing w:after="40"/>
            </w:pPr>
            <w:r/>
            <w:r>
              <w:rPr>
                <w:rFonts w:ascii="Aptos" w:hAnsi="Aptos"/>
                <w:b w:val="0"/>
                <w:sz w:val="14"/>
              </w:rPr>
              <w:t>Record syringe supplier/lot/capacity/spec revision and qualification report reference; keep in-process movement/marking outcome separate.</w:t>
            </w:r>
          </w:p>
        </w:tc>
        <w:tc>
          <w:tcPr>
            <w:tcW w:type="dxa" w:w="3312"/>
            <w:vAlign w:val="top"/>
            <w:shd w:fill="F2F5F8"/>
          </w:tcPr>
          <w:p>
            <w:pPr>
              <w:spacing w:after="40"/>
            </w:pPr>
            <w:r/>
            <w:r>
              <w:rPr>
                <w:rFonts w:ascii="Aptos" w:hAnsi="Aptos"/>
                <w:b w:val="0"/>
                <w:sz w:val="14"/>
              </w:rPr>
              <w:t>Required Evidence: Approved syringe technical specification, actual design tests and accepted-supplier evidence. Status: OPEN — EVIDENCE.</w:t>
              <w:br/>
              <w:t>Verification route: Qualification / periodic controlled evidence</w:t>
              <w:br/>
              <w:t>Available ID: NOT VERIFIED</w:t>
              <w:br/>
              <w:t>Current closure: OPEN — NOT VERIFIED</w:t>
            </w:r>
          </w:p>
        </w:tc>
      </w:tr>
      <w:tr>
        <w:tc>
          <w:tcPr>
            <w:tcW w:type="dxa" w:w="2592"/>
            <w:vAlign w:val="top"/>
          </w:tcPr>
          <w:p>
            <w:pPr>
              <w:spacing w:after="40"/>
            </w:pPr>
            <w:r/>
            <w:r>
              <w:rPr>
                <w:rFonts w:ascii="Aptos" w:hAnsi="Aptos"/>
                <w:b w:val="0"/>
                <w:sz w:val="14"/>
              </w:rPr>
              <w:t>CVC-G11 | P1 | Luer connector type-test linkage</w:t>
              <w:br/>
              <w:t>Problem: Existing control cannot prove the full verified requirement or its approved alternative route.</w:t>
            </w:r>
          </w:p>
        </w:tc>
        <w:tc>
          <w:tcPr>
            <w:tcW w:type="dxa" w:w="2880"/>
            <w:vAlign w:val="top"/>
          </w:tcPr>
          <w:p>
            <w:pPr>
              <w:spacing w:after="40"/>
            </w:pPr>
            <w:r/>
            <w:r>
              <w:rPr>
                <w:rFonts w:ascii="Aptos" w:hAnsi="Aptos"/>
                <w:b w:val="0"/>
                <w:sz w:val="14"/>
              </w:rPr>
              <w:t>ISO 80369-7:2016, 4.2–4.3, 5, 6.1–6.6 and Annexes B/C, ISO pp.4–6, PDF pp.11–13</w:t>
              <w:br/>
              <w:t>ISO Says: Relevant Luer connectors require material/modulus controls, Annex B dimensions and applicable type-test performance (leakage, sub-atmospheric air, stress cracking, separation and lock-only tests). These are type tests under §4.3.</w:t>
            </w:r>
          </w:p>
        </w:tc>
        <w:tc>
          <w:tcPr>
            <w:tcW w:type="dxa" w:w="2520"/>
            <w:vAlign w:val="top"/>
          </w:tcPr>
          <w:p>
            <w:pPr>
              <w:spacing w:after="40"/>
            </w:pPr>
            <w:r/>
            <w:r>
              <w:rPr>
                <w:rFonts w:ascii="Aptos" w:hAnsi="Aptos"/>
                <w:b w:val="0"/>
                <w:sz w:val="14"/>
              </w:rPr>
              <w:t>WI-DD-02 Rev.3, pp.2,4–6 references good Luer fit and no leakage; does not identify the qualification record for the full connector performance/type-test matrix.</w:t>
            </w:r>
          </w:p>
        </w:tc>
        <w:tc>
          <w:tcPr>
            <w:tcW w:type="dxa" w:w="4104"/>
            <w:vAlign w:val="top"/>
          </w:tcPr>
          <w:p>
            <w:pPr>
              <w:spacing w:after="40"/>
            </w:pPr>
            <w:r/>
            <w:r>
              <w:rPr>
                <w:rFonts w:ascii="Aptos" w:hAnsi="Aptos"/>
                <w:b w:val="0"/>
                <w:sz w:val="14"/>
              </w:rPr>
              <w:t>Proposed §8.9: For each male/female Luer connector type and material revision identify approved ISO 80369-7 design dossier, Annex B dimensions and applicable §6 type-test reports. In-process assembly checks use verified process-screening criteria and log evidence IDs; testing frequency follows approved risk/change control, not automatic hourly repetition.</w:t>
            </w:r>
          </w:p>
        </w:tc>
        <w:tc>
          <w:tcPr>
            <w:tcW w:type="dxa" w:w="2448"/>
            <w:vAlign w:val="top"/>
          </w:tcPr>
          <w:p>
            <w:pPr>
              <w:spacing w:after="40"/>
            </w:pPr>
            <w:r/>
            <w:r>
              <w:rPr>
                <w:rFonts w:ascii="Aptos" w:hAnsi="Aptos"/>
                <w:b w:val="0"/>
                <w:sz w:val="14"/>
              </w:rPr>
              <w:t>F-823-i13 row 19 and various kit accessory checks describe “good fitting/no leakage”.</w:t>
            </w:r>
          </w:p>
        </w:tc>
        <w:tc>
          <w:tcPr>
            <w:tcW w:type="dxa" w:w="4104"/>
            <w:vAlign w:val="top"/>
          </w:tcPr>
          <w:p>
            <w:pPr>
              <w:spacing w:after="40"/>
            </w:pPr>
            <w:r/>
            <w:r>
              <w:rPr>
                <w:rFonts w:ascii="Aptos" w:hAnsi="Aptos"/>
                <w:b w:val="0"/>
                <w:sz w:val="14"/>
              </w:rPr>
              <w:t>Luer type, material, component lot and supplier, approved drawing/revision, type-test reference, periodic check due/status and in-process fitting result.</w:t>
            </w:r>
          </w:p>
        </w:tc>
        <w:tc>
          <w:tcPr>
            <w:tcW w:type="dxa" w:w="3312"/>
            <w:vAlign w:val="top"/>
          </w:tcPr>
          <w:p>
            <w:pPr>
              <w:spacing w:after="40"/>
            </w:pPr>
            <w:r/>
            <w:r>
              <w:rPr>
                <w:rFonts w:ascii="Aptos" w:hAnsi="Aptos"/>
                <w:b w:val="0"/>
                <w:sz w:val="14"/>
              </w:rPr>
              <w:t>Required Evidence: Approved Luer design/type-test dossier including applicable ISO 80369-7 clauses and ISO 80369-20 test methods (latter not supplied). Status: OPEN — EVIDENCE / MISSING SOURCE.</w:t>
              <w:br/>
              <w:t>Verification route: Qualification / periodic controlled evidence</w:t>
              <w:br/>
              <w:t>Available ID: NOT VERIFIED</w:t>
              <w:br/>
              <w:t>Current closure: OPEN — NOT VERIFIED</w:t>
            </w:r>
          </w:p>
        </w:tc>
      </w:tr>
      <w:tr>
        <w:tc>
          <w:tcPr>
            <w:tcW w:type="dxa" w:w="2592"/>
            <w:vAlign w:val="top"/>
            <w:shd w:fill="F2F5F8"/>
          </w:tcPr>
          <w:p>
            <w:pPr>
              <w:spacing w:after="40"/>
            </w:pPr>
            <w:r/>
            <w:r>
              <w:rPr>
                <w:rFonts w:ascii="Aptos" w:hAnsi="Aptos"/>
                <w:b w:val="0"/>
                <w:sz w:val="14"/>
              </w:rPr>
              <w:t>CVC-G12 | P1 | Validated EO cycle and sterilization release record traceability</w:t>
              <w:br/>
              <w:t>Problem: Existing control cannot prove the full verified requirement or its approved alternative route.</w:t>
            </w:r>
          </w:p>
        </w:tc>
        <w:tc>
          <w:tcPr>
            <w:tcW w:type="dxa" w:w="2880"/>
            <w:vAlign w:val="top"/>
            <w:shd w:fill="F2F5F8"/>
          </w:tcPr>
          <w:p>
            <w:pPr>
              <w:spacing w:after="40"/>
            </w:pPr>
            <w:r/>
            <w:r>
              <w:rPr>
                <w:rFonts w:ascii="Aptos" w:hAnsi="Aptos"/>
                <w:b w:val="0"/>
                <w:sz w:val="14"/>
              </w:rPr>
              <w:t>ISO 11135:2014, 11.1–11.3, ISO p.23, PDF p.35</w:t>
              <w:br/>
              <w:t>ISO Says: EO sterilization load release requires documented conformance to routine process specification, BI outcome if used, and a controlled nonconformity response when acceptance is not met.</w:t>
            </w:r>
          </w:p>
        </w:tc>
        <w:tc>
          <w:tcPr>
            <w:tcW w:type="dxa" w:w="2520"/>
            <w:vAlign w:val="top"/>
            <w:shd w:fill="F2F5F8"/>
          </w:tcPr>
          <w:p>
            <w:pPr>
              <w:spacing w:after="40"/>
            </w:pPr>
            <w:r/>
            <w:r>
              <w:rPr>
                <w:rFonts w:ascii="Aptos" w:hAnsi="Aptos"/>
                <w:b w:val="0"/>
                <w:sz w:val="14"/>
              </w:rPr>
              <w:t>WI-DD-02 Rev.3, p.9 §§8–9 references WI-7-5-1-1 and review of cycle/test data but provides no actual linked load/cycle acceptance record within the attached WI.</w:t>
            </w:r>
          </w:p>
        </w:tc>
        <w:tc>
          <w:tcPr>
            <w:tcW w:type="dxa" w:w="4104"/>
            <w:vAlign w:val="top"/>
            <w:shd w:fill="F2F5F8"/>
          </w:tcPr>
          <w:p>
            <w:pPr>
              <w:spacing w:after="40"/>
            </w:pPr>
            <w:r/>
            <w:r>
              <w:rPr>
                <w:rFonts w:ascii="Aptos" w:hAnsi="Aptos"/>
                <w:b w:val="0"/>
                <w:sz w:val="14"/>
              </w:rPr>
              <w:t>Proposed §§10–11: No batch shall be released solely because a proposed form is completed. QC/QA shall verify sterilization load/cycle ID and complete documented ISO 11135 §11.1 criteria, including any applicable BI, deviations, other product-release prerequisites and approved signatures. Link the CVC product lot to sterilization records.</w:t>
            </w:r>
          </w:p>
        </w:tc>
        <w:tc>
          <w:tcPr>
            <w:tcW w:type="dxa" w:w="2448"/>
            <w:vAlign w:val="top"/>
            <w:shd w:fill="F2F5F8"/>
          </w:tcPr>
          <w:p>
            <w:pPr>
              <w:spacing w:after="40"/>
            </w:pPr>
            <w:r/>
            <w:r>
              <w:rPr>
                <w:rFonts w:ascii="Aptos" w:hAnsi="Aptos"/>
                <w:b w:val="0"/>
                <w:sz w:val="14"/>
              </w:rPr>
              <w:t>F-823-i13/i13-2 do not include a linked EO load/cycle release evidence field; these are in-process records rather than sterilization release approvals.</w:t>
            </w:r>
          </w:p>
        </w:tc>
        <w:tc>
          <w:tcPr>
            <w:tcW w:type="dxa" w:w="4104"/>
            <w:vAlign w:val="top"/>
            <w:shd w:fill="F2F5F8"/>
          </w:tcPr>
          <w:p>
            <w:pPr>
              <w:spacing w:after="40"/>
            </w:pPr>
            <w:r/>
            <w:r>
              <w:rPr>
                <w:rFonts w:ascii="Aptos" w:hAnsi="Aptos"/>
                <w:b w:val="0"/>
                <w:sz w:val="14"/>
              </w:rPr>
              <w:t>Add reference-only field “EO load/cycle ID / controlled release record ID” and leave formal release to authorized release documentation, not the in-process checklist.</w:t>
            </w:r>
          </w:p>
        </w:tc>
        <w:tc>
          <w:tcPr>
            <w:tcW w:type="dxa" w:w="3312"/>
            <w:vAlign w:val="top"/>
            <w:shd w:fill="F2F5F8"/>
          </w:tcPr>
          <w:p>
            <w:pPr>
              <w:spacing w:after="40"/>
            </w:pPr>
            <w:r/>
            <w:r>
              <w:rPr>
                <w:rFonts w:ascii="Aptos" w:hAnsi="Aptos"/>
                <w:b w:val="0"/>
                <w:sz w:val="14"/>
              </w:rPr>
              <w:t>Required Evidence: Validated process/qualification, individual load cycle record, BI evidence as applicable, deviation decisions, documented authorized release. Status: OPEN — EVIDENCE.</w:t>
              <w:br/>
              <w:t>Verification route: Qualification / periodic controlled evidence</w:t>
              <w:br/>
              <w:t>Available ID: NOT VERIFIED</w:t>
              <w:br/>
              <w:t>Current closure: OPEN — NOT VERIFIED</w:t>
            </w:r>
          </w:p>
        </w:tc>
      </w:tr>
      <w:tr>
        <w:tc>
          <w:tcPr>
            <w:tcW w:type="dxa" w:w="2592"/>
            <w:vAlign w:val="top"/>
          </w:tcPr>
          <w:p>
            <w:pPr>
              <w:spacing w:after="40"/>
            </w:pPr>
            <w:r/>
            <w:r>
              <w:rPr>
                <w:rFonts w:ascii="Aptos" w:hAnsi="Aptos"/>
                <w:b w:val="0"/>
                <w:sz w:val="14"/>
              </w:rPr>
              <w:t>CVC-G13 | P2 | Conflicting F-823-i13-2 description and record ownership</w:t>
              <w:br/>
              <w:t>Problem: Existing control cannot prove the full verified requirement or its approved alternative route.</w:t>
            </w:r>
          </w:p>
        </w:tc>
        <w:tc>
          <w:tcPr>
            <w:tcW w:type="dxa" w:w="2880"/>
            <w:vAlign w:val="top"/>
          </w:tcPr>
          <w:p>
            <w:pPr>
              <w:spacing w:after="40"/>
            </w:pPr>
            <w:r/>
            <w:r>
              <w:rPr>
                <w:rFonts w:ascii="Aptos" w:hAnsi="Aptos"/>
                <w:b w:val="0"/>
                <w:sz w:val="14"/>
              </w:rPr>
              <w:t>Document control reconciliation; source WI-DD-02 Rev.3, p.10 §10 vs F-823-i13-2 Rev.1 header; no ISO clause claimed</w:t>
              <w:br/>
              <w:t>ISO Says: This finding concerns contradictory controlled document descriptions, not a directly cited product ISO technical requirement.</w:t>
            </w:r>
          </w:p>
        </w:tc>
        <w:tc>
          <w:tcPr>
            <w:tcW w:type="dxa" w:w="2520"/>
            <w:vAlign w:val="top"/>
          </w:tcPr>
          <w:p>
            <w:pPr>
              <w:spacing w:after="40"/>
            </w:pPr>
            <w:r/>
            <w:r>
              <w:rPr>
                <w:rFonts w:ascii="Aptos" w:hAnsi="Aptos"/>
                <w:b w:val="0"/>
                <w:sz w:val="14"/>
              </w:rPr>
              <w:t>WI-DD-02 Rev.3, p.10 §10 lists “F-823-i13-2: In-process control for Guidewire Syringe”.</w:t>
            </w:r>
          </w:p>
        </w:tc>
        <w:tc>
          <w:tcPr>
            <w:tcW w:type="dxa" w:w="4104"/>
            <w:vAlign w:val="top"/>
          </w:tcPr>
          <w:p>
            <w:pPr>
              <w:spacing w:after="40"/>
            </w:pPr>
            <w:r/>
            <w:r>
              <w:rPr>
                <w:rFonts w:ascii="Aptos" w:hAnsi="Aptos"/>
                <w:b w:val="0"/>
                <w:sz w:val="14"/>
              </w:rPr>
              <w:t>Proposed §12.2: F-823-i13-2 shall be described in the document index by its verified approved function and revision. Current attachment carries “In-process control for CVC Complete kit”; do not silently change identity or infer supersession. Document Control shall reconcile and issue an authorized controlled index correction.</w:t>
            </w:r>
          </w:p>
        </w:tc>
        <w:tc>
          <w:tcPr>
            <w:tcW w:type="dxa" w:w="2448"/>
            <w:vAlign w:val="top"/>
          </w:tcPr>
          <w:p>
            <w:pPr>
              <w:spacing w:after="40"/>
            </w:pPr>
            <w:r/>
            <w:r>
              <w:rPr>
                <w:rFonts w:ascii="Aptos" w:hAnsi="Aptos"/>
                <w:b w:val="0"/>
                <w:sz w:val="14"/>
              </w:rPr>
              <w:t>Actual attached F-823-i13-2 Rev.1 header: “In-process control for CVC Complete kit”, pp.1–2, items 1–44.</w:t>
            </w:r>
          </w:p>
        </w:tc>
        <w:tc>
          <w:tcPr>
            <w:tcW w:type="dxa" w:w="4104"/>
            <w:vAlign w:val="top"/>
          </w:tcPr>
          <w:p>
            <w:pPr>
              <w:spacing w:after="40"/>
            </w:pPr>
            <w:r/>
            <w:r>
              <w:rPr>
                <w:rFonts w:ascii="Aptos" w:hAnsi="Aptos"/>
                <w:b w:val="0"/>
                <w:sz w:val="14"/>
              </w:rPr>
              <w:t>Preserve F-823-i13-2 number and two-page structure in draft. Add controlled approval and actual revision confirmation before effective use.</w:t>
            </w:r>
          </w:p>
        </w:tc>
        <w:tc>
          <w:tcPr>
            <w:tcW w:type="dxa" w:w="3312"/>
            <w:vAlign w:val="top"/>
          </w:tcPr>
          <w:p>
            <w:pPr>
              <w:spacing w:after="40"/>
            </w:pPr>
            <w:r/>
            <w:r>
              <w:rPr>
                <w:rFonts w:ascii="Aptos" w:hAnsi="Aptos"/>
                <w:b w:val="0"/>
                <w:sz w:val="14"/>
              </w:rPr>
              <w:t>Required Evidence: Approved document master list, change request, revision/effective-date confirmation, verified supersession if any. Status: OPEN — APPROVAL.</w:t>
              <w:br/>
              <w:t>Verification route: Document control</w:t>
              <w:br/>
              <w:t>Available ID: NOT VERIFIED</w:t>
              <w:br/>
              <w:t>Current closure: OPEN — NOT VERIFIED</w:t>
            </w:r>
          </w:p>
        </w:tc>
      </w:tr>
      <w:tr>
        <w:tc>
          <w:tcPr>
            <w:tcW w:type="dxa" w:w="2592"/>
            <w:vAlign w:val="top"/>
            <w:shd w:fill="F2F5F8"/>
          </w:tcPr>
          <w:p>
            <w:pPr>
              <w:spacing w:after="40"/>
            </w:pPr>
            <w:r/>
            <w:r>
              <w:rPr>
                <w:rFonts w:ascii="Aptos" w:hAnsi="Aptos"/>
                <w:b w:val="0"/>
                <w:sz w:val="14"/>
              </w:rPr>
              <w:t>CVC-G14 | P2 | Approval of applicable kit components and quantified checks</w:t>
              <w:br/>
              <w:t>Problem: Existing control cannot prove the full verified requirement or its approved alternative route.</w:t>
            </w:r>
          </w:p>
        </w:tc>
        <w:tc>
          <w:tcPr>
            <w:tcW w:type="dxa" w:w="2880"/>
            <w:vAlign w:val="top"/>
            <w:shd w:fill="F2F5F8"/>
          </w:tcPr>
          <w:p>
            <w:pPr>
              <w:spacing w:after="40"/>
            </w:pPr>
            <w:r/>
            <w:r>
              <w:rPr>
                <w:rFonts w:ascii="Aptos" w:hAnsi="Aptos"/>
                <w:b w:val="0"/>
                <w:sz w:val="14"/>
              </w:rPr>
              <w:t>ISO 11070:2014, 10 and Table 4, ISO pp.10–11, PDF pp.16–17</w:t>
              <w:br/>
              <w:t>ISO Says: For kits combining devices within ISO 11070, the manufacturer supplies applicable device size information and controls compatibility; the exact applicable set is configuration-dependent.</w:t>
            </w:r>
          </w:p>
        </w:tc>
        <w:tc>
          <w:tcPr>
            <w:tcW w:type="dxa" w:w="2520"/>
            <w:vAlign w:val="top"/>
            <w:shd w:fill="F2F5F8"/>
          </w:tcPr>
          <w:p>
            <w:pPr>
              <w:spacing w:after="40"/>
            </w:pPr>
            <w:r/>
            <w:r>
              <w:rPr>
                <w:rFonts w:ascii="Aptos" w:hAnsi="Aptos"/>
                <w:b w:val="0"/>
                <w:sz w:val="14"/>
              </w:rPr>
              <w:t>WI-DD-02 Rev.3, pp.7–8 includes multiple CVC configurations and p.8 §6 checks presence; explicit per-variant bill of materials/version to complete-kit form not provided.</w:t>
            </w:r>
          </w:p>
        </w:tc>
        <w:tc>
          <w:tcPr>
            <w:tcW w:type="dxa" w:w="4104"/>
            <w:vAlign w:val="top"/>
            <w:shd w:fill="F2F5F8"/>
          </w:tcPr>
          <w:p>
            <w:pPr>
              <w:spacing w:after="40"/>
            </w:pPr>
            <w:r/>
            <w:r>
              <w:rPr>
                <w:rFonts w:ascii="Aptos" w:hAnsi="Aptos"/>
                <w:b w:val="0"/>
                <w:sz w:val="14"/>
              </w:rPr>
              <w:t>Proposed §§6.1 and 8.10: For every selected CVC set/complete-kit product code verify approved BOM revision, guidewire/introducer/dilator compatibility and applicable design/specification reference. Record components and count vs the specific approved configuration; do not treat optional devices as universally mandatory.</w:t>
            </w:r>
          </w:p>
        </w:tc>
        <w:tc>
          <w:tcPr>
            <w:tcW w:type="dxa" w:w="2448"/>
            <w:vAlign w:val="top"/>
            <w:shd w:fill="F2F5F8"/>
          </w:tcPr>
          <w:p>
            <w:pPr>
              <w:spacing w:after="40"/>
            </w:pPr>
            <w:r/>
            <w:r>
              <w:rPr>
                <w:rFonts w:ascii="Aptos" w:hAnsi="Aptos"/>
                <w:b w:val="0"/>
                <w:sz w:val="14"/>
              </w:rPr>
              <w:t>F-823-i13-2 Rev.1, pp.1–2 includes 44 items but has no attached approved BOM/variant specific quantities in supplied materials.</w:t>
            </w:r>
          </w:p>
        </w:tc>
        <w:tc>
          <w:tcPr>
            <w:tcW w:type="dxa" w:w="4104"/>
            <w:vAlign w:val="top"/>
            <w:shd w:fill="F2F5F8"/>
          </w:tcPr>
          <w:p>
            <w:pPr>
              <w:spacing w:after="40"/>
            </w:pPr>
            <w:r/>
            <w:r>
              <w:rPr>
                <w:rFonts w:ascii="Aptos" w:hAnsi="Aptos"/>
                <w:b w:val="0"/>
                <w:sz w:val="14"/>
              </w:rPr>
              <w:t>Kit variant/product code; BOM ID/rev; required component/qty; present component/qty; component lot and result; open deviations/approval reference.</w:t>
            </w:r>
          </w:p>
        </w:tc>
        <w:tc>
          <w:tcPr>
            <w:tcW w:type="dxa" w:w="3312"/>
            <w:vAlign w:val="top"/>
            <w:shd w:fill="F2F5F8"/>
          </w:tcPr>
          <w:p>
            <w:pPr>
              <w:spacing w:after="40"/>
            </w:pPr>
            <w:r/>
            <w:r>
              <w:rPr>
                <w:rFonts w:ascii="Aptos" w:hAnsi="Aptos"/>
                <w:b w:val="0"/>
                <w:sz w:val="14"/>
              </w:rPr>
              <w:t>Required Evidence: Approved BOM and packaging drawing per set, reconciliation checklist and completed kit records. Status: OPEN — TECHNICAL INPUT / EVIDENCE.</w:t>
              <w:br/>
              <w:t>Verification route: Qualification / periodic controlled evidence</w:t>
              <w:br/>
              <w:t>Available ID: NOT VERIFIED</w:t>
              <w:br/>
              <w:t>Current closure: OPEN — NOT VERIFIED</w:t>
            </w:r>
          </w:p>
        </w:tc>
      </w:tr>
    </w:tbl>
    <w:p>
      <w:pPr>
        <w:pStyle w:val="Heading1"/>
      </w:pPr>
      <w:r>
        <w:t>8. Required tests and verification strategy</w:t>
      </w:r>
    </w:p>
    <w:tbl>
      <w:tblPr>
        <w:tblStyle w:val="TableGrid"/>
        <w:tblW w:type="auto" w:w="0"/>
        <w:jc w:val="center"/>
        <w:tblLayout w:type="fixed"/>
        <w:tblLook w:firstColumn="1" w:firstRow="1" w:lastColumn="0" w:lastRow="0" w:noHBand="0" w:noVBand="1" w:val="04A0"/>
      </w:tblPr>
      <w:tblGrid>
        <w:gridCol w:w="11016"/>
        <w:gridCol w:w="11016"/>
      </w:tblGrid>
      <w:tr>
        <w:trPr>
          <w:tblHeader w:val="true"/>
        </w:trPr>
        <w:tc>
          <w:tcPr>
            <w:tcW w:type="dxa" w:w="11016"/>
            <w:shd w:fill="12304C"/>
          </w:tcPr>
          <w:p>
            <w:pPr>
              <w:spacing w:after="40"/>
            </w:pPr>
            <w:r>
              <w:rPr>
                <w:color w:val="FFFFFF"/>
              </w:rPr>
            </w:r>
            <w:r>
              <w:rPr>
                <w:rFonts w:ascii="Aptos" w:hAnsi="Aptos"/>
                <w:b/>
                <w:color w:val="FFFFFF"/>
                <w:sz w:val="17"/>
              </w:rPr>
              <w:t>Control route</w:t>
            </w:r>
          </w:p>
        </w:tc>
        <w:tc>
          <w:tcPr>
            <w:tcW w:type="dxa" w:w="11016"/>
            <w:shd w:fill="12304C"/>
          </w:tcPr>
          <w:p>
            <w:pPr>
              <w:spacing w:after="40"/>
            </w:pPr>
            <w:r>
              <w:rPr>
                <w:color w:val="FFFFFF"/>
              </w:rPr>
            </w:r>
            <w:r>
              <w:rPr>
                <w:rFonts w:ascii="Aptos" w:hAnsi="Aptos"/>
                <w:b/>
                <w:color w:val="FFFFFF"/>
                <w:sz w:val="17"/>
              </w:rPr>
              <w:t>Required linkage</w:t>
            </w:r>
          </w:p>
        </w:tc>
      </w:tr>
      <w:tr>
        <w:tc>
          <w:tcPr>
            <w:tcW w:type="dxa" w:w="11016"/>
            <w:vAlign w:val="top"/>
          </w:tcPr>
          <w:p>
            <w:pPr>
              <w:spacing w:after="40"/>
            </w:pPr>
            <w:r/>
            <w:r>
              <w:rPr>
                <w:rFonts w:ascii="Aptos" w:hAnsi="Aptos"/>
                <w:b w:val="0"/>
                <w:sz w:val="17"/>
              </w:rPr>
              <w:t>Routine in-process</w:t>
            </w:r>
          </w:p>
        </w:tc>
        <w:tc>
          <w:tcPr>
            <w:tcW w:type="dxa" w:w="11016"/>
            <w:vAlign w:val="top"/>
          </w:tcPr>
          <w:p>
            <w:pPr>
              <w:spacing w:after="40"/>
            </w:pPr>
            <w:r/>
            <w:r>
              <w:rPr>
                <w:rFonts w:ascii="Aptos" w:hAnsi="Aptos"/>
                <w:b w:val="0"/>
                <w:sz w:val="17"/>
              </w:rPr>
              <w:t>Appearance, component completeness, dimensions and company-validated line screening; continue original intervals until the approved control plan changes.</w:t>
            </w:r>
          </w:p>
        </w:tc>
      </w:tr>
      <w:tr>
        <w:tc>
          <w:tcPr>
            <w:tcW w:type="dxa" w:w="11016"/>
            <w:vAlign w:val="top"/>
            <w:shd w:fill="F2F5F8"/>
          </w:tcPr>
          <w:p>
            <w:pPr>
              <w:spacing w:after="40"/>
            </w:pPr>
            <w:r/>
            <w:r>
              <w:rPr>
                <w:rFonts w:ascii="Aptos" w:hAnsi="Aptos"/>
                <w:b w:val="0"/>
                <w:sz w:val="17"/>
              </w:rPr>
              <w:t>Incoming / supplier</w:t>
            </w:r>
          </w:p>
        </w:tc>
        <w:tc>
          <w:tcPr>
            <w:tcW w:type="dxa" w:w="11016"/>
            <w:vAlign w:val="top"/>
            <w:shd w:fill="F2F5F8"/>
          </w:tcPr>
          <w:p>
            <w:pPr>
              <w:spacing w:after="40"/>
            </w:pPr>
            <w:r/>
            <w:r>
              <w:rPr>
                <w:rFonts w:ascii="Aptos" w:hAnsi="Aptos"/>
                <w:b w:val="0"/>
                <w:sz w:val="17"/>
              </w:rPr>
              <w:t>Material identity, approved certificates and purchased accessory specifications with lot traceability.</w:t>
            </w:r>
          </w:p>
        </w:tc>
      </w:tr>
      <w:tr>
        <w:tc>
          <w:tcPr>
            <w:tcW w:type="dxa" w:w="11016"/>
            <w:vAlign w:val="top"/>
          </w:tcPr>
          <w:p>
            <w:pPr>
              <w:spacing w:after="40"/>
            </w:pPr>
            <w:r/>
            <w:r>
              <w:rPr>
                <w:rFonts w:ascii="Aptos" w:hAnsi="Aptos"/>
                <w:b w:val="0"/>
                <w:sz w:val="17"/>
              </w:rPr>
              <w:t>Design / qualification / type</w:t>
            </w:r>
          </w:p>
        </w:tc>
        <w:tc>
          <w:tcPr>
            <w:tcW w:type="dxa" w:w="11016"/>
            <w:vAlign w:val="top"/>
          </w:tcPr>
          <w:p>
            <w:pPr>
              <w:spacing w:after="40"/>
            </w:pPr>
            <w:r/>
            <w:r>
              <w:rPr>
                <w:rFonts w:ascii="Aptos" w:hAnsi="Aptos"/>
                <w:b w:val="0"/>
                <w:sz w:val="17"/>
              </w:rPr>
              <w:t>Standards-required performance evidence where a type-test route is identified; justify intervals and requalification triggers.</w:t>
            </w:r>
          </w:p>
        </w:tc>
      </w:tr>
      <w:tr>
        <w:tc>
          <w:tcPr>
            <w:tcW w:type="dxa" w:w="11016"/>
            <w:vAlign w:val="top"/>
            <w:shd w:fill="F2F5F8"/>
          </w:tcPr>
          <w:p>
            <w:pPr>
              <w:spacing w:after="40"/>
            </w:pPr>
            <w:r/>
            <w:r>
              <w:rPr>
                <w:rFonts w:ascii="Aptos" w:hAnsi="Aptos"/>
                <w:b w:val="0"/>
                <w:sz w:val="17"/>
              </w:rPr>
              <w:t>Periodic / change-triggered</w:t>
            </w:r>
          </w:p>
        </w:tc>
        <w:tc>
          <w:tcPr>
            <w:tcW w:type="dxa" w:w="11016"/>
            <w:vAlign w:val="top"/>
            <w:shd w:fill="F2F5F8"/>
          </w:tcPr>
          <w:p>
            <w:pPr>
              <w:spacing w:after="40"/>
            </w:pPr>
            <w:r/>
            <w:r>
              <w:rPr>
                <w:rFonts w:ascii="Aptos" w:hAnsi="Aptos"/>
                <w:b w:val="0"/>
                <w:sz w:val="17"/>
              </w:rPr>
              <w:t>Re-evaluate approved method, test evidence and component/packaging material/tooling changes based on documented risk assessment.</w:t>
            </w:r>
          </w:p>
        </w:tc>
      </w:tr>
      <w:tr>
        <w:tc>
          <w:tcPr>
            <w:tcW w:type="dxa" w:w="11016"/>
            <w:vAlign w:val="top"/>
          </w:tcPr>
          <w:p>
            <w:pPr>
              <w:spacing w:after="40"/>
            </w:pPr>
            <w:r/>
            <w:r>
              <w:rPr>
                <w:rFonts w:ascii="Aptos" w:hAnsi="Aptos"/>
                <w:b w:val="0"/>
                <w:sz w:val="17"/>
              </w:rPr>
              <w:t>Sterilization release</w:t>
            </w:r>
          </w:p>
        </w:tc>
        <w:tc>
          <w:tcPr>
            <w:tcW w:type="dxa" w:w="11016"/>
            <w:vAlign w:val="top"/>
          </w:tcPr>
          <w:p>
            <w:pPr>
              <w:spacing w:after="40"/>
            </w:pPr>
            <w:r/>
            <w:r>
              <w:rPr>
                <w:rFonts w:ascii="Aptos" w:hAnsi="Aptos"/>
                <w:b w:val="0"/>
                <w:sz w:val="17"/>
              </w:rPr>
              <w:t>EO cycle acceptance and authorized load disposition in a separate controlled record under ISO 11135 §11.</w:t>
            </w:r>
          </w:p>
        </w:tc>
      </w:tr>
    </w:tbl>
    <w:p>
      <w:pPr>
        <w:pStyle w:val="Heading1"/>
      </w:pPr>
      <w:r>
        <w:t>9. Revised WI overview</w:t>
      </w:r>
    </w:p>
    <w:p>
      <w:r>
        <w:t>Separate proposed full WI included in this package; identifiers, section numbers and each change are cross-referenced to the above Gap IDs. This revised draft is not an approved operating instruction.</w:t>
      </w:r>
    </w:p>
    <w:p>
      <w:pPr>
        <w:pStyle w:val="Heading1"/>
      </w:pPr>
      <w:r>
        <w:t>10. Revised In-Process Record overview</w:t>
      </w:r>
    </w:p>
    <w:p>
      <w:r>
        <w:t>Revised operational forms are issued as SIX separate editable XLSX draft files retaining their original F-823 identities, monitoring stages and essential checks. A separate Word process-control strategy document provides their mapping. No composite Excel form supersedes the originals.</w:t>
      </w:r>
    </w:p>
    <w:p>
      <w:pPr>
        <w:pStyle w:val="Heading1"/>
      </w:pPr>
      <w:r>
        <w:t>11. ISO Closure Review</w:t>
      </w:r>
    </w:p>
    <w:p>
      <w:r>
        <w:t>0/14 proposed changes are “Verified Closed”. Each gap is OPEN — EVIDENCE, OPEN — TECHNICAL INPUT and/or OPEN — APPROVAL, as individually specified above. Documentary coverage means proposed wording exists; it does not establish product conformity or operational closure.</w:t>
      </w:r>
    </w:p>
    <w:p>
      <w:pPr>
        <w:pStyle w:val="Heading1"/>
      </w:pPr>
      <w:r>
        <w:t>12. QC Manager Decision &amp; Action Plan</w:t>
      </w:r>
    </w:p>
    <w:tbl>
      <w:tblPr>
        <w:tblStyle w:val="TableGrid"/>
        <w:tblW w:type="auto" w:w="0"/>
        <w:jc w:val="center"/>
        <w:tblLayout w:type="fixed"/>
        <w:tblLook w:firstColumn="1" w:firstRow="1" w:lastColumn="0" w:lastRow="0" w:noHBand="0" w:noVBand="1" w:val="04A0"/>
      </w:tblPr>
      <w:tblGrid>
        <w:gridCol w:w="4406"/>
        <w:gridCol w:w="4406"/>
        <w:gridCol w:w="4406"/>
        <w:gridCol w:w="4406"/>
        <w:gridCol w:w="4406"/>
      </w:tblGrid>
      <w:tr>
        <w:trPr>
          <w:tblHeader w:val="true"/>
        </w:trPr>
        <w:tc>
          <w:tcPr>
            <w:tcW w:type="dxa" w:w="4406"/>
            <w:shd w:fill="12304C"/>
          </w:tcPr>
          <w:p>
            <w:pPr>
              <w:spacing w:after="40"/>
            </w:pPr>
            <w:r>
              <w:rPr>
                <w:color w:val="FFFFFF"/>
              </w:rPr>
            </w:r>
            <w:r>
              <w:rPr>
                <w:rFonts w:ascii="Aptos" w:hAnsi="Aptos"/>
                <w:b/>
                <w:color w:val="FFFFFF"/>
                <w:sz w:val="15"/>
              </w:rPr>
              <w:t>Gap</w:t>
            </w:r>
          </w:p>
        </w:tc>
        <w:tc>
          <w:tcPr>
            <w:tcW w:type="dxa" w:w="4406"/>
            <w:shd w:fill="12304C"/>
          </w:tcPr>
          <w:p>
            <w:pPr>
              <w:spacing w:after="40"/>
            </w:pPr>
            <w:r>
              <w:rPr>
                <w:color w:val="FFFFFF"/>
              </w:rPr>
            </w:r>
            <w:r>
              <w:rPr>
                <w:rFonts w:ascii="Aptos" w:hAnsi="Aptos"/>
                <w:b/>
                <w:color w:val="FFFFFF"/>
                <w:sz w:val="15"/>
              </w:rPr>
              <w:t>Pri</w:t>
            </w:r>
          </w:p>
        </w:tc>
        <w:tc>
          <w:tcPr>
            <w:tcW w:type="dxa" w:w="4406"/>
            <w:shd w:fill="12304C"/>
          </w:tcPr>
          <w:p>
            <w:pPr>
              <w:spacing w:after="40"/>
            </w:pPr>
            <w:r>
              <w:rPr>
                <w:color w:val="FFFFFF"/>
              </w:rPr>
            </w:r>
            <w:r>
              <w:rPr>
                <w:rFonts w:ascii="Aptos" w:hAnsi="Aptos"/>
                <w:b/>
                <w:color w:val="FFFFFF"/>
                <w:sz w:val="15"/>
              </w:rPr>
              <w:t>Action owner (function)</w:t>
            </w:r>
          </w:p>
        </w:tc>
        <w:tc>
          <w:tcPr>
            <w:tcW w:type="dxa" w:w="4406"/>
            <w:shd w:fill="12304C"/>
          </w:tcPr>
          <w:p>
            <w:pPr>
              <w:spacing w:after="40"/>
            </w:pPr>
            <w:r>
              <w:rPr>
                <w:color w:val="FFFFFF"/>
              </w:rPr>
            </w:r>
            <w:r>
              <w:rPr>
                <w:rFonts w:ascii="Aptos" w:hAnsi="Aptos"/>
                <w:b/>
                <w:color w:val="FFFFFF"/>
                <w:sz w:val="15"/>
              </w:rPr>
              <w:t>Required action / objective record</w:t>
            </w:r>
          </w:p>
        </w:tc>
        <w:tc>
          <w:tcPr>
            <w:tcW w:type="dxa" w:w="4406"/>
            <w:shd w:fill="12304C"/>
          </w:tcPr>
          <w:p>
            <w:pPr>
              <w:spacing w:after="40"/>
            </w:pPr>
            <w:r>
              <w:rPr>
                <w:color w:val="FFFFFF"/>
              </w:rPr>
            </w:r>
            <w:r>
              <w:rPr>
                <w:rFonts w:ascii="Aptos" w:hAnsi="Aptos"/>
                <w:b/>
                <w:color w:val="FFFFFF"/>
                <w:sz w:val="15"/>
              </w:rPr>
              <w:t>Status</w:t>
            </w:r>
          </w:p>
        </w:tc>
      </w:tr>
      <w:tr>
        <w:tc>
          <w:tcPr>
            <w:tcW w:type="dxa" w:w="4406"/>
            <w:vAlign w:val="top"/>
          </w:tcPr>
          <w:p>
            <w:pPr>
              <w:spacing w:after="40"/>
            </w:pPr>
            <w:r/>
            <w:r>
              <w:rPr>
                <w:rFonts w:ascii="Aptos" w:hAnsi="Aptos"/>
                <w:b w:val="0"/>
                <w:sz w:val="15"/>
              </w:rPr>
              <w:t>CVC-G01</w:t>
            </w:r>
          </w:p>
        </w:tc>
        <w:tc>
          <w:tcPr>
            <w:tcW w:type="dxa" w:w="4406"/>
            <w:vAlign w:val="top"/>
          </w:tcPr>
          <w:p>
            <w:pPr>
              <w:spacing w:after="40"/>
            </w:pPr>
            <w:r/>
            <w:r>
              <w:rPr>
                <w:rFonts w:ascii="Aptos" w:hAnsi="Aptos"/>
                <w:b w:val="0"/>
                <w:sz w:val="15"/>
              </w:rPr>
              <w:t>P1</w:t>
            </w:r>
          </w:p>
        </w:tc>
        <w:tc>
          <w:tcPr>
            <w:tcW w:type="dxa" w:w="4406"/>
            <w:vAlign w:val="top"/>
          </w:tcPr>
          <w:p>
            <w:pPr>
              <w:spacing w:after="40"/>
            </w:pPr>
            <w:r/>
            <w:r>
              <w:rPr>
                <w:rFonts w:ascii="Aptos" w:hAnsi="Aptos"/>
                <w:b w:val="0"/>
                <w:sz w:val="15"/>
              </w:rPr>
              <w:t>Engineering / QC / QA</w:t>
            </w:r>
          </w:p>
        </w:tc>
        <w:tc>
          <w:tcPr>
            <w:tcW w:type="dxa" w:w="4406"/>
            <w:vAlign w:val="top"/>
          </w:tcPr>
          <w:p>
            <w:pPr>
              <w:spacing w:after="40"/>
            </w:pPr>
            <w:r/>
            <w:r>
              <w:rPr>
                <w:rFonts w:ascii="Aptos" w:hAnsi="Aptos"/>
                <w:b w:val="0"/>
                <w:sz w:val="15"/>
              </w:rPr>
              <w:t>Catheter-shaft tensile acceptance separated from soft-tip requirements; Approved tensile matrix by component and size; Annex B or relevant soft-tip method report; instrument calibration; qualified test records and lot/design linkage. Existing 20 N criterion requires controlled authorization and ration</w:t>
            </w:r>
          </w:p>
        </w:tc>
        <w:tc>
          <w:tcPr>
            <w:tcW w:type="dxa" w:w="4406"/>
            <w:vAlign w:val="top"/>
          </w:tcPr>
          <w:p>
            <w:pPr>
              <w:spacing w:after="40"/>
            </w:pPr>
            <w:r/>
            <w:r>
              <w:rPr>
                <w:rFonts w:ascii="Aptos" w:hAnsi="Aptos"/>
                <w:b w:val="0"/>
                <w:sz w:val="15"/>
              </w:rPr>
              <w:t>OPEN</w:t>
            </w:r>
          </w:p>
        </w:tc>
      </w:tr>
      <w:tr>
        <w:tc>
          <w:tcPr>
            <w:tcW w:type="dxa" w:w="4406"/>
            <w:vAlign w:val="top"/>
            <w:shd w:fill="F2F5F8"/>
          </w:tcPr>
          <w:p>
            <w:pPr>
              <w:spacing w:after="40"/>
            </w:pPr>
            <w:r/>
            <w:r>
              <w:rPr>
                <w:rFonts w:ascii="Aptos" w:hAnsi="Aptos"/>
                <w:b w:val="0"/>
                <w:sz w:val="15"/>
              </w:rPr>
              <w:t>CVC-G02</w:t>
            </w:r>
          </w:p>
        </w:tc>
        <w:tc>
          <w:tcPr>
            <w:tcW w:type="dxa" w:w="4406"/>
            <w:vAlign w:val="top"/>
            <w:shd w:fill="F2F5F8"/>
          </w:tcPr>
          <w:p>
            <w:pPr>
              <w:spacing w:after="40"/>
            </w:pPr>
            <w:r/>
            <w:r>
              <w:rPr>
                <w:rFonts w:ascii="Aptos" w:hAnsi="Aptos"/>
                <w:b w:val="0"/>
                <w:sz w:val="15"/>
              </w:rPr>
              <w:t>P2</w:t>
            </w:r>
          </w:p>
        </w:tc>
        <w:tc>
          <w:tcPr>
            <w:tcW w:type="dxa" w:w="4406"/>
            <w:vAlign w:val="top"/>
            <w:shd w:fill="F2F5F8"/>
          </w:tcPr>
          <w:p>
            <w:pPr>
              <w:spacing w:after="40"/>
            </w:pPr>
            <w:r/>
            <w:r>
              <w:rPr>
                <w:rFonts w:ascii="Aptos" w:hAnsi="Aptos"/>
                <w:b w:val="0"/>
                <w:sz w:val="15"/>
              </w:rPr>
              <w:t>QC / Document Control</w:t>
            </w:r>
          </w:p>
        </w:tc>
        <w:tc>
          <w:tcPr>
            <w:tcW w:type="dxa" w:w="4406"/>
            <w:vAlign w:val="top"/>
            <w:shd w:fill="F2F5F8"/>
          </w:tcPr>
          <w:p>
            <w:pPr>
              <w:spacing w:after="40"/>
            </w:pPr>
            <w:r/>
            <w:r>
              <w:rPr>
                <w:rFonts w:ascii="Aptos" w:hAnsi="Aptos"/>
                <w:b w:val="0"/>
                <w:sz w:val="15"/>
              </w:rPr>
              <w:t>Flow-rate recording and lumen-specific criterion; Approved DD-02-PS flow claims and Annex E test reports by lumen; validated frequency decision. Status: OPEN — TECHNICAL INPUT / EVIDENCE.</w:t>
            </w:r>
          </w:p>
        </w:tc>
        <w:tc>
          <w:tcPr>
            <w:tcW w:type="dxa" w:w="4406"/>
            <w:vAlign w:val="top"/>
            <w:shd w:fill="F2F5F8"/>
          </w:tcPr>
          <w:p>
            <w:pPr>
              <w:spacing w:after="40"/>
            </w:pPr>
            <w:r/>
            <w:r>
              <w:rPr>
                <w:rFonts w:ascii="Aptos" w:hAnsi="Aptos"/>
                <w:b w:val="0"/>
                <w:sz w:val="15"/>
              </w:rPr>
              <w:t>OPEN</w:t>
            </w:r>
          </w:p>
        </w:tc>
      </w:tr>
      <w:tr>
        <w:tc>
          <w:tcPr>
            <w:tcW w:type="dxa" w:w="4406"/>
            <w:vAlign w:val="top"/>
          </w:tcPr>
          <w:p>
            <w:pPr>
              <w:spacing w:after="40"/>
            </w:pPr>
            <w:r/>
            <w:r>
              <w:rPr>
                <w:rFonts w:ascii="Aptos" w:hAnsi="Aptos"/>
                <w:b w:val="0"/>
                <w:sz w:val="15"/>
              </w:rPr>
              <w:t>CVC-G03</w:t>
            </w:r>
          </w:p>
        </w:tc>
        <w:tc>
          <w:tcPr>
            <w:tcW w:type="dxa" w:w="4406"/>
            <w:vAlign w:val="top"/>
          </w:tcPr>
          <w:p>
            <w:pPr>
              <w:spacing w:after="40"/>
            </w:pPr>
            <w:r/>
            <w:r>
              <w:rPr>
                <w:rFonts w:ascii="Aptos" w:hAnsi="Aptos"/>
                <w:b w:val="0"/>
                <w:sz w:val="15"/>
              </w:rPr>
              <w:t>P2</w:t>
            </w:r>
          </w:p>
        </w:tc>
        <w:tc>
          <w:tcPr>
            <w:tcW w:type="dxa" w:w="4406"/>
            <w:vAlign w:val="top"/>
          </w:tcPr>
          <w:p>
            <w:pPr>
              <w:spacing w:after="40"/>
            </w:pPr>
            <w:r/>
            <w:r>
              <w:rPr>
                <w:rFonts w:ascii="Aptos" w:hAnsi="Aptos"/>
                <w:b w:val="0"/>
                <w:sz w:val="15"/>
              </w:rPr>
              <w:t>QC / Document Control</w:t>
            </w:r>
          </w:p>
        </w:tc>
        <w:tc>
          <w:tcPr>
            <w:tcW w:type="dxa" w:w="4406"/>
            <w:vAlign w:val="top"/>
          </w:tcPr>
          <w:p>
            <w:pPr>
              <w:spacing w:after="40"/>
            </w:pPr>
            <w:r/>
            <w:r>
              <w:rPr>
                <w:rFonts w:ascii="Aptos" w:hAnsi="Aptos"/>
                <w:b w:val="0"/>
                <w:sz w:val="15"/>
              </w:rPr>
              <w:t>Objective magnification for patient-contacting surface examination; Approved visual standard, magnifier/instrument suitability, training and completed in-process records. Status: OPEN — EVIDENCE.</w:t>
            </w:r>
          </w:p>
        </w:tc>
        <w:tc>
          <w:tcPr>
            <w:tcW w:type="dxa" w:w="4406"/>
            <w:vAlign w:val="top"/>
          </w:tcPr>
          <w:p>
            <w:pPr>
              <w:spacing w:after="40"/>
            </w:pPr>
            <w:r/>
            <w:r>
              <w:rPr>
                <w:rFonts w:ascii="Aptos" w:hAnsi="Aptos"/>
                <w:b w:val="0"/>
                <w:sz w:val="15"/>
              </w:rPr>
              <w:t>OPEN</w:t>
            </w:r>
          </w:p>
        </w:tc>
      </w:tr>
      <w:tr>
        <w:tc>
          <w:tcPr>
            <w:tcW w:type="dxa" w:w="4406"/>
            <w:vAlign w:val="top"/>
            <w:shd w:fill="F2F5F8"/>
          </w:tcPr>
          <w:p>
            <w:pPr>
              <w:spacing w:after="40"/>
            </w:pPr>
            <w:r/>
            <w:r>
              <w:rPr>
                <w:rFonts w:ascii="Aptos" w:hAnsi="Aptos"/>
                <w:b w:val="0"/>
                <w:sz w:val="15"/>
              </w:rPr>
              <w:t>CVC-G04</w:t>
            </w:r>
          </w:p>
        </w:tc>
        <w:tc>
          <w:tcPr>
            <w:tcW w:type="dxa" w:w="4406"/>
            <w:vAlign w:val="top"/>
            <w:shd w:fill="F2F5F8"/>
          </w:tcPr>
          <w:p>
            <w:pPr>
              <w:spacing w:after="40"/>
            </w:pPr>
            <w:r/>
            <w:r>
              <w:rPr>
                <w:rFonts w:ascii="Aptos" w:hAnsi="Aptos"/>
                <w:b w:val="0"/>
                <w:sz w:val="15"/>
              </w:rPr>
              <w:t>P2</w:t>
            </w:r>
          </w:p>
        </w:tc>
        <w:tc>
          <w:tcPr>
            <w:tcW w:type="dxa" w:w="4406"/>
            <w:vAlign w:val="top"/>
            <w:shd w:fill="F2F5F8"/>
          </w:tcPr>
          <w:p>
            <w:pPr>
              <w:spacing w:after="40"/>
            </w:pPr>
            <w:r/>
            <w:r>
              <w:rPr>
                <w:rFonts w:ascii="Aptos" w:hAnsi="Aptos"/>
                <w:b w:val="0"/>
                <w:sz w:val="15"/>
              </w:rPr>
              <w:t>QC / Document Control</w:t>
            </w:r>
          </w:p>
        </w:tc>
        <w:tc>
          <w:tcPr>
            <w:tcW w:type="dxa" w:w="4406"/>
            <w:vAlign w:val="top"/>
            <w:shd w:fill="F2F5F8"/>
          </w:tcPr>
          <w:p>
            <w:pPr>
              <w:spacing w:after="40"/>
            </w:pPr>
            <w:r/>
            <w:r>
              <w:rPr>
                <w:rFonts w:ascii="Aptos" w:hAnsi="Aptos"/>
                <w:b w:val="0"/>
                <w:sz w:val="15"/>
              </w:rPr>
              <w:t>Radio-detectability traceability and risk applicability; Risk assessment, qualified radio-detectability test, materials traceability and change-control review. Status: OPEN — EVIDENCE.</w:t>
            </w:r>
          </w:p>
        </w:tc>
        <w:tc>
          <w:tcPr>
            <w:tcW w:type="dxa" w:w="4406"/>
            <w:vAlign w:val="top"/>
            <w:shd w:fill="F2F5F8"/>
          </w:tcPr>
          <w:p>
            <w:pPr>
              <w:spacing w:after="40"/>
            </w:pPr>
            <w:r/>
            <w:r>
              <w:rPr>
                <w:rFonts w:ascii="Aptos" w:hAnsi="Aptos"/>
                <w:b w:val="0"/>
                <w:sz w:val="15"/>
              </w:rPr>
              <w:t>OPEN</w:t>
            </w:r>
          </w:p>
        </w:tc>
      </w:tr>
      <w:tr>
        <w:tc>
          <w:tcPr>
            <w:tcW w:type="dxa" w:w="4406"/>
            <w:vAlign w:val="top"/>
          </w:tcPr>
          <w:p>
            <w:pPr>
              <w:spacing w:after="40"/>
            </w:pPr>
            <w:r/>
            <w:r>
              <w:rPr>
                <w:rFonts w:ascii="Aptos" w:hAnsi="Aptos"/>
                <w:b w:val="0"/>
                <w:sz w:val="15"/>
              </w:rPr>
              <w:t>CVC-G05</w:t>
            </w:r>
          </w:p>
        </w:tc>
        <w:tc>
          <w:tcPr>
            <w:tcW w:type="dxa" w:w="4406"/>
            <w:vAlign w:val="top"/>
          </w:tcPr>
          <w:p>
            <w:pPr>
              <w:spacing w:after="40"/>
            </w:pPr>
            <w:r/>
            <w:r>
              <w:rPr>
                <w:rFonts w:ascii="Aptos" w:hAnsi="Aptos"/>
                <w:b w:val="0"/>
                <w:sz w:val="15"/>
              </w:rPr>
              <w:t>P1</w:t>
            </w:r>
          </w:p>
        </w:tc>
        <w:tc>
          <w:tcPr>
            <w:tcW w:type="dxa" w:w="4406"/>
            <w:vAlign w:val="top"/>
          </w:tcPr>
          <w:p>
            <w:pPr>
              <w:spacing w:after="40"/>
            </w:pPr>
            <w:r/>
            <w:r>
              <w:rPr>
                <w:rFonts w:ascii="Aptos" w:hAnsi="Aptos"/>
                <w:b w:val="0"/>
                <w:sz w:val="15"/>
              </w:rPr>
              <w:t>Engineering / QC / QA</w:t>
            </w:r>
          </w:p>
        </w:tc>
        <w:tc>
          <w:tcPr>
            <w:tcW w:type="dxa" w:w="4406"/>
            <w:vAlign w:val="top"/>
          </w:tcPr>
          <w:p>
            <w:pPr>
              <w:spacing w:after="40"/>
            </w:pPr>
            <w:r/>
            <w:r>
              <w:rPr>
                <w:rFonts w:ascii="Aptos" w:hAnsi="Aptos"/>
                <w:b w:val="0"/>
                <w:sz w:val="15"/>
              </w:rPr>
              <w:t>Liquid-pressure and aspiration-air leakage verification; Approved Annex C/D methods and reports, acceptance decisions, equipment verification, traceability. Status: OPEN — EVIDENCE.</w:t>
            </w:r>
          </w:p>
        </w:tc>
        <w:tc>
          <w:tcPr>
            <w:tcW w:type="dxa" w:w="4406"/>
            <w:vAlign w:val="top"/>
          </w:tcPr>
          <w:p>
            <w:pPr>
              <w:spacing w:after="40"/>
            </w:pPr>
            <w:r/>
            <w:r>
              <w:rPr>
                <w:rFonts w:ascii="Aptos" w:hAnsi="Aptos"/>
                <w:b w:val="0"/>
                <w:sz w:val="15"/>
              </w:rPr>
              <w:t>OPEN</w:t>
            </w:r>
          </w:p>
        </w:tc>
      </w:tr>
      <w:tr>
        <w:tc>
          <w:tcPr>
            <w:tcW w:type="dxa" w:w="4406"/>
            <w:vAlign w:val="top"/>
            <w:shd w:fill="F2F5F8"/>
          </w:tcPr>
          <w:p>
            <w:pPr>
              <w:spacing w:after="40"/>
            </w:pPr>
            <w:r/>
            <w:r>
              <w:rPr>
                <w:rFonts w:ascii="Aptos" w:hAnsi="Aptos"/>
                <w:b w:val="0"/>
                <w:sz w:val="15"/>
              </w:rPr>
              <w:t>CVC-G06</w:t>
            </w:r>
          </w:p>
        </w:tc>
        <w:tc>
          <w:tcPr>
            <w:tcW w:type="dxa" w:w="4406"/>
            <w:vAlign w:val="top"/>
            <w:shd w:fill="F2F5F8"/>
          </w:tcPr>
          <w:p>
            <w:pPr>
              <w:spacing w:after="40"/>
            </w:pPr>
            <w:r/>
            <w:r>
              <w:rPr>
                <w:rFonts w:ascii="Aptos" w:hAnsi="Aptos"/>
                <w:b w:val="0"/>
                <w:sz w:val="15"/>
              </w:rPr>
              <w:t>P1</w:t>
            </w:r>
          </w:p>
        </w:tc>
        <w:tc>
          <w:tcPr>
            <w:tcW w:type="dxa" w:w="4406"/>
            <w:vAlign w:val="top"/>
            <w:shd w:fill="F2F5F8"/>
          </w:tcPr>
          <w:p>
            <w:pPr>
              <w:spacing w:after="40"/>
            </w:pPr>
            <w:r/>
            <w:r>
              <w:rPr>
                <w:rFonts w:ascii="Aptos" w:hAnsi="Aptos"/>
                <w:b w:val="0"/>
                <w:sz w:val="15"/>
              </w:rPr>
              <w:t>Engineering / QC / QA</w:t>
            </w:r>
          </w:p>
        </w:tc>
        <w:tc>
          <w:tcPr>
            <w:tcW w:type="dxa" w:w="4406"/>
            <w:vAlign w:val="top"/>
            <w:shd w:fill="F2F5F8"/>
          </w:tcPr>
          <w:p>
            <w:pPr>
              <w:spacing w:after="40"/>
            </w:pPr>
            <w:r/>
            <w:r>
              <w:rPr>
                <w:rFonts w:ascii="Aptos" w:hAnsi="Aptos"/>
                <w:b w:val="0"/>
                <w:sz w:val="15"/>
              </w:rPr>
              <w:t>Guidewire safety, fracture/flexing and tensile evidence; Approved guidewire design/control plan; actual Annex F/G/H reports or verified supplier evidence; approved disposition. Status: OPEN — EVIDENCE.</w:t>
            </w:r>
          </w:p>
        </w:tc>
        <w:tc>
          <w:tcPr>
            <w:tcW w:type="dxa" w:w="4406"/>
            <w:vAlign w:val="top"/>
            <w:shd w:fill="F2F5F8"/>
          </w:tcPr>
          <w:p>
            <w:pPr>
              <w:spacing w:after="40"/>
            </w:pPr>
            <w:r/>
            <w:r>
              <w:rPr>
                <w:rFonts w:ascii="Aptos" w:hAnsi="Aptos"/>
                <w:b w:val="0"/>
                <w:sz w:val="15"/>
              </w:rPr>
              <w:t>OPEN</w:t>
            </w:r>
          </w:p>
        </w:tc>
      </w:tr>
      <w:tr>
        <w:tc>
          <w:tcPr>
            <w:tcW w:type="dxa" w:w="4406"/>
            <w:vAlign w:val="top"/>
          </w:tcPr>
          <w:p>
            <w:pPr>
              <w:spacing w:after="40"/>
            </w:pPr>
            <w:r/>
            <w:r>
              <w:rPr>
                <w:rFonts w:ascii="Aptos" w:hAnsi="Aptos"/>
                <w:b w:val="0"/>
                <w:sz w:val="15"/>
              </w:rPr>
              <w:t>CVC-G07</w:t>
            </w:r>
          </w:p>
        </w:tc>
        <w:tc>
          <w:tcPr>
            <w:tcW w:type="dxa" w:w="4406"/>
            <w:vAlign w:val="top"/>
          </w:tcPr>
          <w:p>
            <w:pPr>
              <w:spacing w:after="40"/>
            </w:pPr>
            <w:r/>
            <w:r>
              <w:rPr>
                <w:rFonts w:ascii="Aptos" w:hAnsi="Aptos"/>
                <w:b w:val="0"/>
                <w:sz w:val="15"/>
              </w:rPr>
              <w:t>P1</w:t>
            </w:r>
          </w:p>
        </w:tc>
        <w:tc>
          <w:tcPr>
            <w:tcW w:type="dxa" w:w="4406"/>
            <w:vAlign w:val="top"/>
          </w:tcPr>
          <w:p>
            <w:pPr>
              <w:spacing w:after="40"/>
            </w:pPr>
            <w:r/>
            <w:r>
              <w:rPr>
                <w:rFonts w:ascii="Aptos" w:hAnsi="Aptos"/>
                <w:b w:val="0"/>
                <w:sz w:val="15"/>
              </w:rPr>
              <w:t>Engineering / QC / QA</w:t>
            </w:r>
          </w:p>
        </w:tc>
        <w:tc>
          <w:tcPr>
            <w:tcW w:type="dxa" w:w="4406"/>
            <w:vAlign w:val="top"/>
          </w:tcPr>
          <w:p>
            <w:pPr>
              <w:spacing w:after="40"/>
            </w:pPr>
            <w:r/>
            <w:r>
              <w:rPr>
                <w:rFonts w:ascii="Aptos" w:hAnsi="Aptos"/>
                <w:b w:val="0"/>
                <w:sz w:val="15"/>
              </w:rPr>
              <w:t>Introducer-needle hub union force by size; Approved needle specification and Annex I test record/supplier evidence. Status: OPEN — EVIDENCE.</w:t>
            </w:r>
          </w:p>
        </w:tc>
        <w:tc>
          <w:tcPr>
            <w:tcW w:type="dxa" w:w="4406"/>
            <w:vAlign w:val="top"/>
          </w:tcPr>
          <w:p>
            <w:pPr>
              <w:spacing w:after="40"/>
            </w:pPr>
            <w:r/>
            <w:r>
              <w:rPr>
                <w:rFonts w:ascii="Aptos" w:hAnsi="Aptos"/>
                <w:b w:val="0"/>
                <w:sz w:val="15"/>
              </w:rPr>
              <w:t>OPEN</w:t>
            </w:r>
          </w:p>
        </w:tc>
      </w:tr>
      <w:tr>
        <w:tc>
          <w:tcPr>
            <w:tcW w:type="dxa" w:w="4406"/>
            <w:vAlign w:val="top"/>
            <w:shd w:fill="F2F5F8"/>
          </w:tcPr>
          <w:p>
            <w:pPr>
              <w:spacing w:after="40"/>
            </w:pPr>
            <w:r/>
            <w:r>
              <w:rPr>
                <w:rFonts w:ascii="Aptos" w:hAnsi="Aptos"/>
                <w:b w:val="0"/>
                <w:sz w:val="15"/>
              </w:rPr>
              <w:t>CVC-G08</w:t>
            </w:r>
          </w:p>
        </w:tc>
        <w:tc>
          <w:tcPr>
            <w:tcW w:type="dxa" w:w="4406"/>
            <w:vAlign w:val="top"/>
            <w:shd w:fill="F2F5F8"/>
          </w:tcPr>
          <w:p>
            <w:pPr>
              <w:spacing w:after="40"/>
            </w:pPr>
            <w:r/>
            <w:r>
              <w:rPr>
                <w:rFonts w:ascii="Aptos" w:hAnsi="Aptos"/>
                <w:b w:val="0"/>
                <w:sz w:val="15"/>
              </w:rPr>
              <w:t>P1</w:t>
            </w:r>
          </w:p>
        </w:tc>
        <w:tc>
          <w:tcPr>
            <w:tcW w:type="dxa" w:w="4406"/>
            <w:vAlign w:val="top"/>
            <w:shd w:fill="F2F5F8"/>
          </w:tcPr>
          <w:p>
            <w:pPr>
              <w:spacing w:after="40"/>
            </w:pPr>
            <w:r/>
            <w:r>
              <w:rPr>
                <w:rFonts w:ascii="Aptos" w:hAnsi="Aptos"/>
                <w:b w:val="0"/>
                <w:sz w:val="15"/>
              </w:rPr>
              <w:t>Engineering / QC / QA</w:t>
            </w:r>
          </w:p>
        </w:tc>
        <w:tc>
          <w:tcPr>
            <w:tcW w:type="dxa" w:w="4406"/>
            <w:vAlign w:val="top"/>
            <w:shd w:fill="F2F5F8"/>
          </w:tcPr>
          <w:p>
            <w:pPr>
              <w:spacing w:after="40"/>
            </w:pPr>
            <w:r/>
            <w:r>
              <w:rPr>
                <w:rFonts w:ascii="Aptos" w:hAnsi="Aptos"/>
                <w:b w:val="0"/>
                <w:sz w:val="15"/>
              </w:rPr>
              <w:t>Hypodermic-needle bonding and lumen patency; Approved ISO 7864 control route, actual bond/patency evidence, supplier verification and lot traceability. Status: OPEN — EVIDENCE.</w:t>
            </w:r>
          </w:p>
        </w:tc>
        <w:tc>
          <w:tcPr>
            <w:tcW w:type="dxa" w:w="4406"/>
            <w:vAlign w:val="top"/>
            <w:shd w:fill="F2F5F8"/>
          </w:tcPr>
          <w:p>
            <w:pPr>
              <w:spacing w:after="40"/>
            </w:pPr>
            <w:r/>
            <w:r>
              <w:rPr>
                <w:rFonts w:ascii="Aptos" w:hAnsi="Aptos"/>
                <w:b w:val="0"/>
                <w:sz w:val="15"/>
              </w:rPr>
              <w:t>OPEN</w:t>
            </w:r>
          </w:p>
        </w:tc>
      </w:tr>
      <w:tr>
        <w:tc>
          <w:tcPr>
            <w:tcW w:type="dxa" w:w="4406"/>
            <w:vAlign w:val="top"/>
          </w:tcPr>
          <w:p>
            <w:pPr>
              <w:spacing w:after="40"/>
            </w:pPr>
            <w:r/>
            <w:r>
              <w:rPr>
                <w:rFonts w:ascii="Aptos" w:hAnsi="Aptos"/>
                <w:b w:val="0"/>
                <w:sz w:val="15"/>
              </w:rPr>
              <w:t>CVC-G09</w:t>
            </w:r>
          </w:p>
        </w:tc>
        <w:tc>
          <w:tcPr>
            <w:tcW w:type="dxa" w:w="4406"/>
            <w:vAlign w:val="top"/>
          </w:tcPr>
          <w:p>
            <w:pPr>
              <w:spacing w:after="40"/>
            </w:pPr>
            <w:r/>
            <w:r>
              <w:rPr>
                <w:rFonts w:ascii="Aptos" w:hAnsi="Aptos"/>
                <w:b w:val="0"/>
                <w:sz w:val="15"/>
              </w:rPr>
              <w:t>P1</w:t>
            </w:r>
          </w:p>
        </w:tc>
        <w:tc>
          <w:tcPr>
            <w:tcW w:type="dxa" w:w="4406"/>
            <w:vAlign w:val="top"/>
          </w:tcPr>
          <w:p>
            <w:pPr>
              <w:spacing w:after="40"/>
            </w:pPr>
            <w:r/>
            <w:r>
              <w:rPr>
                <w:rFonts w:ascii="Aptos" w:hAnsi="Aptos"/>
                <w:b w:val="0"/>
                <w:sz w:val="15"/>
              </w:rPr>
              <w:t>Engineering / QC / QA</w:t>
            </w:r>
          </w:p>
        </w:tc>
        <w:tc>
          <w:tcPr>
            <w:tcW w:type="dxa" w:w="4406"/>
            <w:vAlign w:val="top"/>
          </w:tcPr>
          <w:p>
            <w:pPr>
              <w:spacing w:after="40"/>
            </w:pPr>
            <w:r/>
            <w:r>
              <w:rPr>
                <w:rFonts w:ascii="Aptos" w:hAnsi="Aptos"/>
                <w:b w:val="0"/>
                <w:sz w:val="15"/>
              </w:rPr>
              <w:t>Dilator hub and body peak tensile force; Approved dilator spec, tensile force qualification and evidence linked to controlled configuration. Status: OPEN — EVIDENCE.</w:t>
            </w:r>
          </w:p>
        </w:tc>
        <w:tc>
          <w:tcPr>
            <w:tcW w:type="dxa" w:w="4406"/>
            <w:vAlign w:val="top"/>
          </w:tcPr>
          <w:p>
            <w:pPr>
              <w:spacing w:after="40"/>
            </w:pPr>
            <w:r/>
            <w:r>
              <w:rPr>
                <w:rFonts w:ascii="Aptos" w:hAnsi="Aptos"/>
                <w:b w:val="0"/>
                <w:sz w:val="15"/>
              </w:rPr>
              <w:t>OPEN</w:t>
            </w:r>
          </w:p>
        </w:tc>
      </w:tr>
      <w:tr>
        <w:tc>
          <w:tcPr>
            <w:tcW w:type="dxa" w:w="4406"/>
            <w:vAlign w:val="top"/>
            <w:shd w:fill="F2F5F8"/>
          </w:tcPr>
          <w:p>
            <w:pPr>
              <w:spacing w:after="40"/>
            </w:pPr>
            <w:r/>
            <w:r>
              <w:rPr>
                <w:rFonts w:ascii="Aptos" w:hAnsi="Aptos"/>
                <w:b w:val="0"/>
                <w:sz w:val="15"/>
              </w:rPr>
              <w:t>CVC-G10</w:t>
            </w:r>
          </w:p>
        </w:tc>
        <w:tc>
          <w:tcPr>
            <w:tcW w:type="dxa" w:w="4406"/>
            <w:vAlign w:val="top"/>
            <w:shd w:fill="F2F5F8"/>
          </w:tcPr>
          <w:p>
            <w:pPr>
              <w:spacing w:after="40"/>
            </w:pPr>
            <w:r/>
            <w:r>
              <w:rPr>
                <w:rFonts w:ascii="Aptos" w:hAnsi="Aptos"/>
                <w:b w:val="0"/>
                <w:sz w:val="15"/>
              </w:rPr>
              <w:t>P2</w:t>
            </w:r>
          </w:p>
        </w:tc>
        <w:tc>
          <w:tcPr>
            <w:tcW w:type="dxa" w:w="4406"/>
            <w:vAlign w:val="top"/>
            <w:shd w:fill="F2F5F8"/>
          </w:tcPr>
          <w:p>
            <w:pPr>
              <w:spacing w:after="40"/>
            </w:pPr>
            <w:r/>
            <w:r>
              <w:rPr>
                <w:rFonts w:ascii="Aptos" w:hAnsi="Aptos"/>
                <w:b w:val="0"/>
                <w:sz w:val="15"/>
              </w:rPr>
              <w:t>QC / Document Control</w:t>
            </w:r>
          </w:p>
        </w:tc>
        <w:tc>
          <w:tcPr>
            <w:tcW w:type="dxa" w:w="4406"/>
            <w:vAlign w:val="top"/>
            <w:shd w:fill="F2F5F8"/>
          </w:tcPr>
          <w:p>
            <w:pPr>
              <w:spacing w:after="40"/>
            </w:pPr>
            <w:r/>
            <w:r>
              <w:rPr>
                <w:rFonts w:ascii="Aptos" w:hAnsi="Aptos"/>
                <w:b w:val="0"/>
                <w:sz w:val="15"/>
              </w:rPr>
              <w:t>Syringe functional performance evidence; Approved syringe technical specification, actual design tests and accepted-supplier evidence. Status: OPEN — EVIDENCE.</w:t>
            </w:r>
          </w:p>
        </w:tc>
        <w:tc>
          <w:tcPr>
            <w:tcW w:type="dxa" w:w="4406"/>
            <w:vAlign w:val="top"/>
            <w:shd w:fill="F2F5F8"/>
          </w:tcPr>
          <w:p>
            <w:pPr>
              <w:spacing w:after="40"/>
            </w:pPr>
            <w:r/>
            <w:r>
              <w:rPr>
                <w:rFonts w:ascii="Aptos" w:hAnsi="Aptos"/>
                <w:b w:val="0"/>
                <w:sz w:val="15"/>
              </w:rPr>
              <w:t>OPEN</w:t>
            </w:r>
          </w:p>
        </w:tc>
      </w:tr>
      <w:tr>
        <w:tc>
          <w:tcPr>
            <w:tcW w:type="dxa" w:w="4406"/>
            <w:vAlign w:val="top"/>
          </w:tcPr>
          <w:p>
            <w:pPr>
              <w:spacing w:after="40"/>
            </w:pPr>
            <w:r/>
            <w:r>
              <w:rPr>
                <w:rFonts w:ascii="Aptos" w:hAnsi="Aptos"/>
                <w:b w:val="0"/>
                <w:sz w:val="15"/>
              </w:rPr>
              <w:t>CVC-G11</w:t>
            </w:r>
          </w:p>
        </w:tc>
        <w:tc>
          <w:tcPr>
            <w:tcW w:type="dxa" w:w="4406"/>
            <w:vAlign w:val="top"/>
          </w:tcPr>
          <w:p>
            <w:pPr>
              <w:spacing w:after="40"/>
            </w:pPr>
            <w:r/>
            <w:r>
              <w:rPr>
                <w:rFonts w:ascii="Aptos" w:hAnsi="Aptos"/>
                <w:b w:val="0"/>
                <w:sz w:val="15"/>
              </w:rPr>
              <w:t>P1</w:t>
            </w:r>
          </w:p>
        </w:tc>
        <w:tc>
          <w:tcPr>
            <w:tcW w:type="dxa" w:w="4406"/>
            <w:vAlign w:val="top"/>
          </w:tcPr>
          <w:p>
            <w:pPr>
              <w:spacing w:after="40"/>
            </w:pPr>
            <w:r/>
            <w:r>
              <w:rPr>
                <w:rFonts w:ascii="Aptos" w:hAnsi="Aptos"/>
                <w:b w:val="0"/>
                <w:sz w:val="15"/>
              </w:rPr>
              <w:t>Engineering / QC / QA</w:t>
            </w:r>
          </w:p>
        </w:tc>
        <w:tc>
          <w:tcPr>
            <w:tcW w:type="dxa" w:w="4406"/>
            <w:vAlign w:val="top"/>
          </w:tcPr>
          <w:p>
            <w:pPr>
              <w:spacing w:after="40"/>
            </w:pPr>
            <w:r/>
            <w:r>
              <w:rPr>
                <w:rFonts w:ascii="Aptos" w:hAnsi="Aptos"/>
                <w:b w:val="0"/>
                <w:sz w:val="15"/>
              </w:rPr>
              <w:t>Luer connector type-test linkage; Approved Luer design/type-test dossier including applicable ISO 80369-7 clauses and ISO 80369-20 test methods (latter not supplied). Status: OPEN — EVIDENCE / MISSING SOURCE.</w:t>
            </w:r>
          </w:p>
        </w:tc>
        <w:tc>
          <w:tcPr>
            <w:tcW w:type="dxa" w:w="4406"/>
            <w:vAlign w:val="top"/>
          </w:tcPr>
          <w:p>
            <w:pPr>
              <w:spacing w:after="40"/>
            </w:pPr>
            <w:r/>
            <w:r>
              <w:rPr>
                <w:rFonts w:ascii="Aptos" w:hAnsi="Aptos"/>
                <w:b w:val="0"/>
                <w:sz w:val="15"/>
              </w:rPr>
              <w:t>OPEN</w:t>
            </w:r>
          </w:p>
        </w:tc>
      </w:tr>
      <w:tr>
        <w:tc>
          <w:tcPr>
            <w:tcW w:type="dxa" w:w="4406"/>
            <w:vAlign w:val="top"/>
            <w:shd w:fill="F2F5F8"/>
          </w:tcPr>
          <w:p>
            <w:pPr>
              <w:spacing w:after="40"/>
            </w:pPr>
            <w:r/>
            <w:r>
              <w:rPr>
                <w:rFonts w:ascii="Aptos" w:hAnsi="Aptos"/>
                <w:b w:val="0"/>
                <w:sz w:val="15"/>
              </w:rPr>
              <w:t>CVC-G12</w:t>
            </w:r>
          </w:p>
        </w:tc>
        <w:tc>
          <w:tcPr>
            <w:tcW w:type="dxa" w:w="4406"/>
            <w:vAlign w:val="top"/>
            <w:shd w:fill="F2F5F8"/>
          </w:tcPr>
          <w:p>
            <w:pPr>
              <w:spacing w:after="40"/>
            </w:pPr>
            <w:r/>
            <w:r>
              <w:rPr>
                <w:rFonts w:ascii="Aptos" w:hAnsi="Aptos"/>
                <w:b w:val="0"/>
                <w:sz w:val="15"/>
              </w:rPr>
              <w:t>P1</w:t>
            </w:r>
          </w:p>
        </w:tc>
        <w:tc>
          <w:tcPr>
            <w:tcW w:type="dxa" w:w="4406"/>
            <w:vAlign w:val="top"/>
            <w:shd w:fill="F2F5F8"/>
          </w:tcPr>
          <w:p>
            <w:pPr>
              <w:spacing w:after="40"/>
            </w:pPr>
            <w:r/>
            <w:r>
              <w:rPr>
                <w:rFonts w:ascii="Aptos" w:hAnsi="Aptos"/>
                <w:b w:val="0"/>
                <w:sz w:val="15"/>
              </w:rPr>
              <w:t>Engineering / QC / QA</w:t>
            </w:r>
          </w:p>
        </w:tc>
        <w:tc>
          <w:tcPr>
            <w:tcW w:type="dxa" w:w="4406"/>
            <w:vAlign w:val="top"/>
            <w:shd w:fill="F2F5F8"/>
          </w:tcPr>
          <w:p>
            <w:pPr>
              <w:spacing w:after="40"/>
            </w:pPr>
            <w:r/>
            <w:r>
              <w:rPr>
                <w:rFonts w:ascii="Aptos" w:hAnsi="Aptos"/>
                <w:b w:val="0"/>
                <w:sz w:val="15"/>
              </w:rPr>
              <w:t>Validated EO cycle and sterilization release record traceability; Validated process/qualification, individual load cycle record, BI evidence as applicable, deviation decisions, documented authorized release. Status: OPEN — EVIDENCE.</w:t>
            </w:r>
          </w:p>
        </w:tc>
        <w:tc>
          <w:tcPr>
            <w:tcW w:type="dxa" w:w="4406"/>
            <w:vAlign w:val="top"/>
            <w:shd w:fill="F2F5F8"/>
          </w:tcPr>
          <w:p>
            <w:pPr>
              <w:spacing w:after="40"/>
            </w:pPr>
            <w:r/>
            <w:r>
              <w:rPr>
                <w:rFonts w:ascii="Aptos" w:hAnsi="Aptos"/>
                <w:b w:val="0"/>
                <w:sz w:val="15"/>
              </w:rPr>
              <w:t>OPEN</w:t>
            </w:r>
          </w:p>
        </w:tc>
      </w:tr>
      <w:tr>
        <w:tc>
          <w:tcPr>
            <w:tcW w:type="dxa" w:w="4406"/>
            <w:vAlign w:val="top"/>
          </w:tcPr>
          <w:p>
            <w:pPr>
              <w:spacing w:after="40"/>
            </w:pPr>
            <w:r/>
            <w:r>
              <w:rPr>
                <w:rFonts w:ascii="Aptos" w:hAnsi="Aptos"/>
                <w:b w:val="0"/>
                <w:sz w:val="15"/>
              </w:rPr>
              <w:t>CVC-G13</w:t>
            </w:r>
          </w:p>
        </w:tc>
        <w:tc>
          <w:tcPr>
            <w:tcW w:type="dxa" w:w="4406"/>
            <w:vAlign w:val="top"/>
          </w:tcPr>
          <w:p>
            <w:pPr>
              <w:spacing w:after="40"/>
            </w:pPr>
            <w:r/>
            <w:r>
              <w:rPr>
                <w:rFonts w:ascii="Aptos" w:hAnsi="Aptos"/>
                <w:b w:val="0"/>
                <w:sz w:val="15"/>
              </w:rPr>
              <w:t>P2</w:t>
            </w:r>
          </w:p>
        </w:tc>
        <w:tc>
          <w:tcPr>
            <w:tcW w:type="dxa" w:w="4406"/>
            <w:vAlign w:val="top"/>
          </w:tcPr>
          <w:p>
            <w:pPr>
              <w:spacing w:after="40"/>
            </w:pPr>
            <w:r/>
            <w:r>
              <w:rPr>
                <w:rFonts w:ascii="Aptos" w:hAnsi="Aptos"/>
                <w:b w:val="0"/>
                <w:sz w:val="15"/>
              </w:rPr>
              <w:t>QC / Document Control</w:t>
            </w:r>
          </w:p>
        </w:tc>
        <w:tc>
          <w:tcPr>
            <w:tcW w:type="dxa" w:w="4406"/>
            <w:vAlign w:val="top"/>
          </w:tcPr>
          <w:p>
            <w:pPr>
              <w:spacing w:after="40"/>
            </w:pPr>
            <w:r/>
            <w:r>
              <w:rPr>
                <w:rFonts w:ascii="Aptos" w:hAnsi="Aptos"/>
                <w:b w:val="0"/>
                <w:sz w:val="15"/>
              </w:rPr>
              <w:t>Conflicting F-823-i13-2 description and record ownership; Approved document master list, change request, revision/effective-date confirmation, verified supersession if any. Status: OPEN — APPROVAL.</w:t>
            </w:r>
          </w:p>
        </w:tc>
        <w:tc>
          <w:tcPr>
            <w:tcW w:type="dxa" w:w="4406"/>
            <w:vAlign w:val="top"/>
          </w:tcPr>
          <w:p>
            <w:pPr>
              <w:spacing w:after="40"/>
            </w:pPr>
            <w:r/>
            <w:r>
              <w:rPr>
                <w:rFonts w:ascii="Aptos" w:hAnsi="Aptos"/>
                <w:b w:val="0"/>
                <w:sz w:val="15"/>
              </w:rPr>
              <w:t>OPEN</w:t>
            </w:r>
          </w:p>
        </w:tc>
      </w:tr>
      <w:tr>
        <w:tc>
          <w:tcPr>
            <w:tcW w:type="dxa" w:w="4406"/>
            <w:vAlign w:val="top"/>
            <w:shd w:fill="F2F5F8"/>
          </w:tcPr>
          <w:p>
            <w:pPr>
              <w:spacing w:after="40"/>
            </w:pPr>
            <w:r/>
            <w:r>
              <w:rPr>
                <w:rFonts w:ascii="Aptos" w:hAnsi="Aptos"/>
                <w:b w:val="0"/>
                <w:sz w:val="15"/>
              </w:rPr>
              <w:t>CVC-G14</w:t>
            </w:r>
          </w:p>
        </w:tc>
        <w:tc>
          <w:tcPr>
            <w:tcW w:type="dxa" w:w="4406"/>
            <w:vAlign w:val="top"/>
            <w:shd w:fill="F2F5F8"/>
          </w:tcPr>
          <w:p>
            <w:pPr>
              <w:spacing w:after="40"/>
            </w:pPr>
            <w:r/>
            <w:r>
              <w:rPr>
                <w:rFonts w:ascii="Aptos" w:hAnsi="Aptos"/>
                <w:b w:val="0"/>
                <w:sz w:val="15"/>
              </w:rPr>
              <w:t>P2</w:t>
            </w:r>
          </w:p>
        </w:tc>
        <w:tc>
          <w:tcPr>
            <w:tcW w:type="dxa" w:w="4406"/>
            <w:vAlign w:val="top"/>
            <w:shd w:fill="F2F5F8"/>
          </w:tcPr>
          <w:p>
            <w:pPr>
              <w:spacing w:after="40"/>
            </w:pPr>
            <w:r/>
            <w:r>
              <w:rPr>
                <w:rFonts w:ascii="Aptos" w:hAnsi="Aptos"/>
                <w:b w:val="0"/>
                <w:sz w:val="15"/>
              </w:rPr>
              <w:t>QC / Document Control</w:t>
            </w:r>
          </w:p>
        </w:tc>
        <w:tc>
          <w:tcPr>
            <w:tcW w:type="dxa" w:w="4406"/>
            <w:vAlign w:val="top"/>
            <w:shd w:fill="F2F5F8"/>
          </w:tcPr>
          <w:p>
            <w:pPr>
              <w:spacing w:after="40"/>
            </w:pPr>
            <w:r/>
            <w:r>
              <w:rPr>
                <w:rFonts w:ascii="Aptos" w:hAnsi="Aptos"/>
                <w:b w:val="0"/>
                <w:sz w:val="15"/>
              </w:rPr>
              <w:t>Approval of applicable kit components and quantified checks; Approved BOM and packaging drawing per set, reconciliation checklist and completed kit records. Status: OPEN — TECHNICAL INPUT / EVIDENCE.</w:t>
            </w:r>
          </w:p>
        </w:tc>
        <w:tc>
          <w:tcPr>
            <w:tcW w:type="dxa" w:w="4406"/>
            <w:vAlign w:val="top"/>
            <w:shd w:fill="F2F5F8"/>
          </w:tcPr>
          <w:p>
            <w:pPr>
              <w:spacing w:after="40"/>
            </w:pPr>
            <w:r/>
            <w:r>
              <w:rPr>
                <w:rFonts w:ascii="Aptos" w:hAnsi="Aptos"/>
                <w:b w:val="0"/>
                <w:sz w:val="15"/>
              </w:rPr>
              <w:t>OPEN</w:t>
            </w:r>
          </w:p>
        </w:tc>
      </w:tr>
    </w:tbl>
    <w:p>
      <w:pPr>
        <w:pStyle w:val="Heading1"/>
      </w:pPr>
      <w:r>
        <w:t>13. Final Management Conclusion</w:t>
      </w:r>
    </w:p>
    <w:p>
      <w:r>
        <w:t>Existing WI and forms need revision and documented source reconciliation. The attached materials do not establish full standards conformance, ISO closure, qualification coverage, supplier controls, process validation or batch release. QC/QA approval and executed records are still required.</w:t>
      </w:r>
    </w:p>
    <w:p>
      <w:pPr>
        <w:pStyle w:val="Heading1"/>
      </w:pPr>
      <w:r>
        <w:t>14. Source Traceability and Missing Inputs</w:t>
      </w:r>
    </w:p>
    <w:p>
      <w:pPr>
        <w:pStyle w:val="ListBullet"/>
      </w:pPr>
      <w:r>
        <w:t>CVC-G01 — ISO 10555-1:2013+A1:2017, 4.6, Table 1, ISO p.5, PDF p.15; ISO 10555-3:2013, 4.4, Table 1, ISO p.2, PDF p.10; WI-DD-02 Rev.3, p.3 §5.3.3 lists 3/4/5 N as “tensile force of the catheter”.</w:t>
      </w:r>
    </w:p>
    <w:p>
      <w:pPr>
        <w:pStyle w:val="ListBullet"/>
      </w:pPr>
      <w:r>
        <w:t>CVC-G02 — ISO 10555-1:2013+A1:2017, 4.9 and Annex E, ISO p.5, PDF p.15; WI-DD-02 Rev.3, pp.8–9 §6–6.1: flow-related controls referenced broadly.</w:t>
      </w:r>
    </w:p>
    <w:p>
      <w:pPr>
        <w:pStyle w:val="ListBullet"/>
      </w:pPr>
      <w:r>
        <w:t>CVC-G03 — ISO 10555-1:2013+A1:2017, 4.4, ISO p.4, PDF p.14; ISO 11070:2014, 4.3, ISO p.5, PDF p.11; WI-DD-02 Rev.3, p.2 §5.3.1 requires smooth, undamaged tubing.</w:t>
      </w:r>
    </w:p>
    <w:p>
      <w:pPr>
        <w:pStyle w:val="ListBullet"/>
      </w:pPr>
      <w:r>
        <w:t>CVC-G04 — ISO 10555-1:2013+A1:2017, 4.2, ISO p.4, PDF p.14; WI-DD-02 Rev.3, p.2 §5.3.1 states CVC catheter should be radio-detectable, without identifying design verification evidence in that subsection..</w:t>
      </w:r>
    </w:p>
    <w:p>
      <w:pPr>
        <w:pStyle w:val="ListBullet"/>
      </w:pPr>
      <w:r>
        <w:t>CVC-G05 — ISO 10555-1:2013+A1:2017, 4.7.1, 4.7.2 and Annexes C/D, ISO p.5, PDF p.15; WI-DD-02 Rev.3, pp.4–6 §5.4 refers to “No leakage” for connectors, cannula and clamps but does not show Annex C/D procedure and instrument settings for whole CVC assembly in those lines..</w:t>
      </w:r>
    </w:p>
    <w:p>
      <w:pPr>
        <w:pStyle w:val="ListBullet"/>
      </w:pPr>
      <w:r>
        <w:t>CVC-G06 — ISO 11070:2014, 8.3–8.6 and normative Annexes F/G/H, ISO p.9, PDF p.15; WI-DD-02 Rev.3, p.3 §5.4.1 inspects guidewire type, diameter, smoothness and corrosion.</w:t>
      </w:r>
    </w:p>
    <w:p>
      <w:pPr>
        <w:pStyle w:val="ListBullet"/>
      </w:pPr>
      <w:r>
        <w:t>CVC-G07 — ISO 11070:2014, 5.4.2 and normative Annex I, ISO p.6, PDF p.12; WI-DD-02 Rev.3, pp.4–5 §5.4.2 requires “Strong gluing ... no pull out” for introducer needle but lacks size-specific force criterion in the displayed receiving table..</w:t>
      </w:r>
    </w:p>
    <w:p>
      <w:pPr>
        <w:pStyle w:val="ListBullet"/>
      </w:pPr>
      <w:r>
        <w:t>CVC-G08 — ISO 7864:2016, 4.12 Table 2 and 4.13 Table 3, ISO pp.7–9, PDF pp.13–15; WI-DD-02 Rev.3, pp.4–5 §5.4.2 checks needle sharpness and “Strong gluing” but current CVC kit form records dimensions and visual features only..</w:t>
      </w:r>
    </w:p>
    <w:p>
      <w:pPr>
        <w:pStyle w:val="ListBullet"/>
      </w:pPr>
      <w:r>
        <w:t>CVC-G09 — ISO 11070:2014, 9.3.3, 6.3 Table 2 and Annex C, ISO pp.7,10, PDF pp.13,16; WI-DD-02 Rev.3, p.5 §5.4.5 describes good fitting and no pullout, without a Table 2 force matrix in the component check..</w:t>
      </w:r>
    </w:p>
    <w:p>
      <w:pPr>
        <w:pStyle w:val="ListBullet"/>
      </w:pPr>
      <w:r>
        <w:t>CVC-G10 — ISO 7886-1:2017, 13.1, 13.2 and normative Annexes B/C/D, ISO p.10, PDF p.18; WI-DD-02 Rev.3, pp.5–6 §5.4.3 describes smooth movement and no leakage, not the applicable design test record/method for syringe performance..</w:t>
      </w:r>
    </w:p>
    <w:p>
      <w:pPr>
        <w:pStyle w:val="ListBullet"/>
      </w:pPr>
      <w:r>
        <w:t>CVC-G11 — ISO 80369-7:2016, 4.2–4.3, 5, 6.1–6.6 and Annexes B/C, ISO pp.4–6, PDF pp.11–13; WI-DD-02 Rev.3, pp.2,4–6 references good Luer fit and no leakage.</w:t>
      </w:r>
    </w:p>
    <w:p>
      <w:pPr>
        <w:pStyle w:val="ListBullet"/>
      </w:pPr>
      <w:r>
        <w:t>CVC-G12 — ISO 11135:2014, 11.1–11.3, ISO p.23, PDF p.35; WI-DD-02 Rev.3, p.9 §§8–9 references WI-7-5-1-1 and review of cycle/test data but provides no actual linked load/cycle acceptance record within the attached WI..</w:t>
      </w:r>
    </w:p>
    <w:p>
      <w:pPr>
        <w:pStyle w:val="ListBullet"/>
      </w:pPr>
      <w:r>
        <w:t>CVC-G13 — Document control reconciliation; source WI-DD-02 Rev.3, p.10 §10 vs F-823-i13-2 Rev.1 header; no ISO clause claimed; WI-DD-02 Rev.3, p.10 §10 lists “F-823-i13-2: In-process control for Guidewire Syringe”..</w:t>
      </w:r>
    </w:p>
    <w:p>
      <w:pPr>
        <w:pStyle w:val="ListBullet"/>
      </w:pPr>
      <w:r>
        <w:t>CVC-G14 — ISO 11070:2014, 10 and Table 4, ISO pp.10–11, PDF pp.16–17; WI-DD-02 Rev.3, pp.7–8 includes multiple CVC configurations and p.8 §6 checks presence.</w:t>
      </w:r>
    </w:p>
    <w:p>
      <w:r>
        <w:t>MISSING / REQUEST FOR TECHNICAL APPROVAL: product master specifications (DD-02-PS or TF-29-PS); exact approved BOMs; appropriate supplier/design qualification reports; ISO 80369-20 and company WI-8-2-6-05/06 if used; EO process qualification and load records; sampling plan SOP-8-2-6; missing controlled form versions.</w:t>
      </w:r>
    </w:p>
    <w:sectPr w:rsidR="00FC693F" w:rsidRPr="0006063C" w:rsidSect="00034616">
      <w:headerReference w:type="default" r:id="rId9"/>
      <w:footerReference w:type="default" r:id="rId10"/>
      <w:pgSz w:w="23818" w:h="16834" w:orient="landscape"/>
      <w:pgMar w:top="965" w:right="893" w:bottom="893" w:left="89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Draft for technical review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F5C6B"/>
        <w:sz w:val="14"/>
      </w:rPr>
      <w:t>SAUDI MAIS | QUALITY CONTROL   •   UNCONTROLLED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4F5C6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12843"/>
      <w:sz w:val="29"/>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112843"/>
      <w:sz w:val="23"/>
      <w:szCs w:val="26"/>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ascii="Aptos Display" w:hAnsi="Aptos Display"/>
      <w:b/>
      <w:bCs/>
      <w:color w:val="11284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60"/>
      <w:contextualSpacing/>
    </w:pPr>
    <w:rPr>
      <w:rFonts w:asciiTheme="majorHAnsi" w:eastAsiaTheme="majorEastAsia" w:hAnsiTheme="majorHAnsi" w:cstheme="majorBidi" w:ascii="Aptos Display" w:hAnsi="Aptos Display"/>
      <w:b/>
      <w:color w:val="11284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