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QUALITY CONTROL SYSTEMS  /  EVIDENCE-BASED TECHNICAL REVIEW</w:t>
      </w:r>
    </w:p>
    <w:p>
      <w:pPr>
        <w:pStyle w:val="Title"/>
      </w:pPr>
      <w:r>
        <w:t>Complete Revised WI — CVC Set &amp; CVC Complete Kit</w:t>
      </w:r>
    </w:p>
    <w:p>
      <w:pPr>
        <w:pStyle w:val="Subtitle"/>
      </w:pPr>
      <w:r>
        <w:t>Central Venous Catheter (CVC) Set / Complete Kit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802"/>
          </w:tcPr>
          <w:p>
            <w:r>
              <w:t>Issue status</w:t>
            </w:r>
          </w:p>
        </w:tc>
        <w:tc>
          <w:tcPr>
            <w:tcW w:type="dxa" w:w="4802"/>
          </w:tcPr>
          <w:p>
            <w:r>
              <w:t>PROPOSED CONTROLLED DRAFT — NOT APPROVED</w:t>
            </w:r>
          </w:p>
        </w:tc>
      </w:tr>
      <w:tr>
        <w:tc>
          <w:tcPr>
            <w:tcW w:type="dxa" w:w="4802"/>
          </w:tcPr>
          <w:p>
            <w:r>
              <w:t>Date prepared</w:t>
            </w:r>
          </w:p>
        </w:tc>
        <w:tc>
          <w:tcPr>
            <w:tcW w:type="dxa" w:w="4802"/>
          </w:tcPr>
          <w:p>
            <w:r>
              <w:t>22 Oct 2026</w:t>
            </w:r>
          </w:p>
        </w:tc>
      </w:tr>
      <w:tr>
        <w:tc>
          <w:tcPr>
            <w:tcW w:type="dxa" w:w="4802"/>
          </w:tcPr>
          <w:p>
            <w:r>
              <w:t>Document type</w:t>
            </w:r>
          </w:p>
        </w:tc>
        <w:tc>
          <w:tcPr>
            <w:tcW w:type="dxa" w:w="4802"/>
          </w:tcPr>
          <w:p>
            <w:r>
              <w:t>Standalone full proposed Work Instruction</w:t>
            </w:r>
          </w:p>
        </w:tc>
      </w:tr>
      <w:tr>
        <w:tc>
          <w:tcPr>
            <w:tcW w:type="dxa" w:w="4802"/>
          </w:tcPr>
          <w:p>
            <w:r>
              <w:t>Controlled source</w:t>
            </w:r>
          </w:p>
        </w:tc>
        <w:tc>
          <w:tcPr>
            <w:tcW w:type="dxa" w:w="4802"/>
          </w:tcPr>
          <w:p>
            <w:r>
              <w:t>WI-DD-02 Rev.3 dated 01 Feb 2022; company source 11 pages</w:t>
            </w:r>
          </w:p>
        </w:tc>
      </w:tr>
      <w:tr>
        <w:tc>
          <w:tcPr>
            <w:tcW w:type="dxa" w:w="4802"/>
          </w:tcPr>
          <w:p>
            <w:r>
              <w:t>Assessment basis</w:t>
            </w:r>
          </w:p>
        </w:tc>
        <w:tc>
          <w:tcPr>
            <w:tcW w:type="dxa" w:w="4802"/>
          </w:tcPr>
          <w:p>
            <w:r>
              <w:t>ISO 10555-1/-3, 11070, 7864, 7886-1, 80369-7 and 11135 as applicable</w:t>
            </w:r>
          </w:p>
        </w:tc>
      </w:tr>
      <w:tr>
        <w:tc>
          <w:tcPr>
            <w:tcW w:type="dxa" w:w="4802"/>
          </w:tcPr>
          <w:p>
            <w:r>
              <w:t>Use restriction</w:t>
            </w:r>
          </w:p>
        </w:tc>
        <w:tc>
          <w:tcPr>
            <w:tcW w:type="dxa" w:w="4802"/>
          </w:tcPr>
          <w:p>
            <w:r>
              <w:t>For QC/QA review only. No product acceptance or release permitted on draft alone.</w:t>
            </w:r>
          </w:p>
        </w:tc>
      </w:tr>
    </w:tbl>
    <w:p>
      <w:r>
        <w:t>Evidence rule: “Required” is not “available”. No gap is verified closed without approved documentation and objective records.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tblHeader w:val="true"/>
        </w:trPr>
        <w:tc>
          <w:tcPr>
            <w:tcW w:type="dxa" w:w="2401"/>
            <w:shd w:fill="12304C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401"/>
            <w:shd w:fill="12304C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Source revision</w:t>
            </w:r>
          </w:p>
        </w:tc>
        <w:tc>
          <w:tcPr>
            <w:tcW w:type="dxa" w:w="2401"/>
            <w:shd w:fill="12304C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Proposed status</w:t>
            </w:r>
          </w:p>
        </w:tc>
        <w:tc>
          <w:tcPr>
            <w:tcW w:type="dxa" w:w="2401"/>
            <w:shd w:fill="12304C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Authorized revision / effective date</w:t>
            </w:r>
          </w:p>
        </w:tc>
      </w:tr>
      <w:tr>
        <w:tc>
          <w:tcPr>
            <w:tcW w:type="dxa" w:w="24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WI-DD-02 — proposed revision</w:t>
            </w:r>
          </w:p>
        </w:tc>
        <w:tc>
          <w:tcPr>
            <w:tcW w:type="dxa" w:w="24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Rev.3</w:t>
            </w:r>
          </w:p>
        </w:tc>
        <w:tc>
          <w:tcPr>
            <w:tcW w:type="dxa" w:w="24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DRAFT FOR QC/QA REVIEW</w:t>
            </w:r>
          </w:p>
        </w:tc>
        <w:tc>
          <w:tcPr>
            <w:tcW w:type="dxa" w:w="24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OPEN — APPROVAL REQUIRED</w:t>
            </w:r>
          </w:p>
        </w:tc>
      </w:tr>
    </w:tbl>
    <w:p>
      <w:pPr>
        <w:pStyle w:val="Heading2"/>
      </w:pPr>
      <w:r>
        <w:t>1. Purpose</w:t>
      </w:r>
    </w:p>
    <w:p>
      <w:pPr>
        <w:pStyle w:val="ListBullet"/>
      </w:pPr>
      <w:r>
        <w:t>Control receiving, injection moulding, extrusion, assembly, in-process monitoring, packaging, EO evidence linkage and release transfer for the applicable sterile CVC configurations.</w:t>
      </w:r>
    </w:p>
    <w:p>
      <w:pPr>
        <w:pStyle w:val="ListBullet"/>
      </w:pPr>
      <w:r>
        <w:t>Define source-backed acceptance and evidence ownership without assigning ISO type tests to every production hour.</w:t>
      </w:r>
    </w:p>
    <w:p>
      <w:pPr>
        <w:pStyle w:val="Heading2"/>
      </w:pPr>
      <w:r>
        <w:t>2. Scope and products</w:t>
      </w:r>
    </w:p>
    <w:p>
      <w:pPr>
        <w:pStyle w:val="ListBullet"/>
      </w:pPr>
      <w:r>
        <w:t>Applies to CVC catheter components and associated approved kit variants produced or assembled under WI-DD-02.</w:t>
      </w:r>
    </w:p>
    <w:p>
      <w:pPr>
        <w:pStyle w:val="ListBullet"/>
      </w:pPr>
      <w:r>
        <w:t>Use F-823-i13 for CVC Set and F-823-i13-2 for CVC Complete Kit as distinct records. Apply F-823-i15 for moulded/extruded components, F-823-i27 for 3-way component assemblies when applicable, and packaging forms only when the equipment/product applicability is approved.</w:t>
      </w:r>
    </w:p>
    <w:p>
      <w:pPr>
        <w:pStyle w:val="Heading2"/>
      </w:pPr>
      <w:r>
        <w:t>3. References and controlled documents</w:t>
      </w:r>
    </w:p>
    <w:p>
      <w:pPr>
        <w:pStyle w:val="ListBullet"/>
      </w:pPr>
      <w:r>
        <w:t>ISO 10555-1:2013+A1:2017; BS EN ISO 10555-3:2013; ISO 11070:2014; ISO 7864:2016; ISO 7886-1:2017; ISO 80369-7:2016; ISO 11135:2014, each only within its applicability scope.</w:t>
      </w:r>
    </w:p>
    <w:p>
      <w:pPr>
        <w:pStyle w:val="ListBullet"/>
      </w:pPr>
      <w:r>
        <w:t>DD-02-PS; DD-02-PDBM; WI-7-5-1-1; approved sampling/inspection SOP; form register. These dependent controlled source revisions are OPEN — TECHNICAL INPUT REQUIRED until verified.</w:t>
      </w:r>
    </w:p>
    <w:p>
      <w:pPr>
        <w:pStyle w:val="ListBullet"/>
      </w:pPr>
      <w:r>
        <w:t>ISO 80369-20 methods and other referenced standards must be obtained via approved access if claimed in test dossiers. Do not infer test conditions from missing references.</w:t>
      </w:r>
    </w:p>
    <w:p>
      <w:pPr>
        <w:pStyle w:val="Heading2"/>
      </w:pPr>
      <w:r>
        <w:t>4. Definitions</w:t>
      </w:r>
    </w:p>
    <w:p>
      <w:pPr>
        <w:pStyle w:val="ListBullet"/>
      </w:pPr>
      <w:r>
        <w:t>CVC: central venous catheter. In-process control: monitored manufacturing check and production record, not a final release certificate.</w:t>
      </w:r>
    </w:p>
    <w:p>
      <w:pPr>
        <w:pStyle w:val="ListBullet"/>
      </w:pPr>
      <w:r>
        <w:t>Qualification/type test: documented design/performance test controlling a product configuration, linked to supplier/design/changes.</w:t>
      </w:r>
    </w:p>
    <w:p>
      <w:pPr>
        <w:pStyle w:val="ListBullet"/>
      </w:pPr>
      <w:r>
        <w:t>OPEN TECHNICAL INPUT REQUIRED: unverified acceptance, sample plan, method or specification requiring technical authorization.</w:t>
      </w:r>
    </w:p>
    <w:p>
      <w:pPr>
        <w:pStyle w:val="Heading2"/>
      </w:pPr>
      <w:r>
        <w:t>5. Responsibilities</w:t>
      </w:r>
    </w:p>
    <w:p>
      <w:pPr>
        <w:pStyle w:val="ListBullet"/>
      </w:pPr>
      <w:r>
        <w:t>Production: approved work order, material issues, machine/assembly setup, process identification and immediate segregation of suspect production.</w:t>
      </w:r>
    </w:p>
    <w:p>
      <w:pPr>
        <w:pStyle w:val="ListBullet"/>
      </w:pPr>
      <w:r>
        <w:t>QC Controller: first-off/start-up checks, interval monitoring and accurately completed designated in-process form with instrument IDs, actual readings and sample traceability.</w:t>
      </w:r>
    </w:p>
    <w:p>
      <w:pPr>
        <w:pStyle w:val="ListBullet"/>
      </w:pPr>
      <w:r>
        <w:t>QC Supervisor / QC Manager: review deviations, test/evidence applicability, and records per controlled authority matrix; no approval signature is pre-populated.</w:t>
      </w:r>
    </w:p>
    <w:p>
      <w:pPr>
        <w:pStyle w:val="ListBullet"/>
      </w:pPr>
      <w:r>
        <w:t>Engineering / Supplier Quality / QA: validate drawings, BOM variants, qualification/type evidence, approved control frequency and EO release/validation linkage.</w:t>
      </w:r>
    </w:p>
    <w:p>
      <w:pPr>
        <w:pStyle w:val="Heading2"/>
      </w:pPr>
      <w:r>
        <w:t>6. Incoming material, moulding and accessory receipt</w:t>
      </w:r>
    </w:p>
    <w:p>
      <w:pPr>
        <w:pStyle w:val="ListBullet"/>
      </w:pPr>
      <w:r>
        <w:t>6.1 Verify raw material supplier identity, PO, material grade/color/lot, packaging condition and approved specification; log receiving report (WI-DD-02 Rev.3 §5.1, p.1).</w:t>
      </w:r>
    </w:p>
    <w:p>
      <w:pPr>
        <w:pStyle w:val="ListBullet"/>
      </w:pPr>
      <w:r>
        <w:t>6.2 Prepare approved mould/die and machine recipe. Production issues and QC examines first-off injection samples (housing, knob, connectors) and performs scheduled controlled monitoring in F-823-i15. Reject flashes, cracks, short shots, black spots, blockages and out-of-spec dimensions (source §5.2, p.2).</w:t>
      </w:r>
    </w:p>
    <w:p>
      <w:pPr>
        <w:pStyle w:val="ListBullet"/>
      </w:pPr>
      <w:r>
        <w:t>6.3 Extrusion: verify approved raw materials and die, run first-off checks; inspect tubular smoothness, cream-white appearance where specified, OD/ID, length, wall features and absence of damage/fish-eyes; record specified interval and equipment. Use F-823-i15 and linked DD-02-PS.</w:t>
      </w:r>
    </w:p>
    <w:p>
      <w:pPr>
        <w:pStyle w:val="ListBullet"/>
      </w:pPr>
      <w:r>
        <w:t>6.4 Guidewire receiving: preserve original straight/J-tip, coating, size/length, condition and handling checks. Verify safety wire/core connection, Annex F fracture, Annex G flexing and Annex H peak tensile qualification through controlled supplier/qualification evidence, not guessed routine frequency [CVC-G06].</w:t>
      </w:r>
    </w:p>
    <w:p>
      <w:pPr>
        <w:pStyle w:val="ListBullet"/>
      </w:pPr>
      <w:r>
        <w:t>6.5 Introducer needle / cannula: verify size, bevel/tip, lack of bending, blockage and secure hub. Apply ISO 11070 Annex I force only to the introducer-needle configuration with size-based criterion [CVC-G07]; verify fitting/union and traceability.</w:t>
      </w:r>
    </w:p>
    <w:p>
      <w:pPr>
        <w:pStyle w:val="ListBullet"/>
      </w:pPr>
      <w:r>
        <w:t>6.6 Hypodermic needle: verify color, dimensions, needle point, hub integrity, packaging and appropriate ISO 7864 Table 2 bond + §4.13 lumen-patency evidence [CVC-G08].</w:t>
      </w:r>
    </w:p>
    <w:p>
      <w:pPr>
        <w:pStyle w:val="ListBullet"/>
      </w:pPr>
      <w:r>
        <w:t>6.7 Dilator: examine nominal size, effective length, finish, lumen and Luer hub fit; retain supplier/qualification peak tensile evidence with ISO 11070 Annex C and applicable Table 2 limits [CVC-G09].</w:t>
      </w:r>
    </w:p>
    <w:p>
      <w:pPr>
        <w:pStyle w:val="ListBullet"/>
      </w:pPr>
      <w:r>
        <w:t>6.8 Syringe / guidewire syringe: verify appearance, markings and piston movement; confirm ISO 7886-1 Annex B/C/D type/dossier evidence where applicable; the standard does not itself prescribe syringe lot release sampling [CVC-G10].</w:t>
      </w:r>
    </w:p>
    <w:p>
      <w:pPr>
        <w:pStyle w:val="ListBullet"/>
      </w:pPr>
      <w:r>
        <w:t>6.9 Fixation devices, clamps, injection sealing caps, 3-way stopcock(s), scalpel, sterile tray and other supplied components: preserve WI-DD-02 Rev.3 §§5.4.4–5.4.7 receiving check items including fit, appearance, closure and specification identity; type-specific performance evidence goes to the relevant approved component file.</w:t>
      </w:r>
    </w:p>
    <w:p>
      <w:pPr>
        <w:pStyle w:val="ListBullet"/>
      </w:pPr>
      <w:r>
        <w:t>6.10 The CVC Complete Kit includes additional approved accessories (e.g. tray, drapes, swabs, forceps, towels, tourniquet, suture) only per the approved variant BOM. Verify part number and quantity against BOM; do not automatically apply a universal item list to every variant [CVC-G14].</w:t>
      </w:r>
    </w:p>
    <w:p>
      <w:pPr>
        <w:pStyle w:val="Heading2"/>
      </w:pPr>
      <w:r>
        <w:t>7. CVC printing, dimensions and design-specific checks</w:t>
      </w:r>
    </w:p>
    <w:p>
      <w:pPr>
        <w:pStyle w:val="ListBullet"/>
      </w:pPr>
      <w:r>
        <w:t>7.1 Print the catheter identity, graduation and company markings according to controlled artwork and approved product specification. Preserve the source 1 cm graduation spacing where it is approved for the product/variant and log measured spacing/check method [CVC-G14].</w:t>
      </w:r>
    </w:p>
    <w:p>
      <w:pPr>
        <w:pStyle w:val="ListBullet"/>
      </w:pPr>
      <w:r>
        <w:t>7.2 Confirm CVC tube length, OD, lumen arrangement, soft tip, the approved color marking and any Murphy eye according to selected model. If radio-detectability is required by documented risk assessment, verify qualified evidence for relevant design and material revision [CVC-G04].</w:t>
      </w:r>
    </w:p>
    <w:p>
      <w:pPr>
        <w:pStyle w:val="ListBullet"/>
      </w:pPr>
      <w:r>
        <w:t>7.3 Shaft/end tensile checks: use ISO 10555-1 §4.6 Table 1 and Annex B for its scope; separately use ISO 10555-3 §4.4 for applicable soft-tip junctions. Never substitute the 3/4/5 N soft-tip criterion for shaft tensile. Do not use “N/min” for static force [CVC-G01].</w:t>
      </w:r>
    </w:p>
    <w:p>
      <w:pPr>
        <w:pStyle w:val="ListBullet"/>
      </w:pPr>
      <w:r>
        <w:t>7.4 Inspect applicable surfaces with minimum 2.5x magnification and report observed extraneous matter/surface injuries [CVC-G03].</w:t>
      </w:r>
    </w:p>
    <w:p>
      <w:pPr>
        <w:pStyle w:val="Heading2"/>
      </w:pPr>
      <w:r>
        <w:t>8. Assembly and in-process monitoring</w:t>
      </w:r>
    </w:p>
    <w:p>
      <w:pPr>
        <w:pStyle w:val="ListBullet"/>
      </w:pPr>
      <w:r>
        <w:t>8.1 Verify issued components against the work order and variant BOM before assembly. Arrange approved components in the tray, load guidewire into dispenser/advancer where applicable and confirm compatibility.</w:t>
      </w:r>
    </w:p>
    <w:p>
      <w:pPr>
        <w:pStyle w:val="ListBullet"/>
      </w:pPr>
      <w:r>
        <w:t>8.2 Execute first-off/startup and prescribed interval checks in individual F-823-i13 (CVC Set) or F-823-i13-2 (CVC Complete Kit), preserving original visual/function items. Do not treat a blank time cell as proof of an executed check.</w:t>
      </w:r>
    </w:p>
    <w:p>
      <w:pPr>
        <w:pStyle w:val="ListBullet"/>
      </w:pPr>
      <w:r>
        <w:t>8.3 Record date, shift, lot, product code/configuration, approved drawing/BOM revision, responsible QC, machine/line, equipment ID, actual measurements and disposition. Each open technical criterion must link to the current approved specification prior to use.</w:t>
      </w:r>
    </w:p>
    <w:p>
      <w:pPr>
        <w:pStyle w:val="ListBullet"/>
      </w:pPr>
      <w:r>
        <w:t>8.4 Reconcile components that require a separate controlled verification route (supplier, qualification, periodic) by exact evidence ID. A missing routine test entry shall not be mistaken for evidence that qualification passed.</w:t>
      </w:r>
    </w:p>
    <w:p>
      <w:pPr>
        <w:pStyle w:val="ListBullet"/>
      </w:pPr>
      <w:r>
        <w:t>8.5 Tensile acceptance: apply CVC-G01/CVC-G02 specific control matrices rather than universal “20 N/min”, retain company 20 N only if independently approved and defined.</w:t>
      </w:r>
    </w:p>
    <w:p>
      <w:pPr>
        <w:pStyle w:val="ListBullet"/>
      </w:pPr>
      <w:r>
        <w:t>8.6 Liquid leak and aspiration-air check: verify design/qualification under ISO 10555-1 Annexes C and D; separate any routine fixture screening from such tests [CVC-G05].</w:t>
      </w:r>
    </w:p>
    <w:p>
      <w:pPr>
        <w:pStyle w:val="ListBullet"/>
      </w:pPr>
      <w:r>
        <w:t>8.7 For flow-rate-declared catheters, record each lumen: claimed and measured ml/min, relevant OD band, 80%/90% threshold under ISO 10555-1 §4.9, and evidence route [CVC-G02].</w:t>
      </w:r>
    </w:p>
    <w:p>
      <w:pPr>
        <w:pStyle w:val="ListBullet"/>
      </w:pPr>
      <w:r>
        <w:t>8.8 Preserve visual controls for syringe clarity/graduations, needle/cannula tip, guidewire condition, fixation and clamp function, secure gluing and integrity of all accessory components. Record actual observations and defects.</w:t>
      </w:r>
    </w:p>
    <w:p>
      <w:pPr>
        <w:pStyle w:val="ListBullet"/>
      </w:pPr>
      <w:r>
        <w:t>8.9 Confirm applicable Luer material/dimensions/type-performance qualification reference per ISO 80369-7, rather than inferring qualification from simple “good fitting” [CVC-G11].</w:t>
      </w:r>
    </w:p>
    <w:p>
      <w:pPr>
        <w:pStyle w:val="ListBullet"/>
      </w:pPr>
      <w:r>
        <w:t>8.10 Complete Kit: verify all quantities, sizes and compatibility against approved BOM variant, in F-823-i13-2 pages 1–2 and component genealogy [CVC-G14].</w:t>
      </w:r>
    </w:p>
    <w:p>
      <w:pPr>
        <w:pStyle w:val="Heading2"/>
      </w:pPr>
      <w:r>
        <w:t>9. Packaging and labeling</w:t>
      </w:r>
    </w:p>
    <w:p>
      <w:pPr>
        <w:pStyle w:val="ListBullet"/>
      </w:pPr>
      <w:r>
        <w:t>Confirm correct approved packaging film/paper, forming/cutting, intact sealing, legible product code, size, lot, manufacture and expiration dates, sterile markings and applicable symbols from the approved artwork.</w:t>
      </w:r>
    </w:p>
    <w:p>
      <w:pPr>
        <w:pStyle w:val="ListBullet"/>
      </w:pPr>
      <w:r>
        <w:t>Use packaging form F-823-i4-7 (Neil Pack) or F-823-i4-1 (Zip Lock blow/seal/cut) only if approved for the actual line/product and relevant validation. Their original company temperature, seal-width and timing values remain subject to controlled recipe verification.</w:t>
      </w:r>
    </w:p>
    <w:p>
      <w:pPr>
        <w:pStyle w:val="ListBullet"/>
      </w:pPr>
      <w:r>
        <w:t>Check sealing/peel condition at specified original sample times, document actual setpoints, observed result, instrument, deviation, and packaging specification reference.</w:t>
      </w:r>
    </w:p>
    <w:p>
      <w:pPr>
        <w:pStyle w:val="Heading2"/>
      </w:pPr>
      <w:r>
        <w:t>10. Sterilization linkage</w:t>
      </w:r>
    </w:p>
    <w:p>
      <w:pPr>
        <w:pStyle w:val="ListBullet"/>
      </w:pPr>
      <w:r>
        <w:t>Identify the CVC product lot and accepted packaging configuration on the formal EO load record, not solely on assembly form.</w:t>
      </w:r>
    </w:p>
    <w:p>
      <w:pPr>
        <w:pStyle w:val="ListBullet"/>
      </w:pPr>
      <w:r>
        <w:t>Verify ISO 11135 §11 acceptance of routine cycle conditions, BI result where used, deviations and applicable release prerequisites against the actual load. Process validation and post-change requalification must be controlled. [CVC-G12]</w:t>
      </w:r>
    </w:p>
    <w:p>
      <w:pPr>
        <w:pStyle w:val="Heading2"/>
      </w:pPr>
      <w:r>
        <w:t>11. Final inspection and release</w:t>
      </w:r>
    </w:p>
    <w:p>
      <w:pPr>
        <w:pStyle w:val="ListBullet"/>
      </w:pPr>
      <w:r>
        <w:t>Perform independent post-sterilization product and packaging checks against the approved final inspection/release protocol.</w:t>
      </w:r>
    </w:p>
    <w:p>
      <w:pPr>
        <w:pStyle w:val="ListBullet"/>
      </w:pPr>
      <w:r>
        <w:t>QC/QA authorized final release requires documented results, approved deviations and reviewed sterilization record. In-process signatures are NOT finished-product release approval.</w:t>
      </w:r>
    </w:p>
    <w:p>
      <w:pPr>
        <w:pStyle w:val="Heading2"/>
      </w:pPr>
      <w:r>
        <w:t>12. Records, traceability and document control</w:t>
      </w:r>
    </w:p>
    <w:p>
      <w:pPr>
        <w:pStyle w:val="ListBullet"/>
      </w:pPr>
      <w:r>
        <w:t>F-823-i13 = CVC Set in-process; F-823-i13-2 = CVC Complete Kit in-process (actual supplied title). Original WI §10 lists i13-2 as “Guidewire Syringe”; document-control reconciliation is required before adoption [CVC-G13].</w:t>
      </w:r>
    </w:p>
    <w:p>
      <w:pPr>
        <w:pStyle w:val="ListBullet"/>
      </w:pPr>
      <w:r>
        <w:t>F-823-i15 = injection/extrusion; F-823-i27 = 3-way assembly; F-823-i4-7 = Neil Pack; F-823-i4-1 = Zip Lock Machines; other company forms remain effective only after approved applicability checking.</w:t>
      </w:r>
    </w:p>
    <w:p>
      <w:pPr>
        <w:pStyle w:val="ListBullet"/>
      </w:pPr>
      <w:r>
        <w:t>All revised forms are independent Draft candidates; do not supersede forms or change approvals without controlled effective revision process.</w:t>
      </w:r>
    </w:p>
    <w:p>
      <w:pPr>
        <w:pStyle w:val="Heading2"/>
      </w:pPr>
      <w:r>
        <w:t>ISO qualification / evidence matrix (not automatically per lot)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tblHeader w:val="true"/>
        </w:trPr>
        <w:tc>
          <w:tcPr>
            <w:tcW w:type="dxa" w:w="2401"/>
            <w:shd w:fill="12304C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Gap</w:t>
            </w:r>
          </w:p>
        </w:tc>
        <w:tc>
          <w:tcPr>
            <w:tcW w:type="dxa" w:w="2401"/>
            <w:shd w:fill="12304C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Applicable standard</w:t>
            </w:r>
          </w:p>
        </w:tc>
        <w:tc>
          <w:tcPr>
            <w:tcW w:type="dxa" w:w="2401"/>
            <w:shd w:fill="12304C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Control route</w:t>
            </w:r>
          </w:p>
        </w:tc>
        <w:tc>
          <w:tcPr>
            <w:tcW w:type="dxa" w:w="2401"/>
            <w:shd w:fill="12304C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Evidence / approval input</w:t>
            </w:r>
          </w:p>
        </w:tc>
      </w:tr>
      <w:tr>
        <w:tc>
          <w:tcPr>
            <w:tcW w:type="dxa" w:w="24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CVC-G01</w:t>
            </w:r>
          </w:p>
        </w:tc>
        <w:tc>
          <w:tcPr>
            <w:tcW w:type="dxa" w:w="24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ISO 10555-1:2013+A1:2017, 4.6, Table 1, ISO p.5, PDF p.15; ISO 10555-3:2013, 4.4, Table 1, ISO p.2, PDF p.10</w:t>
            </w:r>
          </w:p>
        </w:tc>
        <w:tc>
          <w:tcPr>
            <w:tcW w:type="dxa" w:w="24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Qualification / periodic controlled evidence</w:t>
            </w:r>
          </w:p>
        </w:tc>
        <w:tc>
          <w:tcPr>
            <w:tcW w:type="dxa" w:w="24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Approved tensile matrix by component and size; Annex B or relevant soft-tip method report; instrument calibration; qualified test records and lot/design linkage. Existing 20 N</w:t>
            </w:r>
          </w:p>
        </w:tc>
      </w:tr>
      <w:tr>
        <w:tc>
          <w:tcPr>
            <w:tcW w:type="dxa" w:w="24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CVC-G02</w:t>
            </w:r>
          </w:p>
        </w:tc>
        <w:tc>
          <w:tcPr>
            <w:tcW w:type="dxa" w:w="24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ISO 10555-1:2013+A1:2017, 4.9 and Annex E, ISO p.5, PDF p.15</w:t>
            </w:r>
          </w:p>
        </w:tc>
        <w:tc>
          <w:tcPr>
            <w:tcW w:type="dxa" w:w="24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Qualification / periodic controlled evidence</w:t>
            </w:r>
          </w:p>
        </w:tc>
        <w:tc>
          <w:tcPr>
            <w:tcW w:type="dxa" w:w="24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Approved DD-02-PS flow claims and Annex E test reports by lumen; validated frequency decision. Status: OPEN — TECHNICAL INPUT / EVIDENCE.</w:t>
            </w:r>
          </w:p>
        </w:tc>
      </w:tr>
      <w:tr>
        <w:tc>
          <w:tcPr>
            <w:tcW w:type="dxa" w:w="24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CVC-G03</w:t>
            </w:r>
          </w:p>
        </w:tc>
        <w:tc>
          <w:tcPr>
            <w:tcW w:type="dxa" w:w="24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ISO 10555-1:2013+A1:2017, 4.4, ISO p.4, PDF p.14; ISO 11070:2014, 4.3, ISO p.5, PDF p.11</w:t>
            </w:r>
          </w:p>
        </w:tc>
        <w:tc>
          <w:tcPr>
            <w:tcW w:type="dxa" w:w="24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Qualification / periodic controlled evidence</w:t>
            </w:r>
          </w:p>
        </w:tc>
        <w:tc>
          <w:tcPr>
            <w:tcW w:type="dxa" w:w="24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Approved visual standard, magnifier/instrument suitability, training and completed in-process records. Status: OPEN — EVIDENCE.</w:t>
            </w:r>
          </w:p>
        </w:tc>
      </w:tr>
      <w:tr>
        <w:tc>
          <w:tcPr>
            <w:tcW w:type="dxa" w:w="24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CVC-G04</w:t>
            </w:r>
          </w:p>
        </w:tc>
        <w:tc>
          <w:tcPr>
            <w:tcW w:type="dxa" w:w="24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ISO 10555-1:2013+A1:2017, 4.2, ISO p.4, PDF p.14</w:t>
            </w:r>
          </w:p>
        </w:tc>
        <w:tc>
          <w:tcPr>
            <w:tcW w:type="dxa" w:w="24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Qualification / periodic controlled evidence</w:t>
            </w:r>
          </w:p>
        </w:tc>
        <w:tc>
          <w:tcPr>
            <w:tcW w:type="dxa" w:w="24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Risk assessment, qualified radio-detectability test, materials traceability and change-control review. Status: OPEN — EVIDENCE.</w:t>
            </w:r>
          </w:p>
        </w:tc>
      </w:tr>
      <w:tr>
        <w:tc>
          <w:tcPr>
            <w:tcW w:type="dxa" w:w="24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CVC-G05</w:t>
            </w:r>
          </w:p>
        </w:tc>
        <w:tc>
          <w:tcPr>
            <w:tcW w:type="dxa" w:w="24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ISO 10555-1:2013+A1:2017, 4.7.1, 4.7.2 and Annexes C/D, ISO p.5, PDF p.15</w:t>
            </w:r>
          </w:p>
        </w:tc>
        <w:tc>
          <w:tcPr>
            <w:tcW w:type="dxa" w:w="24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Qualification / periodic controlled evidence</w:t>
            </w:r>
          </w:p>
        </w:tc>
        <w:tc>
          <w:tcPr>
            <w:tcW w:type="dxa" w:w="24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Approved Annex C/D methods and reports, acceptance decisions, equipment verification, traceability. Status: OPEN — EVIDENCE.</w:t>
            </w:r>
          </w:p>
        </w:tc>
      </w:tr>
      <w:tr>
        <w:tc>
          <w:tcPr>
            <w:tcW w:type="dxa" w:w="24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CVC-G06</w:t>
            </w:r>
          </w:p>
        </w:tc>
        <w:tc>
          <w:tcPr>
            <w:tcW w:type="dxa" w:w="24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ISO 11070:2014, 8.3–8.6 and normative Annexes F/G/H, ISO p.9, PDF p.15</w:t>
            </w:r>
          </w:p>
        </w:tc>
        <w:tc>
          <w:tcPr>
            <w:tcW w:type="dxa" w:w="24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Qualification / periodic controlled evidence</w:t>
            </w:r>
          </w:p>
        </w:tc>
        <w:tc>
          <w:tcPr>
            <w:tcW w:type="dxa" w:w="24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Approved guidewire design/control plan; actual Annex F/G/H reports or verified supplier evidence; approved disposition. Status: OPEN — EVIDENCE.</w:t>
            </w:r>
          </w:p>
        </w:tc>
      </w:tr>
      <w:tr>
        <w:tc>
          <w:tcPr>
            <w:tcW w:type="dxa" w:w="24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CVC-G07</w:t>
            </w:r>
          </w:p>
        </w:tc>
        <w:tc>
          <w:tcPr>
            <w:tcW w:type="dxa" w:w="24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ISO 11070:2014, 5.4.2 and normative Annex I, ISO p.6, PDF p.12</w:t>
            </w:r>
          </w:p>
        </w:tc>
        <w:tc>
          <w:tcPr>
            <w:tcW w:type="dxa" w:w="24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Qualification / periodic controlled evidence</w:t>
            </w:r>
          </w:p>
        </w:tc>
        <w:tc>
          <w:tcPr>
            <w:tcW w:type="dxa" w:w="24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Approved needle specification and Annex I test record/supplier evidence. Status: OPEN — EVIDENCE.</w:t>
            </w:r>
          </w:p>
        </w:tc>
      </w:tr>
      <w:tr>
        <w:tc>
          <w:tcPr>
            <w:tcW w:type="dxa" w:w="24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CVC-G08</w:t>
            </w:r>
          </w:p>
        </w:tc>
        <w:tc>
          <w:tcPr>
            <w:tcW w:type="dxa" w:w="24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ISO 7864:2016, 4.12 Table 2 and 4.13 Table 3, ISO pp.7–9, PDF pp.13–15</w:t>
            </w:r>
          </w:p>
        </w:tc>
        <w:tc>
          <w:tcPr>
            <w:tcW w:type="dxa" w:w="24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Qualification / periodic controlled evidence</w:t>
            </w:r>
          </w:p>
        </w:tc>
        <w:tc>
          <w:tcPr>
            <w:tcW w:type="dxa" w:w="24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Approved ISO 7864 control route, actual bond/patency evidence, supplier verification and lot traceability. Status: OPEN — EVIDENCE.</w:t>
            </w:r>
          </w:p>
        </w:tc>
      </w:tr>
      <w:tr>
        <w:tc>
          <w:tcPr>
            <w:tcW w:type="dxa" w:w="24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CVC-G09</w:t>
            </w:r>
          </w:p>
        </w:tc>
        <w:tc>
          <w:tcPr>
            <w:tcW w:type="dxa" w:w="24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ISO 11070:2014, 9.3.3, 6.3 Table 2 and Annex C, ISO pp.7,10, PDF pp.13,16</w:t>
            </w:r>
          </w:p>
        </w:tc>
        <w:tc>
          <w:tcPr>
            <w:tcW w:type="dxa" w:w="24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Qualification / periodic controlled evidence</w:t>
            </w:r>
          </w:p>
        </w:tc>
        <w:tc>
          <w:tcPr>
            <w:tcW w:type="dxa" w:w="24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Approved dilator spec, tensile force qualification and evidence linked to controlled configuration. Status: OPEN — EVIDENCE.</w:t>
            </w:r>
          </w:p>
        </w:tc>
      </w:tr>
      <w:tr>
        <w:tc>
          <w:tcPr>
            <w:tcW w:type="dxa" w:w="24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CVC-G10</w:t>
            </w:r>
          </w:p>
        </w:tc>
        <w:tc>
          <w:tcPr>
            <w:tcW w:type="dxa" w:w="24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ISO 7886-1:2017, 13.1, 13.2 and normative Annexes B/C/D, ISO p.10, PDF p.18</w:t>
            </w:r>
          </w:p>
        </w:tc>
        <w:tc>
          <w:tcPr>
            <w:tcW w:type="dxa" w:w="24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Qualification / periodic controlled evidence</w:t>
            </w:r>
          </w:p>
        </w:tc>
        <w:tc>
          <w:tcPr>
            <w:tcW w:type="dxa" w:w="24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Approved syringe technical specification, actual design tests and accepted-supplier evidence. Status: OPEN — EVIDENCE.</w:t>
            </w:r>
          </w:p>
        </w:tc>
      </w:tr>
      <w:tr>
        <w:tc>
          <w:tcPr>
            <w:tcW w:type="dxa" w:w="24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CVC-G11</w:t>
            </w:r>
          </w:p>
        </w:tc>
        <w:tc>
          <w:tcPr>
            <w:tcW w:type="dxa" w:w="24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ISO 80369-7:2016, 4.2–4.3, 5, 6.1–6.6 and Annexes B/C, ISO pp.4–6, PDF pp.11–13</w:t>
            </w:r>
          </w:p>
        </w:tc>
        <w:tc>
          <w:tcPr>
            <w:tcW w:type="dxa" w:w="24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Qualification / periodic controlled evidence</w:t>
            </w:r>
          </w:p>
        </w:tc>
        <w:tc>
          <w:tcPr>
            <w:tcW w:type="dxa" w:w="24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Approved Luer design/type-test dossier including applicable ISO 80369-7 clauses and ISO 80369-20 test methods (latter not supplied). Status: OPEN — EVIDENCE / MISSING SOURCE.</w:t>
            </w:r>
          </w:p>
        </w:tc>
      </w:tr>
      <w:tr>
        <w:tc>
          <w:tcPr>
            <w:tcW w:type="dxa" w:w="24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CVC-G12</w:t>
            </w:r>
          </w:p>
        </w:tc>
        <w:tc>
          <w:tcPr>
            <w:tcW w:type="dxa" w:w="24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ISO 11135:2014, 11.1–11.3, ISO p.23, PDF p.35</w:t>
            </w:r>
          </w:p>
        </w:tc>
        <w:tc>
          <w:tcPr>
            <w:tcW w:type="dxa" w:w="24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Qualification / periodic controlled evidence</w:t>
            </w:r>
          </w:p>
        </w:tc>
        <w:tc>
          <w:tcPr>
            <w:tcW w:type="dxa" w:w="24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Validated process/qualification, individual load cycle record, BI evidence as applicable, deviation decisions, documented authorized release. Status: OPEN — EVIDENCE.</w:t>
            </w:r>
          </w:p>
        </w:tc>
      </w:tr>
      <w:tr>
        <w:tc>
          <w:tcPr>
            <w:tcW w:type="dxa" w:w="24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CVC-G13</w:t>
            </w:r>
          </w:p>
        </w:tc>
        <w:tc>
          <w:tcPr>
            <w:tcW w:type="dxa" w:w="24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Document control reconciliation; source WI-DD-02 Rev.3, p.10 §10 vs F-823-i13-2 Rev.1 header; no ISO clause claimed</w:t>
            </w:r>
          </w:p>
        </w:tc>
        <w:tc>
          <w:tcPr>
            <w:tcW w:type="dxa" w:w="24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Document control</w:t>
            </w:r>
          </w:p>
        </w:tc>
        <w:tc>
          <w:tcPr>
            <w:tcW w:type="dxa" w:w="24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Approved document master list, change request, revision/effective-date confirmation, verified supersession if any. Status: OPEN — APPROVAL.</w:t>
            </w:r>
          </w:p>
        </w:tc>
      </w:tr>
      <w:tr>
        <w:tc>
          <w:tcPr>
            <w:tcW w:type="dxa" w:w="24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CVC-G14</w:t>
            </w:r>
          </w:p>
        </w:tc>
        <w:tc>
          <w:tcPr>
            <w:tcW w:type="dxa" w:w="24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ISO 11070:2014, 10 and Table 4, ISO pp.10–11, PDF pp.16–17</w:t>
            </w:r>
          </w:p>
        </w:tc>
        <w:tc>
          <w:tcPr>
            <w:tcW w:type="dxa" w:w="24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Qualification / periodic controlled evidence</w:t>
            </w:r>
          </w:p>
        </w:tc>
        <w:tc>
          <w:tcPr>
            <w:tcW w:type="dxa" w:w="24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Approved BOM and packaging drawing per set, reconciliation checklist and completed kit records. Status: OPEN — TECHNICAL INPUT / EVIDENCE.</w:t>
            </w:r>
          </w:p>
        </w:tc>
      </w:tr>
    </w:tbl>
    <w:p>
      <w:pPr>
        <w:pStyle w:val="Heading1"/>
      </w:pPr>
      <w:r>
        <w:t>13. Original CVC dimensional variants (REFERENCE ONLY)</w:t>
      </w:r>
    </w:p>
    <w:p>
      <w:r>
        <w:t>Source: WI-DD-02 Rev.3, pp.7–8, Table 1. Listed examples reproduced as original company reference values for reconciliation; they are NOT approved acceptance limits in this draft until checked against controlled DD-02-PS and current BOM. Full source table remains authoritative pending Document Control.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1"/>
        <w:gridCol w:w="1201"/>
        <w:gridCol w:w="1201"/>
        <w:gridCol w:w="1201"/>
        <w:gridCol w:w="1201"/>
        <w:gridCol w:w="1201"/>
        <w:gridCol w:w="1201"/>
        <w:gridCol w:w="1201"/>
      </w:tblGrid>
      <w:tr>
        <w:trPr>
          <w:tblHeader w:val="true"/>
        </w:trPr>
        <w:tc>
          <w:tcPr>
            <w:tcW w:type="dxa" w:w="1201"/>
            <w:shd w:fill="12304C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Model</w:t>
            </w:r>
          </w:p>
        </w:tc>
        <w:tc>
          <w:tcPr>
            <w:tcW w:type="dxa" w:w="1201"/>
            <w:shd w:fill="12304C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Tube length</w:t>
            </w:r>
          </w:p>
        </w:tc>
        <w:tc>
          <w:tcPr>
            <w:tcW w:type="dxa" w:w="1201"/>
            <w:shd w:fill="12304C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Catheter OD×ID (mm)</w:t>
            </w:r>
          </w:p>
        </w:tc>
        <w:tc>
          <w:tcPr>
            <w:tcW w:type="dxa" w:w="1201"/>
            <w:shd w:fill="12304C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Dilator</w:t>
            </w:r>
          </w:p>
        </w:tc>
        <w:tc>
          <w:tcPr>
            <w:tcW w:type="dxa" w:w="1201"/>
            <w:shd w:fill="12304C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Dilator OD×ID (mm)</w:t>
            </w:r>
          </w:p>
        </w:tc>
        <w:tc>
          <w:tcPr>
            <w:tcW w:type="dxa" w:w="1201"/>
            <w:shd w:fill="12304C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Dilator L (mm)</w:t>
            </w:r>
          </w:p>
        </w:tc>
        <w:tc>
          <w:tcPr>
            <w:tcW w:type="dxa" w:w="1201"/>
            <w:shd w:fill="12304C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Needle</w:t>
            </w:r>
          </w:p>
        </w:tc>
        <w:tc>
          <w:tcPr>
            <w:tcW w:type="dxa" w:w="1201"/>
            <w:shd w:fill="12304C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Guidewire OD mm × L cm</w:t>
            </w:r>
          </w:p>
        </w:tc>
      </w:tr>
      <w:tr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3 FR Single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6 cm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0.99×0.62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5 FR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1.86×0.96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60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22/20 G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0.45×45</w:t>
            </w:r>
          </w:p>
        </w:tc>
      </w:tr>
      <w:tr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4 FR Single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10 cm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1.36×0.85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5 FR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1.86×0.96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60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22/20 G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0.45×45</w:t>
            </w:r>
          </w:p>
        </w:tc>
      </w:tr>
      <w:tr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5 FR Single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10 cm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1.72×1.10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6 FR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1.98×1.00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60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22/20 G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0.45×45</w:t>
            </w:r>
          </w:p>
        </w:tc>
      </w:tr>
      <w:tr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6 FR Single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10 cm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1.98×1.30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6 FR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2.00×1.00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60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22/20 G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0.45×45</w:t>
            </w:r>
          </w:p>
        </w:tc>
      </w:tr>
      <w:tr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4 FR Double A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10 cm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1.40 OD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5 FR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1.86×0.96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74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22/20 G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0.45×45</w:t>
            </w:r>
          </w:p>
        </w:tc>
      </w:tr>
      <w:tr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4 FR Double B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10 cm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1.40 OD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6 FR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1.98×1.00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50.48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22/20 G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0.45×45</w:t>
            </w:r>
          </w:p>
        </w:tc>
      </w:tr>
      <w:tr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4 FR Triple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10 cm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1.54 OD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6 FR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2.00×1.00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70.70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22/20 G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0.45×45</w:t>
            </w:r>
          </w:p>
        </w:tc>
      </w:tr>
      <w:tr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5 FR Double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15 cm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1.76 OD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6 FR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2.00×1.00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73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22/20 G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0.55×45</w:t>
            </w:r>
          </w:p>
        </w:tc>
      </w:tr>
      <w:tr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5 FR Triple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15 cm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1.90 OD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8 FR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2.50×1.50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105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22/20 G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0.55×45</w:t>
            </w:r>
          </w:p>
        </w:tc>
      </w:tr>
      <w:tr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7 FR Double / 9FR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30 cm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2.40 OD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9 FR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2.75×1.60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104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16/17 G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0.90×45</w:t>
            </w:r>
          </w:p>
        </w:tc>
      </w:tr>
      <w:tr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7 FR Double / 10FR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30 cm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2.40 OD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10 FR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2.93×2.00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103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16/17 G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0.90×45</w:t>
            </w:r>
          </w:p>
        </w:tc>
      </w:tr>
      <w:tr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7 FR Triple / 9FR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30 cm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2.56 OD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9 FR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2.75×1.60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103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16/17 G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0.90×45</w:t>
            </w:r>
          </w:p>
        </w:tc>
      </w:tr>
      <w:tr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7.5 FR Double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20 cm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2.56 OD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10 FR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2.75×1.60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103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16/17 G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0.90×45</w:t>
            </w:r>
          </w:p>
        </w:tc>
      </w:tr>
      <w:tr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8 FR Double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20 cm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3.00 OD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9 FR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2.80×1.60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103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16/17 G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0.90×45</w:t>
            </w:r>
          </w:p>
        </w:tc>
      </w:tr>
      <w:tr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7 FR Triple / 10FR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30 cm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2.56 OD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10 FR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2.92×2.00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103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16/17 G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0.90×45</w:t>
            </w:r>
          </w:p>
        </w:tc>
      </w:tr>
      <w:tr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11 FR Double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20 cm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3.90 OD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12 FR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3.32×2.00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155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16/17 G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0.90×45</w:t>
            </w:r>
          </w:p>
        </w:tc>
      </w:tr>
      <w:tr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11.5 FR Single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24 cm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3.90 OD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12 FR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3.32×2.00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155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16/17 G</w:t>
            </w:r>
          </w:p>
        </w:tc>
        <w:tc>
          <w:tcPr>
            <w:tcW w:type="dxa" w:w="12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0.90×45</w:t>
            </w:r>
          </w:p>
        </w:tc>
      </w:tr>
      <w:tr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12 FR Double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20 cm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4.05 OD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12 FR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3.93×2.50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152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16/17 G</w:t>
            </w:r>
          </w:p>
        </w:tc>
        <w:tc>
          <w:tcPr>
            <w:tcW w:type="dxa" w:w="12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4"/>
              </w:rPr>
              <w:t>0.90×45</w:t>
            </w:r>
          </w:p>
        </w:tc>
      </w:tr>
    </w:tbl>
    <w:p>
      <w:pPr>
        <w:pStyle w:val="Heading1"/>
      </w:pPr>
      <w:r>
        <w:t>14. Nonconforming product / escalation</w:t>
      </w:r>
    </w:p>
    <w:p>
      <w:pPr>
        <w:pStyle w:val="Heading2"/>
      </w:pPr>
      <w:r>
        <w:t>14.1 Handling</w:t>
      </w:r>
    </w:p>
    <w:p>
      <w:pPr>
        <w:pStyle w:val="ListBullet"/>
      </w:pPr>
      <w:r>
        <w:t>For failed acceptance, out-of-spec readings, missing test evidence or unapproved specification, mark the status FAIL or PENDING, segregate implicated output according to approved hold workflow and notify Supervisor/QA. Record time interval, lots, last conforming check and re-inspection/restart authorization.</w:t>
      </w:r>
    </w:p>
    <w:p>
      <w:pPr>
        <w:pStyle w:val="ListBullet"/>
      </w:pPr>
      <w:r>
        <w:t>Production shall not erase failures or substitute an unapproved visual judgement for a quantitative criterion.</w:t>
      </w:r>
    </w:p>
    <w:p>
      <w:pPr>
        <w:pStyle w:val="Heading1"/>
      </w:pPr>
      <w:r>
        <w:t>15.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tblHeader w:val="true"/>
        </w:trPr>
        <w:tc>
          <w:tcPr>
            <w:tcW w:type="dxa" w:w="2401"/>
            <w:shd w:fill="12304C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401"/>
            <w:shd w:fill="12304C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Effective date</w:t>
            </w:r>
          </w:p>
        </w:tc>
        <w:tc>
          <w:tcPr>
            <w:tcW w:type="dxa" w:w="2401"/>
            <w:shd w:fill="12304C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Change description</w:t>
            </w:r>
          </w:p>
        </w:tc>
        <w:tc>
          <w:tcPr>
            <w:tcW w:type="dxa" w:w="2401"/>
            <w:shd w:fill="12304C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4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24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01 Feb 2022</w:t>
            </w:r>
          </w:p>
        </w:tc>
        <w:tc>
          <w:tcPr>
            <w:tcW w:type="dxa" w:w="24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Original controlled source WI (not modified)</w:t>
            </w:r>
          </w:p>
        </w:tc>
        <w:tc>
          <w:tcPr>
            <w:tcW w:type="dxa" w:w="240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Baseline</w:t>
            </w:r>
          </w:p>
        </w:tc>
      </w:tr>
      <w:tr>
        <w:tc>
          <w:tcPr>
            <w:tcW w:type="dxa" w:w="24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DRAFT</w:t>
            </w:r>
          </w:p>
        </w:tc>
        <w:tc>
          <w:tcPr>
            <w:tcW w:type="dxa" w:w="24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22 Oct 2026</w:t>
            </w:r>
          </w:p>
        </w:tc>
        <w:tc>
          <w:tcPr>
            <w:tcW w:type="dxa" w:w="24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Source-driven process reconciliation, ISO test routing and in-process form mapping; linked CVC-G01 to G14</w:t>
            </w:r>
          </w:p>
        </w:tc>
        <w:tc>
          <w:tcPr>
            <w:tcW w:type="dxa" w:w="2401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Not approved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965" w:right="1109" w:bottom="893" w:left="1195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Draft for technical review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4F5C6B"/>
        <w:sz w:val="14"/>
      </w:rPr>
      <w:t>SAUDI MAIS | QUALITY CONTROL   •   UNCONTROLLED REVIEW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4F5C6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2843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284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1284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60"/>
      <w:contextualSpacing/>
    </w:pPr>
    <w:rPr>
      <w:rFonts w:asciiTheme="majorHAnsi" w:eastAsiaTheme="majorEastAsia" w:hAnsiTheme="majorHAnsi" w:cstheme="majorBidi" w:ascii="Aptos Display" w:hAnsi="Aptos Display"/>
      <w:b/>
      <w:color w:val="11284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