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CHEST TUBE KIT</w:t>
      </w:r>
    </w:p>
    <w:p>
      <w:pPr>
        <w:pStyle w:val="Heading1"/>
      </w:pPr>
      <w:r>
        <w:t>ISO GAP ANALYSIS FOR QC MANAGER</w:t>
      </w:r>
    </w:p>
    <w:p>
      <w:pPr>
        <w:pStyle w:val="Subtitle"/>
      </w:pPr>
      <w:r>
        <w:t>Master technical comparison • in-process assembly alignment</w:t>
      </w:r>
    </w:p>
    <w:p>
      <w:r>
        <w:t>Prepared for: QC Manager | Prepared: 19 October 2026</w:t>
      </w:r>
    </w:p>
    <w:p>
      <w:r>
        <w:t>Status: TECHNICAL REVIEW DRAFT — approval and operational evidence pending</w:t>
      </w:r>
    </w:p>
    <w:p>
      <w:r>
        <w:t>Product specification TF-64-PS / TF-64-PDBM not supplied; do not operationalize provisional limits.</w:t>
      </w:r>
    </w:p>
    <w:p>
      <w:pPr/>
      <w:r>
        <w:t>Assessment boundary: the source form F-823-i133 is IN-PROCESS ASSEMBLY CONTROL, not a finished-product Inspection &amp; Test Report. Other test methods use linked controlled records.</w:t>
      </w:r>
    </w:p>
    <w:p>
      <w:pPr/>
      <w:r>
        <w:t>ISO citation note: printed ISO pages below are derived from the published 2018 text. Official PDF page numbers have NOT been checked; the 2017 DIS preview is a draft and is not used to establish conformity.</w:t>
      </w:r>
    </w:p>
    <w:p>
      <w:r>
        <w:br w:type="page"/>
      </w:r>
    </w:p>
    <w:p>
      <w:pPr>
        <w:pStyle w:val="Heading1"/>
      </w:pPr>
      <w:r>
        <w:t>1  Executive summary</w:t>
      </w:r>
    </w:p>
    <w:p>
      <w:pPr/>
      <w:r>
        <w:rPr>
          <w:b/>
        </w:rPr>
        <w:t xml:space="preserve">Product: </w:t>
      </w:r>
      <w:r>
        <w:t>Chest Tube Kit — kit composition/variant requires approved TF-64-PS / TF-64-PDBM.</w:t>
      </w:r>
    </w:p>
    <w:p>
      <w:pPr/>
      <w:r>
        <w:rPr>
          <w:b/>
        </w:rPr>
        <w:t xml:space="preserve">Primary candidate standard: </w:t>
      </w:r>
      <w:r>
        <w:t>ISO 20697:2018; intended use and catheter applicability must be confirmed via approved design documentation.</w:t>
      </w:r>
    </w:p>
    <w:p>
      <w:pPr/>
      <w:r>
        <w:rPr>
          <w:b/>
        </w:rPr>
        <w:t xml:space="preserve">WI: </w:t>
      </w:r>
      <w:r>
        <w:t>WI-8-2-2-64 Rev.01 (2022-12-15), 4 pages</w:t>
      </w:r>
    </w:p>
    <w:p>
      <w:pPr/>
      <w:r>
        <w:rPr>
          <w:b/>
        </w:rPr>
        <w:t xml:space="preserve">In-process form: </w:t>
      </w:r>
      <w:r>
        <w:t>F-823-i133 Rev.04 (2025-10-10), sheet F-823-i133 (Rev 4)</w:t>
      </w:r>
    </w:p>
    <w:p>
      <w:pPr/>
      <w:r>
        <w:rPr>
          <w:b/>
        </w:rPr>
        <w:t xml:space="preserve">Total initial gaps: </w:t>
      </w:r>
      <w:r>
        <w:t>21</w:t>
      </w:r>
    </w:p>
    <w:p>
      <w:pPr/>
      <w:r>
        <w:rPr>
          <w:b/>
        </w:rPr>
        <w:t xml:space="preserve">Priorities: </w:t>
      </w:r>
      <w:r>
        <w:t>{'P2': 10, 'P1': 11}</w:t>
      </w:r>
    </w:p>
    <w:p>
      <w:pPr/>
      <w:r>
        <w:rPr>
          <w:b/>
        </w:rPr>
        <w:t xml:space="preserve">Verified ISO closures: </w:t>
      </w:r>
      <w:r>
        <w:t>0 — no executed test evidence, risk/biological evaluation, validated release, approved revised documents or controlled specs provided</w:t>
      </w:r>
    </w:p>
    <w:p>
      <w:pPr/>
      <w:r>
        <w:rPr>
          <w:b/>
        </w:rPr>
        <w:t xml:space="preserve">Manager decision: </w:t>
      </w:r>
      <w:r>
        <w:t>Approve reconciliation of BOM/gloves/lidocaine/suture/gauze, verify controlled source identifiers, assign qualification owners, approve revised control plan after spec confirmation.</w:t>
      </w:r>
    </w:p>
    <w:p>
      <w:r>
        <w:t>Existing WI and in-process form are not adequately aligned for controlled production. This is a DOCUMENT/EVIDENCE assessment, not a confirmed failed product test. No routine ISO type test is imposed without an approved risk-based control route.</w:t>
      </w:r>
    </w:p>
    <w:p>
      <w:pPr>
        <w:pStyle w:val="Heading1"/>
      </w:pPr>
      <w:r>
        <w:t>2  Documents reviewed &amp; scope</w:t>
      </w:r>
    </w:p>
    <w:p>
      <w:pPr>
        <w:pStyle w:val="Heading1"/>
      </w:pPr>
      <w:r>
        <w:t>Source / evidence rules</w:t>
      </w:r>
    </w:p>
    <w:p>
      <w:r>
        <w:t>Uploaded WI: WI-8-2-2-64 Rev.01, date 15.12.2022, pages 1–4. Read directly from the supplied .doc; section/page links refer to document printed pages.</w:t>
      </w:r>
    </w:p>
    <w:p>
      <w:r>
        <w:t>Uploaded assembly record: F-823-i133 Rev.04, date 10.10.2025, sheet F-823-i133 (Rev 4), one printed page, exact Excel row references indicated.</w:t>
      </w:r>
    </w:p>
    <w:p>
      <w:r>
        <w:t>ISO 20697:2018 (published edition), verified via publicly accessible published-text rendering; printed pages verified from contents. Official final-edition PDF not supplied; PDF page offsets remain UNVERIFIED. The accessible sample PDF is ISO/DIS 20697:2017 (draft), not an approved substitute.</w:t>
      </w:r>
    </w:p>
    <w:p>
      <w:r>
        <w:t>Referenced but NOT supplied: TF-64-PS, TF-64-PDBM, approved product BOM, WI-7-5-1-1, F-823-i4-2, F-8-2-4, component reports and qualification / biocompatibility / packaging validation evidence.</w:t>
      </w:r>
    </w:p>
    <w:p>
      <w:r>
        <w:t>The 7-column master table preserves the required titles. “Inspection Text” columns refer only to the supplied IN-PROCESS CONTROL record in this assignment. An ISO test not suitable for routine inspection is linked to a separate controlled qualification record.</w:t>
      </w:r>
    </w:p>
    <w:p>
      <w:pPr/>
      <w:r>
        <w:rPr>
          <w:b/>
        </w:rPr>
        <w:t xml:space="preserve">Published ISO text: </w:t>
      </w:r>
      <w:r>
        <w:t>ISO 20697:2018 — https://www.theiteh.com/catalog/standards/iso/6aeb145d-52d7-4f24-866e-f2320e7f7646/iso-20697-2018</w:t>
      </w:r>
    </w:p>
    <w:p>
      <w:pPr/>
      <w:r>
        <w:rPr>
          <w:b/>
        </w:rPr>
        <w:t xml:space="preserve">Official ISO scope/edition: </w:t>
      </w:r>
      <w:r>
        <w:t>https://www.iso.org/standard/68855.html</w:t>
      </w:r>
    </w:p>
    <w:p>
      <w:pPr>
        <w:pStyle w:val="Heading1"/>
      </w:pPr>
      <w:r>
        <w:t>3  Applicable ISO requirement map (source-derived)</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rPr>
        <w:tc>
          <w:tcPr>
            <w:tcW w:type="dxa" w:w="2458"/>
            <w:shd w:fill="17304D"/>
          </w:tcPr>
          <w:p>
            <w:r>
              <w:rPr>
                <w:b/>
                <w:color w:val="FFFFFF"/>
                <w:sz w:val="15"/>
              </w:rPr>
              <w:t>ID</w:t>
            </w:r>
          </w:p>
        </w:tc>
        <w:tc>
          <w:tcPr>
            <w:tcW w:type="dxa" w:w="2458"/>
            <w:shd w:fill="17304D"/>
          </w:tcPr>
          <w:p>
            <w:r>
              <w:rPr>
                <w:b/>
                <w:color w:val="FFFFFF"/>
                <w:sz w:val="15"/>
              </w:rPr>
              <w:t>ISO clause / printed page</w:t>
            </w:r>
          </w:p>
        </w:tc>
        <w:tc>
          <w:tcPr>
            <w:tcW w:type="dxa" w:w="2458"/>
            <w:shd w:fill="17304D"/>
          </w:tcPr>
          <w:p>
            <w:r>
              <w:rPr>
                <w:b/>
                <w:color w:val="FFFFFF"/>
                <w:sz w:val="15"/>
              </w:rPr>
              <w:t>Verified requirement theme</w:t>
            </w:r>
          </w:p>
        </w:tc>
        <w:tc>
          <w:tcPr>
            <w:tcW w:type="dxa" w:w="2458"/>
            <w:shd w:fill="17304D"/>
          </w:tcPr>
          <w:p>
            <w:r>
              <w:rPr>
                <w:b/>
                <w:color w:val="FFFFFF"/>
                <w:sz w:val="15"/>
              </w:rPr>
              <w:t>Scope condition</w:t>
            </w:r>
          </w:p>
        </w:tc>
      </w:tr>
      <w:tr>
        <w:tc>
          <w:tcPr>
            <w:tcW w:type="dxa" w:w="2458"/>
            <w:vAlign w:val="top"/>
          </w:tcPr>
          <w:p>
            <w:pPr>
              <w:spacing w:after="40"/>
            </w:pPr>
            <w:r>
              <w:rPr>
                <w:rFonts w:ascii="Aptos" w:hAnsi="Aptos"/>
                <w:sz w:val="15"/>
              </w:rPr>
              <w:t>REQ-01</w:t>
            </w:r>
          </w:p>
        </w:tc>
        <w:tc>
          <w:tcPr>
            <w:tcW w:type="dxa" w:w="2458"/>
            <w:vAlign w:val="top"/>
          </w:tcPr>
          <w:p>
            <w:pPr>
              <w:spacing w:after="40"/>
            </w:pPr>
            <w:r>
              <w:rPr>
                <w:rFonts w:ascii="Aptos" w:hAnsi="Aptos"/>
                <w:sz w:val="15"/>
              </w:rPr>
              <w:t>§4 p.3</w:t>
            </w:r>
          </w:p>
        </w:tc>
        <w:tc>
          <w:tcPr>
            <w:tcW w:type="dxa" w:w="2458"/>
            <w:vAlign w:val="top"/>
          </w:tcPr>
          <w:p>
            <w:pPr>
              <w:spacing w:after="40"/>
            </w:pPr>
            <w:r>
              <w:rPr>
                <w:rFonts w:ascii="Aptos" w:hAnsi="Aptos"/>
                <w:sz w:val="15"/>
              </w:rPr>
              <w:t>Safe access, maintenance of drainage; retention only when present</w:t>
            </w:r>
          </w:p>
        </w:tc>
        <w:tc>
          <w:tcPr>
            <w:tcW w:type="dxa" w:w="2458"/>
            <w:vAlign w:val="top"/>
          </w:tcPr>
          <w:p>
            <w:pPr>
              <w:spacing w:after="40"/>
            </w:pPr>
            <w:r>
              <w:rPr>
                <w:rFonts w:ascii="Aptos" w:hAnsi="Aptos"/>
                <w:sz w:val="15"/>
              </w:rPr>
              <w:t>Applicable catheter; retention conditional</w:t>
            </w:r>
          </w:p>
        </w:tc>
      </w:tr>
      <w:tr>
        <w:tc>
          <w:tcPr>
            <w:tcW w:type="dxa" w:w="2458"/>
            <w:vAlign w:val="top"/>
            <w:shd w:fill="F1F5F9"/>
          </w:tcPr>
          <w:p>
            <w:pPr>
              <w:spacing w:after="40"/>
            </w:pPr>
            <w:r>
              <w:rPr>
                <w:rFonts w:ascii="Aptos" w:hAnsi="Aptos"/>
                <w:sz w:val="15"/>
              </w:rPr>
              <w:t>REQ-02</w:t>
            </w:r>
          </w:p>
        </w:tc>
        <w:tc>
          <w:tcPr>
            <w:tcW w:type="dxa" w:w="2458"/>
            <w:vAlign w:val="top"/>
            <w:shd w:fill="F1F5F9"/>
          </w:tcPr>
          <w:p>
            <w:pPr>
              <w:spacing w:after="40"/>
            </w:pPr>
            <w:r>
              <w:rPr>
                <w:rFonts w:ascii="Aptos" w:hAnsi="Aptos"/>
                <w:sz w:val="15"/>
              </w:rPr>
              <w:t>§5.1 p.3</w:t>
            </w:r>
          </w:p>
        </w:tc>
        <w:tc>
          <w:tcPr>
            <w:tcW w:type="dxa" w:w="2458"/>
            <w:vAlign w:val="top"/>
            <w:shd w:fill="F1F5F9"/>
          </w:tcPr>
          <w:p>
            <w:pPr>
              <w:spacing w:after="40"/>
            </w:pPr>
            <w:r>
              <w:rPr>
                <w:rFonts w:ascii="Aptos" w:hAnsi="Aptos"/>
                <w:sz w:val="15"/>
              </w:rPr>
              <w:t>Documented risk-management analysis and supporting file</w:t>
            </w:r>
          </w:p>
        </w:tc>
        <w:tc>
          <w:tcPr>
            <w:tcW w:type="dxa" w:w="2458"/>
            <w:vAlign w:val="top"/>
            <w:shd w:fill="F1F5F9"/>
          </w:tcPr>
          <w:p>
            <w:pPr>
              <w:spacing w:after="40"/>
            </w:pPr>
            <w:r>
              <w:rPr>
                <w:rFonts w:ascii="Aptos" w:hAnsi="Aptos"/>
                <w:sz w:val="15"/>
              </w:rPr>
              <w:t>Applicable</w:t>
            </w:r>
          </w:p>
        </w:tc>
      </w:tr>
      <w:tr>
        <w:tc>
          <w:tcPr>
            <w:tcW w:type="dxa" w:w="2458"/>
            <w:vAlign w:val="top"/>
          </w:tcPr>
          <w:p>
            <w:pPr>
              <w:spacing w:after="40"/>
            </w:pPr>
            <w:r>
              <w:rPr>
                <w:rFonts w:ascii="Aptos" w:hAnsi="Aptos"/>
                <w:sz w:val="15"/>
              </w:rPr>
              <w:t>REQ-03</w:t>
            </w:r>
          </w:p>
        </w:tc>
        <w:tc>
          <w:tcPr>
            <w:tcW w:type="dxa" w:w="2458"/>
            <w:vAlign w:val="top"/>
          </w:tcPr>
          <w:p>
            <w:pPr>
              <w:spacing w:after="40"/>
            </w:pPr>
            <w:r>
              <w:rPr>
                <w:rFonts w:ascii="Aptos" w:hAnsi="Aptos"/>
                <w:sz w:val="15"/>
              </w:rPr>
              <w:t>§5.2 p.4</w:t>
            </w:r>
          </w:p>
        </w:tc>
        <w:tc>
          <w:tcPr>
            <w:tcW w:type="dxa" w:w="2458"/>
            <w:vAlign w:val="top"/>
          </w:tcPr>
          <w:p>
            <w:pPr>
              <w:spacing w:after="40"/>
            </w:pPr>
            <w:r>
              <w:rPr>
                <w:rFonts w:ascii="Aptos" w:hAnsi="Aptos"/>
                <w:sz w:val="15"/>
              </w:rPr>
              <w:t>Risk-appropriate biological safety evaluation</w:t>
            </w:r>
          </w:p>
        </w:tc>
        <w:tc>
          <w:tcPr>
            <w:tcW w:type="dxa" w:w="2458"/>
            <w:vAlign w:val="top"/>
          </w:tcPr>
          <w:p>
            <w:pPr>
              <w:spacing w:after="40"/>
            </w:pPr>
            <w:r>
              <w:rPr>
                <w:rFonts w:ascii="Aptos" w:hAnsi="Aptos"/>
                <w:sz w:val="15"/>
              </w:rPr>
              <w:t>Applicable patient-contact components</w:t>
            </w:r>
          </w:p>
        </w:tc>
      </w:tr>
      <w:tr>
        <w:tc>
          <w:tcPr>
            <w:tcW w:type="dxa" w:w="2458"/>
            <w:vAlign w:val="top"/>
            <w:shd w:fill="F1F5F9"/>
          </w:tcPr>
          <w:p>
            <w:pPr>
              <w:spacing w:after="40"/>
            </w:pPr>
            <w:r>
              <w:rPr>
                <w:rFonts w:ascii="Aptos" w:hAnsi="Aptos"/>
                <w:sz w:val="15"/>
              </w:rPr>
              <w:t>REQ-04</w:t>
            </w:r>
          </w:p>
        </w:tc>
        <w:tc>
          <w:tcPr>
            <w:tcW w:type="dxa" w:w="2458"/>
            <w:vAlign w:val="top"/>
            <w:shd w:fill="F1F5F9"/>
          </w:tcPr>
          <w:p>
            <w:pPr>
              <w:spacing w:after="40"/>
            </w:pPr>
            <w:r>
              <w:rPr>
                <w:rFonts w:ascii="Aptos" w:hAnsi="Aptos"/>
                <w:sz w:val="15"/>
              </w:rPr>
              <w:t>§5.3 p.4</w:t>
            </w:r>
          </w:p>
        </w:tc>
        <w:tc>
          <w:tcPr>
            <w:tcW w:type="dxa" w:w="2458"/>
            <w:vAlign w:val="top"/>
            <w:shd w:fill="F1F5F9"/>
          </w:tcPr>
          <w:p>
            <w:pPr>
              <w:spacing w:after="40"/>
            </w:pPr>
            <w:r>
              <w:rPr>
                <w:rFonts w:ascii="Aptos" w:hAnsi="Aptos"/>
                <w:sz w:val="15"/>
              </w:rPr>
              <w:t>Detectability when required by risk assessment</w:t>
            </w:r>
          </w:p>
        </w:tc>
        <w:tc>
          <w:tcPr>
            <w:tcW w:type="dxa" w:w="2458"/>
            <w:vAlign w:val="top"/>
            <w:shd w:fill="F1F5F9"/>
          </w:tcPr>
          <w:p>
            <w:pPr>
              <w:spacing w:after="40"/>
            </w:pPr>
            <w:r>
              <w:rPr>
                <w:rFonts w:ascii="Aptos" w:hAnsi="Aptos"/>
                <w:sz w:val="15"/>
              </w:rPr>
              <w:t>Risk/claim conditional</w:t>
            </w:r>
          </w:p>
        </w:tc>
      </w:tr>
      <w:tr>
        <w:tc>
          <w:tcPr>
            <w:tcW w:type="dxa" w:w="2458"/>
            <w:vAlign w:val="top"/>
          </w:tcPr>
          <w:p>
            <w:pPr>
              <w:spacing w:after="40"/>
            </w:pPr>
            <w:r>
              <w:rPr>
                <w:rFonts w:ascii="Aptos" w:hAnsi="Aptos"/>
                <w:sz w:val="15"/>
              </w:rPr>
              <w:t>REQ-05</w:t>
            </w:r>
          </w:p>
        </w:tc>
        <w:tc>
          <w:tcPr>
            <w:tcW w:type="dxa" w:w="2458"/>
            <w:vAlign w:val="top"/>
          </w:tcPr>
          <w:p>
            <w:pPr>
              <w:spacing w:after="40"/>
            </w:pPr>
            <w:r>
              <w:rPr>
                <w:rFonts w:ascii="Aptos" w:hAnsi="Aptos"/>
                <w:sz w:val="15"/>
              </w:rPr>
              <w:t>§5.4 p.4</w:t>
            </w:r>
          </w:p>
        </w:tc>
        <w:tc>
          <w:tcPr>
            <w:tcW w:type="dxa" w:w="2458"/>
            <w:vAlign w:val="top"/>
          </w:tcPr>
          <w:p>
            <w:pPr>
              <w:spacing w:after="40"/>
            </w:pPr>
            <w:r>
              <w:rPr>
                <w:rFonts w:ascii="Aptos" w:hAnsi="Aptos"/>
                <w:sz w:val="15"/>
              </w:rPr>
              <w:t>External effective-length surface free of hazardous defects and extraneous matter</w:t>
            </w:r>
          </w:p>
        </w:tc>
        <w:tc>
          <w:tcPr>
            <w:tcW w:type="dxa" w:w="2458"/>
            <w:vAlign w:val="top"/>
          </w:tcPr>
          <w:p>
            <w:pPr>
              <w:spacing w:after="40"/>
            </w:pPr>
            <w:r>
              <w:rPr>
                <w:rFonts w:ascii="Aptos" w:hAnsi="Aptos"/>
                <w:sz w:val="15"/>
              </w:rPr>
              <w:t>Applicable catheter</w:t>
            </w:r>
          </w:p>
        </w:tc>
      </w:tr>
      <w:tr>
        <w:tc>
          <w:tcPr>
            <w:tcW w:type="dxa" w:w="2458"/>
            <w:vAlign w:val="top"/>
            <w:shd w:fill="F1F5F9"/>
          </w:tcPr>
          <w:p>
            <w:pPr>
              <w:spacing w:after="40"/>
            </w:pPr>
            <w:r>
              <w:rPr>
                <w:rFonts w:ascii="Aptos" w:hAnsi="Aptos"/>
                <w:sz w:val="15"/>
              </w:rPr>
              <w:t>REQ-06</w:t>
            </w:r>
          </w:p>
        </w:tc>
        <w:tc>
          <w:tcPr>
            <w:tcW w:type="dxa" w:w="2458"/>
            <w:vAlign w:val="top"/>
            <w:shd w:fill="F1F5F9"/>
          </w:tcPr>
          <w:p>
            <w:pPr>
              <w:spacing w:after="40"/>
            </w:pPr>
            <w:r>
              <w:rPr>
                <w:rFonts w:ascii="Aptos" w:hAnsi="Aptos"/>
                <w:sz w:val="15"/>
              </w:rPr>
              <w:t>§5.5.1–5.5.3 pp.4–5</w:t>
            </w:r>
          </w:p>
        </w:tc>
        <w:tc>
          <w:tcPr>
            <w:tcW w:type="dxa" w:w="2458"/>
            <w:vAlign w:val="top"/>
            <w:shd w:fill="F1F5F9"/>
          </w:tcPr>
          <w:p>
            <w:pPr>
              <w:spacing w:after="40"/>
            </w:pPr>
            <w:r>
              <w:rPr>
                <w:rFonts w:ascii="Aptos" w:hAnsi="Aptos"/>
                <w:sz w:val="15"/>
              </w:rPr>
              <w:t>OD nominal designation (±1 Fr) and effective-length unit; no standard length tolerance</w:t>
            </w:r>
          </w:p>
        </w:tc>
        <w:tc>
          <w:tcPr>
            <w:tcW w:type="dxa" w:w="2458"/>
            <w:vAlign w:val="top"/>
            <w:shd w:fill="F1F5F9"/>
          </w:tcPr>
          <w:p>
            <w:pPr>
              <w:spacing w:after="40"/>
            </w:pPr>
            <w:r>
              <w:rPr>
                <w:rFonts w:ascii="Aptos" w:hAnsi="Aptos"/>
                <w:sz w:val="15"/>
              </w:rPr>
              <w:t>Applicable catheter</w:t>
            </w:r>
          </w:p>
        </w:tc>
      </w:tr>
      <w:tr>
        <w:tc>
          <w:tcPr>
            <w:tcW w:type="dxa" w:w="2458"/>
            <w:vAlign w:val="top"/>
          </w:tcPr>
          <w:p>
            <w:pPr>
              <w:spacing w:after="40"/>
            </w:pPr>
            <w:r>
              <w:rPr>
                <w:rFonts w:ascii="Aptos" w:hAnsi="Aptos"/>
                <w:sz w:val="15"/>
              </w:rPr>
              <w:t>REQ-07</w:t>
            </w:r>
          </w:p>
        </w:tc>
        <w:tc>
          <w:tcPr>
            <w:tcW w:type="dxa" w:w="2458"/>
            <w:vAlign w:val="top"/>
          </w:tcPr>
          <w:p>
            <w:pPr>
              <w:spacing w:after="40"/>
            </w:pPr>
            <w:r>
              <w:rPr>
                <w:rFonts w:ascii="Aptos" w:hAnsi="Aptos"/>
                <w:sz w:val="15"/>
              </w:rPr>
              <w:t>§5.5.4 p.5</w:t>
            </w:r>
          </w:p>
        </w:tc>
        <w:tc>
          <w:tcPr>
            <w:tcW w:type="dxa" w:w="2458"/>
            <w:vAlign w:val="top"/>
          </w:tcPr>
          <w:p>
            <w:pPr>
              <w:spacing w:after="40"/>
            </w:pPr>
            <w:r>
              <w:rPr>
                <w:rFonts w:ascii="Aptos" w:hAnsi="Aptos"/>
                <w:sz w:val="15"/>
              </w:rPr>
              <w:t>Nominal balloon volume in mL if balloon is present</w:t>
            </w:r>
          </w:p>
        </w:tc>
        <w:tc>
          <w:tcPr>
            <w:tcW w:type="dxa" w:w="2458"/>
            <w:vAlign w:val="top"/>
          </w:tcPr>
          <w:p>
            <w:pPr>
              <w:spacing w:after="40"/>
            </w:pPr>
            <w:r>
              <w:rPr>
                <w:rFonts w:ascii="Aptos" w:hAnsi="Aptos"/>
                <w:sz w:val="15"/>
              </w:rPr>
              <w:t>Conditional — feature unverified</w:t>
            </w:r>
          </w:p>
        </w:tc>
      </w:tr>
      <w:tr>
        <w:tc>
          <w:tcPr>
            <w:tcW w:type="dxa" w:w="2458"/>
            <w:vAlign w:val="top"/>
            <w:shd w:fill="F1F5F9"/>
          </w:tcPr>
          <w:p>
            <w:pPr>
              <w:spacing w:after="40"/>
            </w:pPr>
            <w:r>
              <w:rPr>
                <w:rFonts w:ascii="Aptos" w:hAnsi="Aptos"/>
                <w:sz w:val="15"/>
              </w:rPr>
              <w:t>REQ-08</w:t>
            </w:r>
          </w:p>
        </w:tc>
        <w:tc>
          <w:tcPr>
            <w:tcW w:type="dxa" w:w="2458"/>
            <w:vAlign w:val="top"/>
            <w:shd w:fill="F1F5F9"/>
          </w:tcPr>
          <w:p>
            <w:pPr>
              <w:spacing w:after="40"/>
            </w:pPr>
            <w:r>
              <w:rPr>
                <w:rFonts w:ascii="Aptos" w:hAnsi="Aptos"/>
                <w:sz w:val="15"/>
              </w:rPr>
              <w:t>§5.6 p.5</w:t>
            </w:r>
          </w:p>
        </w:tc>
        <w:tc>
          <w:tcPr>
            <w:tcW w:type="dxa" w:w="2458"/>
            <w:vAlign w:val="top"/>
            <w:shd w:fill="F1F5F9"/>
          </w:tcPr>
          <w:p>
            <w:pPr>
              <w:spacing w:after="40"/>
            </w:pPr>
            <w:r>
              <w:rPr>
                <w:rFonts w:ascii="Aptos" w:hAnsi="Aptos"/>
                <w:sz w:val="15"/>
              </w:rPr>
              <w:t>Avoid misconnection by appropriate risk assessment</w:t>
            </w:r>
          </w:p>
        </w:tc>
        <w:tc>
          <w:tcPr>
            <w:tcW w:type="dxa" w:w="2458"/>
            <w:vAlign w:val="top"/>
            <w:shd w:fill="F1F5F9"/>
          </w:tcPr>
          <w:p>
            <w:pPr>
              <w:spacing w:after="40"/>
            </w:pPr>
            <w:r>
              <w:rPr>
                <w:rFonts w:ascii="Aptos" w:hAnsi="Aptos"/>
                <w:sz w:val="15"/>
              </w:rPr>
              <w:t>Applicable if interfaces/connectors</w:t>
            </w:r>
          </w:p>
        </w:tc>
      </w:tr>
      <w:tr>
        <w:tc>
          <w:tcPr>
            <w:tcW w:type="dxa" w:w="2458"/>
            <w:vAlign w:val="top"/>
          </w:tcPr>
          <w:p>
            <w:pPr>
              <w:spacing w:after="40"/>
            </w:pPr>
            <w:r>
              <w:rPr>
                <w:rFonts w:ascii="Aptos" w:hAnsi="Aptos"/>
                <w:sz w:val="15"/>
              </w:rPr>
              <w:t>REQ-09</w:t>
            </w:r>
          </w:p>
        </w:tc>
        <w:tc>
          <w:tcPr>
            <w:tcW w:type="dxa" w:w="2458"/>
            <w:vAlign w:val="top"/>
          </w:tcPr>
          <w:p>
            <w:pPr>
              <w:spacing w:after="40"/>
            </w:pPr>
            <w:r>
              <w:rPr>
                <w:rFonts w:ascii="Aptos" w:hAnsi="Aptos"/>
                <w:sz w:val="15"/>
              </w:rPr>
              <w:t>§5.7 p.6</w:t>
            </w:r>
          </w:p>
        </w:tc>
        <w:tc>
          <w:tcPr>
            <w:tcW w:type="dxa" w:w="2458"/>
            <w:vAlign w:val="top"/>
          </w:tcPr>
          <w:p>
            <w:pPr>
              <w:spacing w:after="40"/>
            </w:pPr>
            <w:r>
              <w:rPr>
                <w:rFonts w:ascii="Aptos" w:hAnsi="Aptos"/>
                <w:sz w:val="15"/>
              </w:rPr>
              <w:t>MRI hazard evaluation if applicable</w:t>
            </w:r>
          </w:p>
        </w:tc>
        <w:tc>
          <w:tcPr>
            <w:tcW w:type="dxa" w:w="2458"/>
            <w:vAlign w:val="top"/>
          </w:tcPr>
          <w:p>
            <w:pPr>
              <w:spacing w:after="40"/>
            </w:pPr>
            <w:r>
              <w:rPr>
                <w:rFonts w:ascii="Aptos" w:hAnsi="Aptos"/>
                <w:sz w:val="15"/>
              </w:rPr>
              <w:t>Conditional — environment/claims</w:t>
            </w:r>
          </w:p>
        </w:tc>
      </w:tr>
      <w:tr>
        <w:tc>
          <w:tcPr>
            <w:tcW w:type="dxa" w:w="2458"/>
            <w:vAlign w:val="top"/>
            <w:shd w:fill="F1F5F9"/>
          </w:tcPr>
          <w:p>
            <w:pPr>
              <w:spacing w:after="40"/>
            </w:pPr>
            <w:r>
              <w:rPr>
                <w:rFonts w:ascii="Aptos" w:hAnsi="Aptos"/>
                <w:sz w:val="15"/>
              </w:rPr>
              <w:t>REQ-10</w:t>
            </w:r>
          </w:p>
        </w:tc>
        <w:tc>
          <w:tcPr>
            <w:tcW w:type="dxa" w:w="2458"/>
            <w:vAlign w:val="top"/>
            <w:shd w:fill="F1F5F9"/>
          </w:tcPr>
          <w:p>
            <w:pPr>
              <w:spacing w:after="40"/>
            </w:pPr>
            <w:r>
              <w:rPr>
                <w:rFonts w:ascii="Aptos" w:hAnsi="Aptos"/>
                <w:sz w:val="15"/>
              </w:rPr>
              <w:t>§5.8 p.6</w:t>
            </w:r>
          </w:p>
        </w:tc>
        <w:tc>
          <w:tcPr>
            <w:tcW w:type="dxa" w:w="2458"/>
            <w:vAlign w:val="top"/>
            <w:shd w:fill="F1F5F9"/>
          </w:tcPr>
          <w:p>
            <w:pPr>
              <w:spacing w:after="40"/>
            </w:pPr>
            <w:r>
              <w:rPr>
                <w:rFonts w:ascii="Aptos" w:hAnsi="Aptos"/>
                <w:sz w:val="15"/>
              </w:rPr>
              <w:t>Appropriate sterilization standards and SAL 10^-6 for sterile device</w:t>
            </w:r>
          </w:p>
        </w:tc>
        <w:tc>
          <w:tcPr>
            <w:tcW w:type="dxa" w:w="2458"/>
            <w:vAlign w:val="top"/>
            <w:shd w:fill="F1F5F9"/>
          </w:tcPr>
          <w:p>
            <w:pPr>
              <w:spacing w:after="40"/>
            </w:pPr>
            <w:r>
              <w:rPr>
                <w:rFonts w:ascii="Aptos" w:hAnsi="Aptos"/>
                <w:sz w:val="15"/>
              </w:rPr>
              <w:t>Applicable marketed sterile kit</w:t>
            </w:r>
          </w:p>
        </w:tc>
      </w:tr>
      <w:tr>
        <w:tc>
          <w:tcPr>
            <w:tcW w:type="dxa" w:w="2458"/>
            <w:vAlign w:val="top"/>
          </w:tcPr>
          <w:p>
            <w:pPr>
              <w:spacing w:after="40"/>
            </w:pPr>
            <w:r>
              <w:rPr>
                <w:rFonts w:ascii="Aptos" w:hAnsi="Aptos"/>
                <w:sz w:val="15"/>
              </w:rPr>
              <w:t>REQ-11</w:t>
            </w:r>
          </w:p>
        </w:tc>
        <w:tc>
          <w:tcPr>
            <w:tcW w:type="dxa" w:w="2458"/>
            <w:vAlign w:val="top"/>
          </w:tcPr>
          <w:p>
            <w:pPr>
              <w:spacing w:after="40"/>
            </w:pPr>
            <w:r>
              <w:rPr>
                <w:rFonts w:ascii="Aptos" w:hAnsi="Aptos"/>
                <w:sz w:val="15"/>
              </w:rPr>
              <w:t>§6.1 / Annex A informative p.6 / p.11</w:t>
            </w:r>
          </w:p>
        </w:tc>
        <w:tc>
          <w:tcPr>
            <w:tcW w:type="dxa" w:w="2458"/>
            <w:vAlign w:val="top"/>
          </w:tcPr>
          <w:p>
            <w:pPr>
              <w:spacing w:after="40"/>
            </w:pPr>
            <w:r>
              <w:rPr>
                <w:rFonts w:ascii="Aptos" w:hAnsi="Aptos"/>
                <w:sz w:val="15"/>
              </w:rPr>
              <w:t>Risk-based catheter kink performance; no default fixed kink threshold</w:t>
            </w:r>
          </w:p>
        </w:tc>
        <w:tc>
          <w:tcPr>
            <w:tcW w:type="dxa" w:w="2458"/>
            <w:vAlign w:val="top"/>
          </w:tcPr>
          <w:p>
            <w:pPr>
              <w:spacing w:after="40"/>
            </w:pPr>
            <w:r>
              <w:rPr>
                <w:rFonts w:ascii="Aptos" w:hAnsi="Aptos"/>
                <w:sz w:val="15"/>
              </w:rPr>
              <w:t>Applicable placement performance</w:t>
            </w:r>
          </w:p>
        </w:tc>
      </w:tr>
      <w:tr>
        <w:tc>
          <w:tcPr>
            <w:tcW w:type="dxa" w:w="2458"/>
            <w:vAlign w:val="top"/>
            <w:shd w:fill="F1F5F9"/>
          </w:tcPr>
          <w:p>
            <w:pPr>
              <w:spacing w:after="40"/>
            </w:pPr>
            <w:r>
              <w:rPr>
                <w:rFonts w:ascii="Aptos" w:hAnsi="Aptos"/>
                <w:sz w:val="15"/>
              </w:rPr>
              <w:t>REQ-12</w:t>
            </w:r>
          </w:p>
        </w:tc>
        <w:tc>
          <w:tcPr>
            <w:tcW w:type="dxa" w:w="2458"/>
            <w:vAlign w:val="top"/>
            <w:shd w:fill="F1F5F9"/>
          </w:tcPr>
          <w:p>
            <w:pPr>
              <w:spacing w:after="40"/>
            </w:pPr>
            <w:r>
              <w:rPr>
                <w:rFonts w:ascii="Aptos" w:hAnsi="Aptos"/>
                <w:sz w:val="15"/>
              </w:rPr>
              <w:t>§6.2 / Annex B p.6 / p.13</w:t>
            </w:r>
          </w:p>
        </w:tc>
        <w:tc>
          <w:tcPr>
            <w:tcW w:type="dxa" w:w="2458"/>
            <w:vAlign w:val="top"/>
            <w:shd w:fill="F1F5F9"/>
          </w:tcPr>
          <w:p>
            <w:pPr>
              <w:spacing w:after="40"/>
            </w:pPr>
            <w:r>
              <w:rPr>
                <w:rFonts w:ascii="Aptos" w:hAnsi="Aptos"/>
                <w:sz w:val="15"/>
              </w:rPr>
              <w:t>Corrosion evaluation for exposed metallic catheter components when relevant</w:t>
            </w:r>
          </w:p>
        </w:tc>
        <w:tc>
          <w:tcPr>
            <w:tcW w:type="dxa" w:w="2458"/>
            <w:vAlign w:val="top"/>
            <w:shd w:fill="F1F5F9"/>
          </w:tcPr>
          <w:p>
            <w:pPr>
              <w:spacing w:after="40"/>
            </w:pPr>
            <w:r>
              <w:rPr>
                <w:rFonts w:ascii="Aptos" w:hAnsi="Aptos"/>
                <w:sz w:val="15"/>
              </w:rPr>
              <w:t>Conditional — catheter metal</w:t>
            </w:r>
          </w:p>
        </w:tc>
      </w:tr>
      <w:tr>
        <w:tc>
          <w:tcPr>
            <w:tcW w:type="dxa" w:w="2458"/>
            <w:vAlign w:val="top"/>
          </w:tcPr>
          <w:p>
            <w:pPr>
              <w:spacing w:after="40"/>
            </w:pPr>
            <w:r>
              <w:rPr>
                <w:rFonts w:ascii="Aptos" w:hAnsi="Aptos"/>
                <w:sz w:val="15"/>
              </w:rPr>
              <w:t>REQ-13</w:t>
            </w:r>
          </w:p>
        </w:tc>
        <w:tc>
          <w:tcPr>
            <w:tcW w:type="dxa" w:w="2458"/>
            <w:vAlign w:val="top"/>
          </w:tcPr>
          <w:p>
            <w:pPr>
              <w:spacing w:after="40"/>
            </w:pPr>
            <w:r>
              <w:rPr>
                <w:rFonts w:ascii="Aptos" w:hAnsi="Aptos"/>
                <w:sz w:val="15"/>
              </w:rPr>
              <w:t>§6.3 / Annex C p.6 / p.14</w:t>
            </w:r>
          </w:p>
        </w:tc>
        <w:tc>
          <w:tcPr>
            <w:tcW w:type="dxa" w:w="2458"/>
            <w:vAlign w:val="top"/>
          </w:tcPr>
          <w:p>
            <w:pPr>
              <w:spacing w:after="40"/>
            </w:pPr>
            <w:r>
              <w:rPr>
                <w:rFonts w:ascii="Aptos" w:hAnsi="Aptos"/>
                <w:sz w:val="15"/>
              </w:rPr>
              <w:t>Function-preserving deformation resistance under maximum specified suction</w:t>
            </w:r>
          </w:p>
        </w:tc>
        <w:tc>
          <w:tcPr>
            <w:tcW w:type="dxa" w:w="2458"/>
            <w:vAlign w:val="top"/>
          </w:tcPr>
          <w:p>
            <w:pPr>
              <w:spacing w:after="40"/>
            </w:pPr>
            <w:r>
              <w:rPr>
                <w:rFonts w:ascii="Aptos" w:hAnsi="Aptos"/>
                <w:sz w:val="15"/>
              </w:rPr>
              <w:t>Conditional — negative pressure</w:t>
            </w:r>
          </w:p>
        </w:tc>
      </w:tr>
      <w:tr>
        <w:tc>
          <w:tcPr>
            <w:tcW w:type="dxa" w:w="2458"/>
            <w:vAlign w:val="top"/>
            <w:shd w:fill="F1F5F9"/>
          </w:tcPr>
          <w:p>
            <w:pPr>
              <w:spacing w:after="40"/>
            </w:pPr>
            <w:r>
              <w:rPr>
                <w:rFonts w:ascii="Aptos" w:hAnsi="Aptos"/>
                <w:sz w:val="15"/>
              </w:rPr>
              <w:t>REQ-14</w:t>
            </w:r>
          </w:p>
        </w:tc>
        <w:tc>
          <w:tcPr>
            <w:tcW w:type="dxa" w:w="2458"/>
            <w:vAlign w:val="top"/>
            <w:shd w:fill="F1F5F9"/>
          </w:tcPr>
          <w:p>
            <w:pPr>
              <w:spacing w:after="40"/>
            </w:pPr>
            <w:r>
              <w:rPr>
                <w:rFonts w:ascii="Aptos" w:hAnsi="Aptos"/>
                <w:sz w:val="15"/>
              </w:rPr>
              <w:t>§6.4.1 / Table 1 / Annex D pp.6–7 / p.15</w:t>
            </w:r>
          </w:p>
        </w:tc>
        <w:tc>
          <w:tcPr>
            <w:tcW w:type="dxa" w:w="2458"/>
            <w:vAlign w:val="top"/>
            <w:shd w:fill="F1F5F9"/>
          </w:tcPr>
          <w:p>
            <w:pPr>
              <w:spacing w:after="40"/>
            </w:pPr>
            <w:r>
              <w:rPr>
                <w:rFonts w:ascii="Aptos" w:hAnsi="Aptos"/>
                <w:sz w:val="15"/>
              </w:rPr>
              <w:t>External connection tensile force by OD band: 5 N or 15 N</w:t>
            </w:r>
          </w:p>
        </w:tc>
        <w:tc>
          <w:tcPr>
            <w:tcW w:type="dxa" w:w="2458"/>
            <w:vAlign w:val="top"/>
            <w:shd w:fill="F1F5F9"/>
          </w:tcPr>
          <w:p>
            <w:pPr>
              <w:spacing w:after="40"/>
            </w:pPr>
            <w:r>
              <w:rPr>
                <w:rFonts w:ascii="Aptos" w:hAnsi="Aptos"/>
                <w:sz w:val="15"/>
              </w:rPr>
              <w:t>Applicable connection existence/OD</w:t>
            </w:r>
          </w:p>
        </w:tc>
      </w:tr>
      <w:tr>
        <w:tc>
          <w:tcPr>
            <w:tcW w:type="dxa" w:w="2458"/>
            <w:vAlign w:val="top"/>
          </w:tcPr>
          <w:p>
            <w:pPr>
              <w:spacing w:after="40"/>
            </w:pPr>
            <w:r>
              <w:rPr>
                <w:rFonts w:ascii="Aptos" w:hAnsi="Aptos"/>
                <w:sz w:val="15"/>
              </w:rPr>
              <w:t>REQ-15</w:t>
            </w:r>
          </w:p>
        </w:tc>
        <w:tc>
          <w:tcPr>
            <w:tcW w:type="dxa" w:w="2458"/>
            <w:vAlign w:val="top"/>
          </w:tcPr>
          <w:p>
            <w:pPr>
              <w:spacing w:after="40"/>
            </w:pPr>
            <w:r>
              <w:rPr>
                <w:rFonts w:ascii="Aptos" w:hAnsi="Aptos"/>
                <w:sz w:val="15"/>
              </w:rPr>
              <w:t>§6.4.2 / Table 2 / Annex E p.7 / p.16</w:t>
            </w:r>
          </w:p>
        </w:tc>
        <w:tc>
          <w:tcPr>
            <w:tcW w:type="dxa" w:w="2458"/>
            <w:vAlign w:val="top"/>
          </w:tcPr>
          <w:p>
            <w:pPr>
              <w:spacing w:after="40"/>
            </w:pPr>
            <w:r>
              <w:rPr>
                <w:rFonts w:ascii="Aptos" w:hAnsi="Aptos"/>
                <w:sz w:val="15"/>
              </w:rPr>
              <w:t>Catheter/junction tensile force by OD band: 10 N or 20 N</w:t>
            </w:r>
          </w:p>
        </w:tc>
        <w:tc>
          <w:tcPr>
            <w:tcW w:type="dxa" w:w="2458"/>
            <w:vAlign w:val="top"/>
          </w:tcPr>
          <w:p>
            <w:pPr>
              <w:spacing w:after="40"/>
            </w:pPr>
            <w:r>
              <w:rPr>
                <w:rFonts w:ascii="Aptos" w:hAnsi="Aptos"/>
                <w:sz w:val="15"/>
              </w:rPr>
              <w:t>Applicable tubing/junction configuration</w:t>
            </w:r>
          </w:p>
        </w:tc>
      </w:tr>
      <w:tr>
        <w:tc>
          <w:tcPr>
            <w:tcW w:type="dxa" w:w="2458"/>
            <w:vAlign w:val="top"/>
            <w:shd w:fill="F1F5F9"/>
          </w:tcPr>
          <w:p>
            <w:pPr>
              <w:spacing w:after="40"/>
            </w:pPr>
            <w:r>
              <w:rPr>
                <w:rFonts w:ascii="Aptos" w:hAnsi="Aptos"/>
                <w:sz w:val="15"/>
              </w:rPr>
              <w:t>REQ-16</w:t>
            </w:r>
          </w:p>
        </w:tc>
        <w:tc>
          <w:tcPr>
            <w:tcW w:type="dxa" w:w="2458"/>
            <w:vAlign w:val="top"/>
            <w:shd w:fill="F1F5F9"/>
          </w:tcPr>
          <w:p>
            <w:pPr>
              <w:spacing w:after="40"/>
            </w:pPr>
            <w:r>
              <w:rPr>
                <w:rFonts w:ascii="Aptos" w:hAnsi="Aptos"/>
                <w:sz w:val="15"/>
              </w:rPr>
              <w:t>§6.5 / Annex F p.7 / p.18</w:t>
            </w:r>
          </w:p>
        </w:tc>
        <w:tc>
          <w:tcPr>
            <w:tcW w:type="dxa" w:w="2458"/>
            <w:vAlign w:val="top"/>
            <w:shd w:fill="F1F5F9"/>
          </w:tcPr>
          <w:p>
            <w:pPr>
              <w:spacing w:after="40"/>
            </w:pPr>
            <w:r>
              <w:rPr>
                <w:rFonts w:ascii="Aptos" w:hAnsi="Aptos"/>
                <w:sz w:val="15"/>
              </w:rPr>
              <w:t>Collection device impact resistance; 2% maximum vacuum loss where suction applies</w:t>
            </w:r>
          </w:p>
        </w:tc>
        <w:tc>
          <w:tcPr>
            <w:tcW w:type="dxa" w:w="2458"/>
            <w:vAlign w:val="top"/>
            <w:shd w:fill="F1F5F9"/>
          </w:tcPr>
          <w:p>
            <w:pPr>
              <w:spacing w:after="40"/>
            </w:pPr>
            <w:r>
              <w:rPr>
                <w:rFonts w:ascii="Aptos" w:hAnsi="Aptos"/>
                <w:sz w:val="15"/>
              </w:rPr>
              <w:t>Conditional — collecting/suction device</w:t>
            </w:r>
          </w:p>
        </w:tc>
      </w:tr>
      <w:tr>
        <w:tc>
          <w:tcPr>
            <w:tcW w:type="dxa" w:w="2458"/>
            <w:vAlign w:val="top"/>
          </w:tcPr>
          <w:p>
            <w:pPr>
              <w:spacing w:after="40"/>
            </w:pPr>
            <w:r>
              <w:rPr>
                <w:rFonts w:ascii="Aptos" w:hAnsi="Aptos"/>
                <w:sz w:val="15"/>
              </w:rPr>
              <w:t>REQ-17</w:t>
            </w:r>
          </w:p>
        </w:tc>
        <w:tc>
          <w:tcPr>
            <w:tcW w:type="dxa" w:w="2458"/>
            <w:vAlign w:val="top"/>
          </w:tcPr>
          <w:p>
            <w:pPr>
              <w:spacing w:after="40"/>
            </w:pPr>
            <w:r>
              <w:rPr>
                <w:rFonts w:ascii="Aptos" w:hAnsi="Aptos"/>
                <w:sz w:val="15"/>
              </w:rPr>
              <w:t>§6.6 / Annex G p.7 / p.20</w:t>
            </w:r>
          </w:p>
        </w:tc>
        <w:tc>
          <w:tcPr>
            <w:tcW w:type="dxa" w:w="2458"/>
            <w:vAlign w:val="top"/>
          </w:tcPr>
          <w:p>
            <w:pPr>
              <w:spacing w:after="40"/>
            </w:pPr>
            <w:r>
              <w:rPr>
                <w:rFonts w:ascii="Aptos" w:hAnsi="Aptos"/>
                <w:sz w:val="15"/>
              </w:rPr>
              <w:t>Flow rate at least 80% or 90% of stated claim when flow claimed</w:t>
            </w:r>
          </w:p>
        </w:tc>
        <w:tc>
          <w:tcPr>
            <w:tcW w:type="dxa" w:w="2458"/>
            <w:vAlign w:val="top"/>
          </w:tcPr>
          <w:p>
            <w:pPr>
              <w:spacing w:after="40"/>
            </w:pPr>
            <w:r>
              <w:rPr>
                <w:rFonts w:ascii="Aptos" w:hAnsi="Aptos"/>
                <w:sz w:val="15"/>
              </w:rPr>
              <w:t>Conditional — flow claimed</w:t>
            </w:r>
          </w:p>
        </w:tc>
      </w:tr>
      <w:tr>
        <w:tc>
          <w:tcPr>
            <w:tcW w:type="dxa" w:w="2458"/>
            <w:vAlign w:val="top"/>
            <w:shd w:fill="F1F5F9"/>
          </w:tcPr>
          <w:p>
            <w:pPr>
              <w:spacing w:after="40"/>
            </w:pPr>
            <w:r>
              <w:rPr>
                <w:rFonts w:ascii="Aptos" w:hAnsi="Aptos"/>
                <w:sz w:val="15"/>
              </w:rPr>
              <w:t>REQ-18</w:t>
            </w:r>
          </w:p>
        </w:tc>
        <w:tc>
          <w:tcPr>
            <w:tcW w:type="dxa" w:w="2458"/>
            <w:vAlign w:val="top"/>
            <w:shd w:fill="F1F5F9"/>
          </w:tcPr>
          <w:p>
            <w:pPr>
              <w:spacing w:after="40"/>
            </w:pPr>
            <w:r>
              <w:rPr>
                <w:rFonts w:ascii="Aptos" w:hAnsi="Aptos"/>
                <w:sz w:val="15"/>
              </w:rPr>
              <w:t>§6.7 / Annex H informative p.7 / p.22</w:t>
            </w:r>
          </w:p>
        </w:tc>
        <w:tc>
          <w:tcPr>
            <w:tcW w:type="dxa" w:w="2458"/>
            <w:vAlign w:val="top"/>
            <w:shd w:fill="F1F5F9"/>
          </w:tcPr>
          <w:p>
            <w:pPr>
              <w:spacing w:after="40"/>
            </w:pPr>
            <w:r>
              <w:rPr>
                <w:rFonts w:ascii="Aptos" w:hAnsi="Aptos"/>
                <w:sz w:val="15"/>
              </w:rPr>
              <w:t>Retention strength risk-based for non-balloon retention features</w:t>
            </w:r>
          </w:p>
        </w:tc>
        <w:tc>
          <w:tcPr>
            <w:tcW w:type="dxa" w:w="2458"/>
            <w:vAlign w:val="top"/>
            <w:shd w:fill="F1F5F9"/>
          </w:tcPr>
          <w:p>
            <w:pPr>
              <w:spacing w:after="40"/>
            </w:pPr>
            <w:r>
              <w:rPr>
                <w:rFonts w:ascii="Aptos" w:hAnsi="Aptos"/>
                <w:sz w:val="15"/>
              </w:rPr>
              <w:t>Conditional — feature</w:t>
            </w:r>
          </w:p>
        </w:tc>
      </w:tr>
      <w:tr>
        <w:tc>
          <w:tcPr>
            <w:tcW w:type="dxa" w:w="2458"/>
            <w:vAlign w:val="top"/>
          </w:tcPr>
          <w:p>
            <w:pPr>
              <w:spacing w:after="40"/>
            </w:pPr>
            <w:r>
              <w:rPr>
                <w:rFonts w:ascii="Aptos" w:hAnsi="Aptos"/>
                <w:sz w:val="15"/>
              </w:rPr>
              <w:t>REQ-19</w:t>
            </w:r>
          </w:p>
        </w:tc>
        <w:tc>
          <w:tcPr>
            <w:tcW w:type="dxa" w:w="2458"/>
            <w:vAlign w:val="top"/>
          </w:tcPr>
          <w:p>
            <w:pPr>
              <w:spacing w:after="40"/>
            </w:pPr>
            <w:r>
              <w:rPr>
                <w:rFonts w:ascii="Aptos" w:hAnsi="Aptos"/>
                <w:sz w:val="15"/>
              </w:rPr>
              <w:t>§6.8 / Annex I p.7 / p.24</w:t>
            </w:r>
          </w:p>
        </w:tc>
        <w:tc>
          <w:tcPr>
            <w:tcW w:type="dxa" w:w="2458"/>
            <w:vAlign w:val="top"/>
          </w:tcPr>
          <w:p>
            <w:pPr>
              <w:spacing w:after="40"/>
            </w:pPr>
            <w:r>
              <w:rPr>
                <w:rFonts w:ascii="Aptos" w:hAnsi="Aptos"/>
                <w:sz w:val="15"/>
              </w:rPr>
              <w:t>Balloon safety / no leakage or obstructed drainage holes</w:t>
            </w:r>
          </w:p>
        </w:tc>
        <w:tc>
          <w:tcPr>
            <w:tcW w:type="dxa" w:w="2458"/>
            <w:vAlign w:val="top"/>
          </w:tcPr>
          <w:p>
            <w:pPr>
              <w:spacing w:after="40"/>
            </w:pPr>
            <w:r>
              <w:rPr>
                <w:rFonts w:ascii="Aptos" w:hAnsi="Aptos"/>
                <w:sz w:val="15"/>
              </w:rPr>
              <w:t>Conditional — balloon</w:t>
            </w:r>
          </w:p>
        </w:tc>
      </w:tr>
      <w:tr>
        <w:tc>
          <w:tcPr>
            <w:tcW w:type="dxa" w:w="2458"/>
            <w:vAlign w:val="top"/>
            <w:shd w:fill="F1F5F9"/>
          </w:tcPr>
          <w:p>
            <w:pPr>
              <w:spacing w:after="40"/>
            </w:pPr>
            <w:r>
              <w:rPr>
                <w:rFonts w:ascii="Aptos" w:hAnsi="Aptos"/>
                <w:sz w:val="15"/>
              </w:rPr>
              <w:t>REQ-20</w:t>
            </w:r>
          </w:p>
        </w:tc>
        <w:tc>
          <w:tcPr>
            <w:tcW w:type="dxa" w:w="2458"/>
            <w:vAlign w:val="top"/>
            <w:shd w:fill="F1F5F9"/>
          </w:tcPr>
          <w:p>
            <w:pPr>
              <w:spacing w:after="40"/>
            </w:pPr>
            <w:r>
              <w:rPr>
                <w:rFonts w:ascii="Aptos" w:hAnsi="Aptos"/>
                <w:sz w:val="15"/>
              </w:rPr>
              <w:t>§6.9 / Annex J/K p.8 / pp.27,29</w:t>
            </w:r>
          </w:p>
        </w:tc>
        <w:tc>
          <w:tcPr>
            <w:tcW w:type="dxa" w:w="2458"/>
            <w:vAlign w:val="top"/>
            <w:shd w:fill="F1F5F9"/>
          </w:tcPr>
          <w:p>
            <w:pPr>
              <w:spacing w:after="40"/>
            </w:pPr>
            <w:r>
              <w:rPr>
                <w:rFonts w:ascii="Aptos" w:hAnsi="Aptos"/>
                <w:sz w:val="15"/>
              </w:rPr>
              <w:t>Balloon integrity / volume maintenance depending on compliant type</w:t>
            </w:r>
          </w:p>
        </w:tc>
        <w:tc>
          <w:tcPr>
            <w:tcW w:type="dxa" w:w="2458"/>
            <w:vAlign w:val="top"/>
            <w:shd w:fill="F1F5F9"/>
          </w:tcPr>
          <w:p>
            <w:pPr>
              <w:spacing w:after="40"/>
            </w:pPr>
            <w:r>
              <w:rPr>
                <w:rFonts w:ascii="Aptos" w:hAnsi="Aptos"/>
                <w:sz w:val="15"/>
              </w:rPr>
              <w:t>Conditional — balloon</w:t>
            </w:r>
          </w:p>
        </w:tc>
      </w:tr>
      <w:tr>
        <w:tc>
          <w:tcPr>
            <w:tcW w:type="dxa" w:w="2458"/>
            <w:vAlign w:val="top"/>
          </w:tcPr>
          <w:p>
            <w:pPr>
              <w:spacing w:after="40"/>
            </w:pPr>
            <w:r>
              <w:rPr>
                <w:rFonts w:ascii="Aptos" w:hAnsi="Aptos"/>
                <w:sz w:val="15"/>
              </w:rPr>
              <w:t>REQ-21</w:t>
            </w:r>
          </w:p>
        </w:tc>
        <w:tc>
          <w:tcPr>
            <w:tcW w:type="dxa" w:w="2458"/>
            <w:vAlign w:val="top"/>
          </w:tcPr>
          <w:p>
            <w:pPr>
              <w:spacing w:after="40"/>
            </w:pPr>
            <w:r>
              <w:rPr>
                <w:rFonts w:ascii="Aptos" w:hAnsi="Aptos"/>
                <w:sz w:val="15"/>
              </w:rPr>
              <w:t>§6.10 / Annex L p.8 / p.31</w:t>
            </w:r>
          </w:p>
        </w:tc>
        <w:tc>
          <w:tcPr>
            <w:tcW w:type="dxa" w:w="2458"/>
            <w:vAlign w:val="top"/>
          </w:tcPr>
          <w:p>
            <w:pPr>
              <w:spacing w:after="40"/>
            </w:pPr>
            <w:r>
              <w:rPr>
                <w:rFonts w:ascii="Aptos" w:hAnsi="Aptos"/>
                <w:sz w:val="15"/>
              </w:rPr>
              <w:t>Specified balloon traction resistance if applicable</w:t>
            </w:r>
          </w:p>
        </w:tc>
        <w:tc>
          <w:tcPr>
            <w:tcW w:type="dxa" w:w="2458"/>
            <w:vAlign w:val="top"/>
          </w:tcPr>
          <w:p>
            <w:pPr>
              <w:spacing w:after="40"/>
            </w:pPr>
            <w:r>
              <w:rPr>
                <w:rFonts w:ascii="Aptos" w:hAnsi="Aptos"/>
                <w:sz w:val="15"/>
              </w:rPr>
              <w:t>Conditional — balloon</w:t>
            </w:r>
          </w:p>
        </w:tc>
      </w:tr>
      <w:tr>
        <w:tc>
          <w:tcPr>
            <w:tcW w:type="dxa" w:w="2458"/>
            <w:vAlign w:val="top"/>
            <w:shd w:fill="F1F5F9"/>
          </w:tcPr>
          <w:p>
            <w:pPr>
              <w:spacing w:after="40"/>
            </w:pPr>
            <w:r>
              <w:rPr>
                <w:rFonts w:ascii="Aptos" w:hAnsi="Aptos"/>
                <w:sz w:val="15"/>
              </w:rPr>
              <w:t>REQ-22</w:t>
            </w:r>
          </w:p>
        </w:tc>
        <w:tc>
          <w:tcPr>
            <w:tcW w:type="dxa" w:w="2458"/>
            <w:vAlign w:val="top"/>
            <w:shd w:fill="F1F5F9"/>
          </w:tcPr>
          <w:p>
            <w:pPr>
              <w:spacing w:after="40"/>
            </w:pPr>
            <w:r>
              <w:rPr>
                <w:rFonts w:ascii="Aptos" w:hAnsi="Aptos"/>
                <w:sz w:val="15"/>
              </w:rPr>
              <w:t>§6.11 / Annex M p.8 / p.35</w:t>
            </w:r>
          </w:p>
        </w:tc>
        <w:tc>
          <w:tcPr>
            <w:tcW w:type="dxa" w:w="2458"/>
            <w:vAlign w:val="top"/>
            <w:shd w:fill="F1F5F9"/>
          </w:tcPr>
          <w:p>
            <w:pPr>
              <w:spacing w:after="40"/>
            </w:pPr>
            <w:r>
              <w:rPr>
                <w:rFonts w:ascii="Aptos" w:hAnsi="Aptos"/>
                <w:sz w:val="15"/>
              </w:rPr>
              <w:t>No air leak under manufacturer-defined maximum suction</w:t>
            </w:r>
          </w:p>
        </w:tc>
        <w:tc>
          <w:tcPr>
            <w:tcW w:type="dxa" w:w="2458"/>
            <w:vAlign w:val="top"/>
            <w:shd w:fill="F1F5F9"/>
          </w:tcPr>
          <w:p>
            <w:pPr>
              <w:spacing w:after="40"/>
            </w:pPr>
            <w:r>
              <w:rPr>
                <w:rFonts w:ascii="Aptos" w:hAnsi="Aptos"/>
                <w:sz w:val="15"/>
              </w:rPr>
              <w:t>Conditional — negative pressure</w:t>
            </w:r>
          </w:p>
        </w:tc>
      </w:tr>
      <w:tr>
        <w:tc>
          <w:tcPr>
            <w:tcW w:type="dxa" w:w="2458"/>
            <w:vAlign w:val="top"/>
          </w:tcPr>
          <w:p>
            <w:pPr>
              <w:spacing w:after="40"/>
            </w:pPr>
            <w:r>
              <w:rPr>
                <w:rFonts w:ascii="Aptos" w:hAnsi="Aptos"/>
                <w:sz w:val="15"/>
              </w:rPr>
              <w:t>REQ-23</w:t>
            </w:r>
          </w:p>
        </w:tc>
        <w:tc>
          <w:tcPr>
            <w:tcW w:type="dxa" w:w="2458"/>
            <w:vAlign w:val="top"/>
          </w:tcPr>
          <w:p>
            <w:pPr>
              <w:spacing w:after="40"/>
            </w:pPr>
            <w:r>
              <w:rPr>
                <w:rFonts w:ascii="Aptos" w:hAnsi="Aptos"/>
                <w:sz w:val="15"/>
              </w:rPr>
              <w:t>§7.1 p.9</w:t>
            </w:r>
          </w:p>
        </w:tc>
        <w:tc>
          <w:tcPr>
            <w:tcW w:type="dxa" w:w="2458"/>
            <w:vAlign w:val="top"/>
          </w:tcPr>
          <w:p>
            <w:pPr>
              <w:spacing w:after="40"/>
            </w:pPr>
            <w:r>
              <w:rPr>
                <w:rFonts w:ascii="Aptos" w:hAnsi="Aptos"/>
                <w:sz w:val="15"/>
              </w:rPr>
              <w:t>Durability / legibility of marking</w:t>
            </w:r>
          </w:p>
        </w:tc>
        <w:tc>
          <w:tcPr>
            <w:tcW w:type="dxa" w:w="2458"/>
            <w:vAlign w:val="top"/>
          </w:tcPr>
          <w:p>
            <w:pPr>
              <w:spacing w:after="40"/>
            </w:pPr>
            <w:r>
              <w:rPr>
                <w:rFonts w:ascii="Aptos" w:hAnsi="Aptos"/>
                <w:sz w:val="15"/>
              </w:rPr>
              <w:t>Applicable where marked</w:t>
            </w:r>
          </w:p>
        </w:tc>
      </w:tr>
      <w:tr>
        <w:tc>
          <w:tcPr>
            <w:tcW w:type="dxa" w:w="2458"/>
            <w:vAlign w:val="top"/>
            <w:shd w:fill="F1F5F9"/>
          </w:tcPr>
          <w:p>
            <w:pPr>
              <w:spacing w:after="40"/>
            </w:pPr>
            <w:r>
              <w:rPr>
                <w:rFonts w:ascii="Aptos" w:hAnsi="Aptos"/>
                <w:sz w:val="15"/>
              </w:rPr>
              <w:t>REQ-24</w:t>
            </w:r>
          </w:p>
        </w:tc>
        <w:tc>
          <w:tcPr>
            <w:tcW w:type="dxa" w:w="2458"/>
            <w:vAlign w:val="top"/>
            <w:shd w:fill="F1F5F9"/>
          </w:tcPr>
          <w:p>
            <w:pPr>
              <w:spacing w:after="40"/>
            </w:pPr>
            <w:r>
              <w:rPr>
                <w:rFonts w:ascii="Aptos" w:hAnsi="Aptos"/>
                <w:sz w:val="15"/>
              </w:rPr>
              <w:t>§7.2 p.9</w:t>
            </w:r>
          </w:p>
        </w:tc>
        <w:tc>
          <w:tcPr>
            <w:tcW w:type="dxa" w:w="2458"/>
            <w:vAlign w:val="top"/>
            <w:shd w:fill="F1F5F9"/>
          </w:tcPr>
          <w:p>
            <w:pPr>
              <w:spacing w:after="40"/>
            </w:pPr>
            <w:r>
              <w:rPr>
                <w:rFonts w:ascii="Aptos" w:hAnsi="Aptos"/>
                <w:sz w:val="15"/>
              </w:rPr>
              <w:t>Necessary package/device labelling and relevant optional/conditional details</w:t>
            </w:r>
          </w:p>
        </w:tc>
        <w:tc>
          <w:tcPr>
            <w:tcW w:type="dxa" w:w="2458"/>
            <w:vAlign w:val="top"/>
            <w:shd w:fill="F1F5F9"/>
          </w:tcPr>
          <w:p>
            <w:pPr>
              <w:spacing w:after="40"/>
            </w:pPr>
            <w:r>
              <w:rPr>
                <w:rFonts w:ascii="Aptos" w:hAnsi="Aptos"/>
                <w:sz w:val="15"/>
              </w:rPr>
              <w:t>Applicable</w:t>
            </w:r>
          </w:p>
        </w:tc>
      </w:tr>
      <w:tr>
        <w:tc>
          <w:tcPr>
            <w:tcW w:type="dxa" w:w="2458"/>
            <w:vAlign w:val="top"/>
          </w:tcPr>
          <w:p>
            <w:pPr>
              <w:spacing w:after="40"/>
            </w:pPr>
            <w:r>
              <w:rPr>
                <w:rFonts w:ascii="Aptos" w:hAnsi="Aptos"/>
                <w:sz w:val="15"/>
              </w:rPr>
              <w:t>REQ-25</w:t>
            </w:r>
          </w:p>
        </w:tc>
        <w:tc>
          <w:tcPr>
            <w:tcW w:type="dxa" w:w="2458"/>
            <w:vAlign w:val="top"/>
          </w:tcPr>
          <w:p>
            <w:pPr>
              <w:spacing w:after="40"/>
            </w:pPr>
            <w:r>
              <w:rPr>
                <w:rFonts w:ascii="Aptos" w:hAnsi="Aptos"/>
                <w:sz w:val="15"/>
              </w:rPr>
              <w:t>§7.3 pp.9–10</w:t>
            </w:r>
          </w:p>
        </w:tc>
        <w:tc>
          <w:tcPr>
            <w:tcW w:type="dxa" w:w="2458"/>
            <w:vAlign w:val="top"/>
          </w:tcPr>
          <w:p>
            <w:pPr>
              <w:spacing w:after="40"/>
            </w:pPr>
            <w:r>
              <w:rPr>
                <w:rFonts w:ascii="Aptos" w:hAnsi="Aptos"/>
                <w:sz w:val="15"/>
              </w:rPr>
              <w:t>IFU contents when separate IFU is supplied</w:t>
            </w:r>
          </w:p>
        </w:tc>
        <w:tc>
          <w:tcPr>
            <w:tcW w:type="dxa" w:w="2458"/>
            <w:vAlign w:val="top"/>
          </w:tcPr>
          <w:p>
            <w:pPr>
              <w:spacing w:after="40"/>
            </w:pPr>
            <w:r>
              <w:rPr>
                <w:rFonts w:ascii="Aptos" w:hAnsi="Aptos"/>
                <w:sz w:val="15"/>
              </w:rPr>
              <w:t>Conditional on IFU</w:t>
            </w:r>
          </w:p>
        </w:tc>
      </w:tr>
    </w:tbl>
    <w:p>
      <w:pPr>
        <w:pStyle w:val="Heading1"/>
      </w:pPr>
      <w:r>
        <w:t>4  Initial findings</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277"/>
            <w:shd w:fill="17304D"/>
          </w:tcPr>
          <w:p>
            <w:r>
              <w:rPr>
                <w:b/>
                <w:color w:val="FFFFFF"/>
                <w:sz w:val="16"/>
              </w:rPr>
              <w:t>Gap</w:t>
            </w:r>
          </w:p>
        </w:tc>
        <w:tc>
          <w:tcPr>
            <w:tcW w:type="dxa" w:w="3277"/>
            <w:shd w:fill="17304D"/>
          </w:tcPr>
          <w:p>
            <w:r>
              <w:rPr>
                <w:b/>
                <w:color w:val="FFFFFF"/>
                <w:sz w:val="16"/>
              </w:rPr>
              <w:t>Priority</w:t>
            </w:r>
          </w:p>
        </w:tc>
        <w:tc>
          <w:tcPr>
            <w:tcW w:type="dxa" w:w="3277"/>
            <w:shd w:fill="17304D"/>
          </w:tcPr>
          <w:p>
            <w:r>
              <w:rPr>
                <w:b/>
                <w:color w:val="FFFFFF"/>
                <w:sz w:val="16"/>
              </w:rPr>
              <w:t>Deficiency</w:t>
            </w:r>
          </w:p>
        </w:tc>
      </w:tr>
      <w:tr>
        <w:tc>
          <w:tcPr>
            <w:tcW w:type="dxa" w:w="3277"/>
            <w:vAlign w:val="top"/>
          </w:tcPr>
          <w:p>
            <w:pPr>
              <w:spacing w:after="40"/>
            </w:pPr>
            <w:r>
              <w:rPr>
                <w:rFonts w:ascii="Aptos" w:hAnsi="Aptos"/>
                <w:sz w:val="16"/>
              </w:rPr>
              <w:t>GAP-001</w:t>
            </w:r>
          </w:p>
        </w:tc>
        <w:tc>
          <w:tcPr>
            <w:tcW w:type="dxa" w:w="3277"/>
            <w:vAlign w:val="top"/>
          </w:tcPr>
          <w:p>
            <w:pPr>
              <w:spacing w:after="40"/>
            </w:pPr>
            <w:r>
              <w:rPr>
                <w:rFonts w:ascii="Aptos" w:hAnsi="Aptos"/>
                <w:sz w:val="16"/>
              </w:rPr>
              <w:t>P2</w:t>
            </w:r>
          </w:p>
        </w:tc>
        <w:tc>
          <w:tcPr>
            <w:tcW w:type="dxa" w:w="3277"/>
            <w:vAlign w:val="top"/>
          </w:tcPr>
          <w:p>
            <w:pPr>
              <w:spacing w:after="40"/>
            </w:pPr>
            <w:r>
              <w:rPr>
                <w:rFonts w:ascii="Aptos" w:hAnsi="Aptos"/>
                <w:sz w:val="16"/>
              </w:rPr>
              <w:t>Unreconciled controlled WI reference</w:t>
            </w:r>
          </w:p>
        </w:tc>
      </w:tr>
      <w:tr>
        <w:tc>
          <w:tcPr>
            <w:tcW w:type="dxa" w:w="3277"/>
            <w:vAlign w:val="top"/>
            <w:shd w:fill="F1F5F9"/>
          </w:tcPr>
          <w:p>
            <w:pPr>
              <w:spacing w:after="40"/>
            </w:pPr>
            <w:r>
              <w:rPr>
                <w:rFonts w:ascii="Aptos" w:hAnsi="Aptos"/>
                <w:sz w:val="16"/>
              </w:rPr>
              <w:t>GAP-002</w:t>
            </w:r>
          </w:p>
        </w:tc>
        <w:tc>
          <w:tcPr>
            <w:tcW w:type="dxa" w:w="3277"/>
            <w:vAlign w:val="top"/>
            <w:shd w:fill="F1F5F9"/>
          </w:tcPr>
          <w:p>
            <w:pPr>
              <w:spacing w:after="40"/>
            </w:pPr>
            <w:r>
              <w:rPr>
                <w:rFonts w:ascii="Aptos" w:hAnsi="Aptos"/>
                <w:sz w:val="16"/>
              </w:rPr>
              <w:t>P1</w:t>
            </w:r>
          </w:p>
        </w:tc>
        <w:tc>
          <w:tcPr>
            <w:tcW w:type="dxa" w:w="3277"/>
            <w:vAlign w:val="top"/>
            <w:shd w:fill="F1F5F9"/>
          </w:tcPr>
          <w:p>
            <w:pPr>
              <w:spacing w:after="40"/>
            </w:pPr>
            <w:r>
              <w:rPr>
                <w:rFonts w:ascii="Aptos" w:hAnsi="Aptos"/>
                <w:sz w:val="16"/>
              </w:rPr>
              <w:t>Conflicting kit BOM and included instruments</w:t>
            </w:r>
          </w:p>
        </w:tc>
      </w:tr>
      <w:tr>
        <w:tc>
          <w:tcPr>
            <w:tcW w:type="dxa" w:w="3277"/>
            <w:vAlign w:val="top"/>
          </w:tcPr>
          <w:p>
            <w:pPr>
              <w:spacing w:after="40"/>
            </w:pPr>
            <w:r>
              <w:rPr>
                <w:rFonts w:ascii="Aptos" w:hAnsi="Aptos"/>
                <w:sz w:val="16"/>
              </w:rPr>
              <w:t>GAP-003</w:t>
            </w:r>
          </w:p>
        </w:tc>
        <w:tc>
          <w:tcPr>
            <w:tcW w:type="dxa" w:w="3277"/>
            <w:vAlign w:val="top"/>
          </w:tcPr>
          <w:p>
            <w:pPr>
              <w:spacing w:after="40"/>
            </w:pPr>
            <w:r>
              <w:rPr>
                <w:rFonts w:ascii="Aptos" w:hAnsi="Aptos"/>
                <w:sz w:val="16"/>
              </w:rPr>
              <w:t>P1</w:t>
            </w:r>
          </w:p>
        </w:tc>
        <w:tc>
          <w:tcPr>
            <w:tcW w:type="dxa" w:w="3277"/>
            <w:vAlign w:val="top"/>
          </w:tcPr>
          <w:p>
            <w:pPr>
              <w:spacing w:after="40"/>
            </w:pPr>
            <w:r>
              <w:rPr>
                <w:rFonts w:ascii="Aptos" w:hAnsi="Aptos"/>
                <w:sz w:val="16"/>
              </w:rPr>
              <w:t>Latex material contradiction</w:t>
            </w:r>
          </w:p>
        </w:tc>
      </w:tr>
      <w:tr>
        <w:tc>
          <w:tcPr>
            <w:tcW w:type="dxa" w:w="3277"/>
            <w:vAlign w:val="top"/>
            <w:shd w:fill="F1F5F9"/>
          </w:tcPr>
          <w:p>
            <w:pPr>
              <w:spacing w:after="40"/>
            </w:pPr>
            <w:r>
              <w:rPr>
                <w:rFonts w:ascii="Aptos" w:hAnsi="Aptos"/>
                <w:sz w:val="16"/>
              </w:rPr>
              <w:t>GAP-004</w:t>
            </w:r>
          </w:p>
        </w:tc>
        <w:tc>
          <w:tcPr>
            <w:tcW w:type="dxa" w:w="3277"/>
            <w:vAlign w:val="top"/>
            <w:shd w:fill="F1F5F9"/>
          </w:tcPr>
          <w:p>
            <w:pPr>
              <w:spacing w:after="40"/>
            </w:pPr>
            <w:r>
              <w:rPr>
                <w:rFonts w:ascii="Aptos" w:hAnsi="Aptos"/>
                <w:sz w:val="16"/>
              </w:rPr>
              <w:t>P1</w:t>
            </w:r>
          </w:p>
        </w:tc>
        <w:tc>
          <w:tcPr>
            <w:tcW w:type="dxa" w:w="3277"/>
            <w:vAlign w:val="top"/>
            <w:shd w:fill="F1F5F9"/>
          </w:tcPr>
          <w:p>
            <w:pPr>
              <w:spacing w:after="40"/>
            </w:pPr>
            <w:r>
              <w:rPr>
                <w:rFonts w:ascii="Aptos" w:hAnsi="Aptos"/>
                <w:sz w:val="16"/>
              </w:rPr>
              <w:t>Lidocaine pack description, quantity and expiry</w:t>
            </w:r>
          </w:p>
        </w:tc>
      </w:tr>
      <w:tr>
        <w:tc>
          <w:tcPr>
            <w:tcW w:type="dxa" w:w="3277"/>
            <w:vAlign w:val="top"/>
          </w:tcPr>
          <w:p>
            <w:pPr>
              <w:spacing w:after="40"/>
            </w:pPr>
            <w:r>
              <w:rPr>
                <w:rFonts w:ascii="Aptos" w:hAnsi="Aptos"/>
                <w:sz w:val="16"/>
              </w:rPr>
              <w:t>GAP-005</w:t>
            </w:r>
          </w:p>
        </w:tc>
        <w:tc>
          <w:tcPr>
            <w:tcW w:type="dxa" w:w="3277"/>
            <w:vAlign w:val="top"/>
          </w:tcPr>
          <w:p>
            <w:pPr>
              <w:spacing w:after="40"/>
            </w:pPr>
            <w:r>
              <w:rPr>
                <w:rFonts w:ascii="Aptos" w:hAnsi="Aptos"/>
                <w:sz w:val="16"/>
              </w:rPr>
              <w:t>P2</w:t>
            </w:r>
          </w:p>
        </w:tc>
        <w:tc>
          <w:tcPr>
            <w:tcW w:type="dxa" w:w="3277"/>
            <w:vAlign w:val="top"/>
          </w:tcPr>
          <w:p>
            <w:pPr>
              <w:spacing w:after="40"/>
            </w:pPr>
            <w:r>
              <w:rPr>
                <w:rFonts w:ascii="Aptos" w:hAnsi="Aptos"/>
                <w:sz w:val="16"/>
              </w:rPr>
              <w:t>Suture length / unit inconsistency</w:t>
            </w:r>
          </w:p>
        </w:tc>
      </w:tr>
      <w:tr>
        <w:tc>
          <w:tcPr>
            <w:tcW w:type="dxa" w:w="3277"/>
            <w:vAlign w:val="top"/>
            <w:shd w:fill="F1F5F9"/>
          </w:tcPr>
          <w:p>
            <w:pPr>
              <w:spacing w:after="40"/>
            </w:pPr>
            <w:r>
              <w:rPr>
                <w:rFonts w:ascii="Aptos" w:hAnsi="Aptos"/>
                <w:sz w:val="16"/>
              </w:rPr>
              <w:t>GAP-006</w:t>
            </w:r>
          </w:p>
        </w:tc>
        <w:tc>
          <w:tcPr>
            <w:tcW w:type="dxa" w:w="3277"/>
            <w:vAlign w:val="top"/>
            <w:shd w:fill="F1F5F9"/>
          </w:tcPr>
          <w:p>
            <w:pPr>
              <w:spacing w:after="40"/>
            </w:pPr>
            <w:r>
              <w:rPr>
                <w:rFonts w:ascii="Aptos" w:hAnsi="Aptos"/>
                <w:sz w:val="16"/>
              </w:rPr>
              <w:t>P2</w:t>
            </w:r>
          </w:p>
        </w:tc>
        <w:tc>
          <w:tcPr>
            <w:tcW w:type="dxa" w:w="3277"/>
            <w:vAlign w:val="top"/>
            <w:shd w:fill="F1F5F9"/>
          </w:tcPr>
          <w:p>
            <w:pPr>
              <w:spacing w:after="40"/>
            </w:pPr>
            <w:r>
              <w:rPr>
                <w:rFonts w:ascii="Aptos" w:hAnsi="Aptos"/>
                <w:sz w:val="16"/>
              </w:rPr>
              <w:t>Gauze description / dimensional inconsistency</w:t>
            </w:r>
          </w:p>
        </w:tc>
      </w:tr>
      <w:tr>
        <w:tc>
          <w:tcPr>
            <w:tcW w:type="dxa" w:w="3277"/>
            <w:vAlign w:val="top"/>
          </w:tcPr>
          <w:p>
            <w:pPr>
              <w:spacing w:after="40"/>
            </w:pPr>
            <w:r>
              <w:rPr>
                <w:rFonts w:ascii="Aptos" w:hAnsi="Aptos"/>
                <w:sz w:val="16"/>
              </w:rPr>
              <w:t>GAP-007</w:t>
            </w:r>
          </w:p>
        </w:tc>
        <w:tc>
          <w:tcPr>
            <w:tcW w:type="dxa" w:w="3277"/>
            <w:vAlign w:val="top"/>
          </w:tcPr>
          <w:p>
            <w:pPr>
              <w:spacing w:after="40"/>
            </w:pPr>
            <w:r>
              <w:rPr>
                <w:rFonts w:ascii="Aptos" w:hAnsi="Aptos"/>
                <w:sz w:val="16"/>
              </w:rPr>
              <w:t>P1</w:t>
            </w:r>
          </w:p>
        </w:tc>
        <w:tc>
          <w:tcPr>
            <w:tcW w:type="dxa" w:w="3277"/>
            <w:vAlign w:val="top"/>
          </w:tcPr>
          <w:p>
            <w:pPr>
              <w:spacing w:after="40"/>
            </w:pPr>
            <w:r>
              <w:rPr>
                <w:rFonts w:ascii="Aptos" w:hAnsi="Aptos"/>
                <w:sz w:val="16"/>
              </w:rPr>
              <w:t>Catheter size / visibility / surface criteria incomplete</w:t>
            </w:r>
          </w:p>
        </w:tc>
      </w:tr>
      <w:tr>
        <w:tc>
          <w:tcPr>
            <w:tcW w:type="dxa" w:w="3277"/>
            <w:vAlign w:val="top"/>
            <w:shd w:fill="F1F5F9"/>
          </w:tcPr>
          <w:p>
            <w:pPr>
              <w:spacing w:after="40"/>
            </w:pPr>
            <w:r>
              <w:rPr>
                <w:rFonts w:ascii="Aptos" w:hAnsi="Aptos"/>
                <w:sz w:val="16"/>
              </w:rPr>
              <w:t>GAP-008</w:t>
            </w:r>
          </w:p>
        </w:tc>
        <w:tc>
          <w:tcPr>
            <w:tcW w:type="dxa" w:w="3277"/>
            <w:vAlign w:val="top"/>
            <w:shd w:fill="F1F5F9"/>
          </w:tcPr>
          <w:p>
            <w:pPr>
              <w:spacing w:after="40"/>
            </w:pPr>
            <w:r>
              <w:rPr>
                <w:rFonts w:ascii="Aptos" w:hAnsi="Aptos"/>
                <w:sz w:val="16"/>
              </w:rPr>
              <w:t>P2</w:t>
            </w:r>
          </w:p>
        </w:tc>
        <w:tc>
          <w:tcPr>
            <w:tcW w:type="dxa" w:w="3277"/>
            <w:vAlign w:val="top"/>
            <w:shd w:fill="F1F5F9"/>
          </w:tcPr>
          <w:p>
            <w:pPr>
              <w:spacing w:after="40"/>
            </w:pPr>
            <w:r>
              <w:rPr>
                <w:rFonts w:ascii="Aptos" w:hAnsi="Aptos"/>
                <w:sz w:val="16"/>
              </w:rPr>
              <w:t>Missing in-process result codes, time accountability and samples</w:t>
            </w:r>
          </w:p>
        </w:tc>
      </w:tr>
      <w:tr>
        <w:tc>
          <w:tcPr>
            <w:tcW w:type="dxa" w:w="3277"/>
            <w:vAlign w:val="top"/>
          </w:tcPr>
          <w:p>
            <w:pPr>
              <w:spacing w:after="40"/>
            </w:pPr>
            <w:r>
              <w:rPr>
                <w:rFonts w:ascii="Aptos" w:hAnsi="Aptos"/>
                <w:sz w:val="16"/>
              </w:rPr>
              <w:t>GAP-009</w:t>
            </w:r>
          </w:p>
        </w:tc>
        <w:tc>
          <w:tcPr>
            <w:tcW w:type="dxa" w:w="3277"/>
            <w:vAlign w:val="top"/>
          </w:tcPr>
          <w:p>
            <w:pPr>
              <w:spacing w:after="40"/>
            </w:pPr>
            <w:r>
              <w:rPr>
                <w:rFonts w:ascii="Aptos" w:hAnsi="Aptos"/>
                <w:sz w:val="16"/>
              </w:rPr>
              <w:t>P2</w:t>
            </w:r>
          </w:p>
        </w:tc>
        <w:tc>
          <w:tcPr>
            <w:tcW w:type="dxa" w:w="3277"/>
            <w:vAlign w:val="top"/>
          </w:tcPr>
          <w:p>
            <w:pPr>
              <w:spacing w:after="40"/>
            </w:pPr>
            <w:r>
              <w:rPr>
                <w:rFonts w:ascii="Aptos" w:hAnsi="Aptos"/>
                <w:sz w:val="16"/>
              </w:rPr>
              <w:t>Incoming release and supplier-to-kit traceability</w:t>
            </w:r>
          </w:p>
        </w:tc>
      </w:tr>
      <w:tr>
        <w:tc>
          <w:tcPr>
            <w:tcW w:type="dxa" w:w="3277"/>
            <w:vAlign w:val="top"/>
            <w:shd w:fill="F1F5F9"/>
          </w:tcPr>
          <w:p>
            <w:pPr>
              <w:spacing w:after="40"/>
            </w:pPr>
            <w:r>
              <w:rPr>
                <w:rFonts w:ascii="Aptos" w:hAnsi="Aptos"/>
                <w:sz w:val="16"/>
              </w:rPr>
              <w:t>GAP-010</w:t>
            </w:r>
          </w:p>
        </w:tc>
        <w:tc>
          <w:tcPr>
            <w:tcW w:type="dxa" w:w="3277"/>
            <w:vAlign w:val="top"/>
            <w:shd w:fill="F1F5F9"/>
          </w:tcPr>
          <w:p>
            <w:pPr>
              <w:spacing w:after="40"/>
            </w:pPr>
            <w:r>
              <w:rPr>
                <w:rFonts w:ascii="Aptos" w:hAnsi="Aptos"/>
                <w:sz w:val="16"/>
              </w:rPr>
              <w:t>P2</w:t>
            </w:r>
          </w:p>
        </w:tc>
        <w:tc>
          <w:tcPr>
            <w:tcW w:type="dxa" w:w="3277"/>
            <w:vAlign w:val="top"/>
            <w:shd w:fill="F1F5F9"/>
          </w:tcPr>
          <w:p>
            <w:pPr>
              <w:spacing w:after="40"/>
            </w:pPr>
            <w:r>
              <w:rPr>
                <w:rFonts w:ascii="Aptos" w:hAnsi="Aptos"/>
                <w:sz w:val="16"/>
              </w:rPr>
              <w:t>Surgical instrument / protective items not reconciled</w:t>
            </w:r>
          </w:p>
        </w:tc>
      </w:tr>
      <w:tr>
        <w:tc>
          <w:tcPr>
            <w:tcW w:type="dxa" w:w="3277"/>
            <w:vAlign w:val="top"/>
          </w:tcPr>
          <w:p>
            <w:pPr>
              <w:spacing w:after="40"/>
            </w:pPr>
            <w:r>
              <w:rPr>
                <w:rFonts w:ascii="Aptos" w:hAnsi="Aptos"/>
                <w:sz w:val="16"/>
              </w:rPr>
              <w:t>GAP-011</w:t>
            </w:r>
          </w:p>
        </w:tc>
        <w:tc>
          <w:tcPr>
            <w:tcW w:type="dxa" w:w="3277"/>
            <w:vAlign w:val="top"/>
          </w:tcPr>
          <w:p>
            <w:pPr>
              <w:spacing w:after="40"/>
            </w:pPr>
            <w:r>
              <w:rPr>
                <w:rFonts w:ascii="Aptos" w:hAnsi="Aptos"/>
                <w:sz w:val="16"/>
              </w:rPr>
              <w:t>P1</w:t>
            </w:r>
          </w:p>
        </w:tc>
        <w:tc>
          <w:tcPr>
            <w:tcW w:type="dxa" w:w="3277"/>
            <w:vAlign w:val="top"/>
          </w:tcPr>
          <w:p>
            <w:pPr>
              <w:spacing w:after="40"/>
            </w:pPr>
            <w:r>
              <w:rPr>
                <w:rFonts w:ascii="Aptos" w:hAnsi="Aptos"/>
                <w:sz w:val="16"/>
              </w:rPr>
              <w:t>Qualification evidence for safe access, kink and drainage performance</w:t>
            </w:r>
          </w:p>
        </w:tc>
      </w:tr>
      <w:tr>
        <w:tc>
          <w:tcPr>
            <w:tcW w:type="dxa" w:w="3277"/>
            <w:vAlign w:val="top"/>
            <w:shd w:fill="F1F5F9"/>
          </w:tcPr>
          <w:p>
            <w:pPr>
              <w:spacing w:after="40"/>
            </w:pPr>
            <w:r>
              <w:rPr>
                <w:rFonts w:ascii="Aptos" w:hAnsi="Aptos"/>
                <w:sz w:val="16"/>
              </w:rPr>
              <w:t>GAP-012</w:t>
            </w:r>
          </w:p>
        </w:tc>
        <w:tc>
          <w:tcPr>
            <w:tcW w:type="dxa" w:w="3277"/>
            <w:vAlign w:val="top"/>
            <w:shd w:fill="F1F5F9"/>
          </w:tcPr>
          <w:p>
            <w:pPr>
              <w:spacing w:after="40"/>
            </w:pPr>
            <w:r>
              <w:rPr>
                <w:rFonts w:ascii="Aptos" w:hAnsi="Aptos"/>
                <w:sz w:val="16"/>
              </w:rPr>
              <w:t>P1</w:t>
            </w:r>
          </w:p>
        </w:tc>
        <w:tc>
          <w:tcPr>
            <w:tcW w:type="dxa" w:w="3277"/>
            <w:vAlign w:val="top"/>
            <w:shd w:fill="F1F5F9"/>
          </w:tcPr>
          <w:p>
            <w:pPr>
              <w:spacing w:after="40"/>
            </w:pPr>
            <w:r>
              <w:rPr>
                <w:rFonts w:ascii="Aptos" w:hAnsi="Aptos"/>
                <w:sz w:val="16"/>
              </w:rPr>
              <w:t>Unverified risk management and biological evaluation</w:t>
            </w:r>
          </w:p>
        </w:tc>
      </w:tr>
      <w:tr>
        <w:tc>
          <w:tcPr>
            <w:tcW w:type="dxa" w:w="3277"/>
            <w:vAlign w:val="top"/>
          </w:tcPr>
          <w:p>
            <w:pPr>
              <w:spacing w:after="40"/>
            </w:pPr>
            <w:r>
              <w:rPr>
                <w:rFonts w:ascii="Aptos" w:hAnsi="Aptos"/>
                <w:sz w:val="16"/>
              </w:rPr>
              <w:t>GAP-013</w:t>
            </w:r>
          </w:p>
        </w:tc>
        <w:tc>
          <w:tcPr>
            <w:tcW w:type="dxa" w:w="3277"/>
            <w:vAlign w:val="top"/>
          </w:tcPr>
          <w:p>
            <w:pPr>
              <w:spacing w:after="40"/>
            </w:pPr>
            <w:r>
              <w:rPr>
                <w:rFonts w:ascii="Aptos" w:hAnsi="Aptos"/>
                <w:sz w:val="16"/>
              </w:rPr>
              <w:t>P1</w:t>
            </w:r>
          </w:p>
        </w:tc>
        <w:tc>
          <w:tcPr>
            <w:tcW w:type="dxa" w:w="3277"/>
            <w:vAlign w:val="top"/>
          </w:tcPr>
          <w:p>
            <w:pPr>
              <w:spacing w:after="40"/>
            </w:pPr>
            <w:r>
              <w:rPr>
                <w:rFonts w:ascii="Aptos" w:hAnsi="Aptos"/>
                <w:sz w:val="16"/>
              </w:rPr>
              <w:t>Negative-pressure integrity verification not linked</w:t>
            </w:r>
          </w:p>
        </w:tc>
      </w:tr>
      <w:tr>
        <w:tc>
          <w:tcPr>
            <w:tcW w:type="dxa" w:w="3277"/>
            <w:vAlign w:val="top"/>
            <w:shd w:fill="F1F5F9"/>
          </w:tcPr>
          <w:p>
            <w:pPr>
              <w:spacing w:after="40"/>
            </w:pPr>
            <w:r>
              <w:rPr>
                <w:rFonts w:ascii="Aptos" w:hAnsi="Aptos"/>
                <w:sz w:val="16"/>
              </w:rPr>
              <w:t>GAP-014</w:t>
            </w:r>
          </w:p>
        </w:tc>
        <w:tc>
          <w:tcPr>
            <w:tcW w:type="dxa" w:w="3277"/>
            <w:vAlign w:val="top"/>
            <w:shd w:fill="F1F5F9"/>
          </w:tcPr>
          <w:p>
            <w:pPr>
              <w:spacing w:after="40"/>
            </w:pPr>
            <w:r>
              <w:rPr>
                <w:rFonts w:ascii="Aptos" w:hAnsi="Aptos"/>
                <w:sz w:val="16"/>
              </w:rPr>
              <w:t>P1</w:t>
            </w:r>
          </w:p>
        </w:tc>
        <w:tc>
          <w:tcPr>
            <w:tcW w:type="dxa" w:w="3277"/>
            <w:vAlign w:val="top"/>
            <w:shd w:fill="F1F5F9"/>
          </w:tcPr>
          <w:p>
            <w:pPr>
              <w:spacing w:after="40"/>
            </w:pPr>
            <w:r>
              <w:rPr>
                <w:rFonts w:ascii="Aptos" w:hAnsi="Aptos"/>
                <w:sz w:val="16"/>
              </w:rPr>
              <w:t>Connection and catheter tensile force evidence not linked</w:t>
            </w:r>
          </w:p>
        </w:tc>
      </w:tr>
      <w:tr>
        <w:tc>
          <w:tcPr>
            <w:tcW w:type="dxa" w:w="3277"/>
            <w:vAlign w:val="top"/>
          </w:tcPr>
          <w:p>
            <w:pPr>
              <w:spacing w:after="40"/>
            </w:pPr>
            <w:r>
              <w:rPr>
                <w:rFonts w:ascii="Aptos" w:hAnsi="Aptos"/>
                <w:sz w:val="16"/>
              </w:rPr>
              <w:t>GAP-015</w:t>
            </w:r>
          </w:p>
        </w:tc>
        <w:tc>
          <w:tcPr>
            <w:tcW w:type="dxa" w:w="3277"/>
            <w:vAlign w:val="top"/>
          </w:tcPr>
          <w:p>
            <w:pPr>
              <w:spacing w:after="40"/>
            </w:pPr>
            <w:r>
              <w:rPr>
                <w:rFonts w:ascii="Aptos" w:hAnsi="Aptos"/>
                <w:sz w:val="16"/>
              </w:rPr>
              <w:t>P1</w:t>
            </w:r>
          </w:p>
        </w:tc>
        <w:tc>
          <w:tcPr>
            <w:tcW w:type="dxa" w:w="3277"/>
            <w:vAlign w:val="top"/>
          </w:tcPr>
          <w:p>
            <w:pPr>
              <w:spacing w:after="40"/>
            </w:pPr>
            <w:r>
              <w:rPr>
                <w:rFonts w:ascii="Aptos" w:hAnsi="Aptos"/>
                <w:sz w:val="16"/>
              </w:rPr>
              <w:t>Declared catheter flow performance not verified</w:t>
            </w:r>
          </w:p>
        </w:tc>
      </w:tr>
      <w:tr>
        <w:tc>
          <w:tcPr>
            <w:tcW w:type="dxa" w:w="3277"/>
            <w:vAlign w:val="top"/>
            <w:shd w:fill="F1F5F9"/>
          </w:tcPr>
          <w:p>
            <w:pPr>
              <w:spacing w:after="40"/>
            </w:pPr>
            <w:r>
              <w:rPr>
                <w:rFonts w:ascii="Aptos" w:hAnsi="Aptos"/>
                <w:sz w:val="16"/>
              </w:rPr>
              <w:t>GAP-016</w:t>
            </w:r>
          </w:p>
        </w:tc>
        <w:tc>
          <w:tcPr>
            <w:tcW w:type="dxa" w:w="3277"/>
            <w:vAlign w:val="top"/>
            <w:shd w:fill="F1F5F9"/>
          </w:tcPr>
          <w:p>
            <w:pPr>
              <w:spacing w:after="40"/>
            </w:pPr>
            <w:r>
              <w:rPr>
                <w:rFonts w:ascii="Aptos" w:hAnsi="Aptos"/>
                <w:sz w:val="16"/>
              </w:rPr>
              <w:t>P2</w:t>
            </w:r>
          </w:p>
        </w:tc>
        <w:tc>
          <w:tcPr>
            <w:tcW w:type="dxa" w:w="3277"/>
            <w:vAlign w:val="top"/>
            <w:shd w:fill="F1F5F9"/>
          </w:tcPr>
          <w:p>
            <w:pPr>
              <w:spacing w:after="40"/>
            </w:pPr>
            <w:r>
              <w:rPr>
                <w:rFonts w:ascii="Aptos" w:hAnsi="Aptos"/>
                <w:sz w:val="16"/>
              </w:rPr>
              <w:t>Metallic catheter components / corrosion applicability unresolved</w:t>
            </w:r>
          </w:p>
        </w:tc>
      </w:tr>
      <w:tr>
        <w:tc>
          <w:tcPr>
            <w:tcW w:type="dxa" w:w="3277"/>
            <w:vAlign w:val="top"/>
          </w:tcPr>
          <w:p>
            <w:pPr>
              <w:spacing w:after="40"/>
            </w:pPr>
            <w:r>
              <w:rPr>
                <w:rFonts w:ascii="Aptos" w:hAnsi="Aptos"/>
                <w:sz w:val="16"/>
              </w:rPr>
              <w:t>GAP-017</w:t>
            </w:r>
          </w:p>
        </w:tc>
        <w:tc>
          <w:tcPr>
            <w:tcW w:type="dxa" w:w="3277"/>
            <w:vAlign w:val="top"/>
          </w:tcPr>
          <w:p>
            <w:pPr>
              <w:spacing w:after="40"/>
            </w:pPr>
            <w:r>
              <w:rPr>
                <w:rFonts w:ascii="Aptos" w:hAnsi="Aptos"/>
                <w:sz w:val="16"/>
              </w:rPr>
              <w:t>P1</w:t>
            </w:r>
          </w:p>
        </w:tc>
        <w:tc>
          <w:tcPr>
            <w:tcW w:type="dxa" w:w="3277"/>
            <w:vAlign w:val="top"/>
          </w:tcPr>
          <w:p>
            <w:pPr>
              <w:spacing w:after="40"/>
            </w:pPr>
            <w:r>
              <w:rPr>
                <w:rFonts w:ascii="Aptos" w:hAnsi="Aptos"/>
                <w:sz w:val="16"/>
              </w:rPr>
              <w:t>Sterile barrier / seal validation linkage and checks incomplete</w:t>
            </w:r>
          </w:p>
        </w:tc>
      </w:tr>
      <w:tr>
        <w:tc>
          <w:tcPr>
            <w:tcW w:type="dxa" w:w="3277"/>
            <w:vAlign w:val="top"/>
            <w:shd w:fill="F1F5F9"/>
          </w:tcPr>
          <w:p>
            <w:pPr>
              <w:spacing w:after="40"/>
            </w:pPr>
            <w:r>
              <w:rPr>
                <w:rFonts w:ascii="Aptos" w:hAnsi="Aptos"/>
                <w:sz w:val="16"/>
              </w:rPr>
              <w:t>GAP-018</w:t>
            </w:r>
          </w:p>
        </w:tc>
        <w:tc>
          <w:tcPr>
            <w:tcW w:type="dxa" w:w="3277"/>
            <w:vAlign w:val="top"/>
            <w:shd w:fill="F1F5F9"/>
          </w:tcPr>
          <w:p>
            <w:pPr>
              <w:spacing w:after="40"/>
            </w:pPr>
            <w:r>
              <w:rPr>
                <w:rFonts w:ascii="Aptos" w:hAnsi="Aptos"/>
                <w:sz w:val="16"/>
              </w:rPr>
              <w:t>P1</w:t>
            </w:r>
          </w:p>
        </w:tc>
        <w:tc>
          <w:tcPr>
            <w:tcW w:type="dxa" w:w="3277"/>
            <w:vAlign w:val="top"/>
            <w:shd w:fill="F1F5F9"/>
          </w:tcPr>
          <w:p>
            <w:pPr>
              <w:spacing w:after="40"/>
            </w:pPr>
            <w:r>
              <w:rPr>
                <w:rFonts w:ascii="Aptos" w:hAnsi="Aptos"/>
                <w:sz w:val="16"/>
              </w:rPr>
              <w:t>Sterilization and final release evidence not traceable</w:t>
            </w:r>
          </w:p>
        </w:tc>
      </w:tr>
      <w:tr>
        <w:tc>
          <w:tcPr>
            <w:tcW w:type="dxa" w:w="3277"/>
            <w:vAlign w:val="top"/>
          </w:tcPr>
          <w:p>
            <w:pPr>
              <w:spacing w:after="40"/>
            </w:pPr>
            <w:r>
              <w:rPr>
                <w:rFonts w:ascii="Aptos" w:hAnsi="Aptos"/>
                <w:sz w:val="16"/>
              </w:rPr>
              <w:t>GAP-019</w:t>
            </w:r>
          </w:p>
        </w:tc>
        <w:tc>
          <w:tcPr>
            <w:tcW w:type="dxa" w:w="3277"/>
            <w:vAlign w:val="top"/>
          </w:tcPr>
          <w:p>
            <w:pPr>
              <w:spacing w:after="40"/>
            </w:pPr>
            <w:r>
              <w:rPr>
                <w:rFonts w:ascii="Aptos" w:hAnsi="Aptos"/>
                <w:sz w:val="16"/>
              </w:rPr>
              <w:t>P2</w:t>
            </w:r>
          </w:p>
        </w:tc>
        <w:tc>
          <w:tcPr>
            <w:tcW w:type="dxa" w:w="3277"/>
            <w:vAlign w:val="top"/>
          </w:tcPr>
          <w:p>
            <w:pPr>
              <w:spacing w:after="40"/>
            </w:pPr>
            <w:r>
              <w:rPr>
                <w:rFonts w:ascii="Aptos" w:hAnsi="Aptos"/>
                <w:sz w:val="16"/>
              </w:rPr>
              <w:t>Label/IFU acceptance and variant traceability incomplete</w:t>
            </w:r>
          </w:p>
        </w:tc>
      </w:tr>
      <w:tr>
        <w:tc>
          <w:tcPr>
            <w:tcW w:type="dxa" w:w="3277"/>
            <w:vAlign w:val="top"/>
            <w:shd w:fill="F1F5F9"/>
          </w:tcPr>
          <w:p>
            <w:pPr>
              <w:spacing w:after="40"/>
            </w:pPr>
            <w:r>
              <w:rPr>
                <w:rFonts w:ascii="Aptos" w:hAnsi="Aptos"/>
                <w:sz w:val="16"/>
              </w:rPr>
              <w:t>GAP-020</w:t>
            </w:r>
          </w:p>
        </w:tc>
        <w:tc>
          <w:tcPr>
            <w:tcW w:type="dxa" w:w="3277"/>
            <w:vAlign w:val="top"/>
            <w:shd w:fill="F1F5F9"/>
          </w:tcPr>
          <w:p>
            <w:pPr>
              <w:spacing w:after="40"/>
            </w:pPr>
            <w:r>
              <w:rPr>
                <w:rFonts w:ascii="Aptos" w:hAnsi="Aptos"/>
                <w:sz w:val="16"/>
              </w:rPr>
              <w:t>P2</w:t>
            </w:r>
          </w:p>
        </w:tc>
        <w:tc>
          <w:tcPr>
            <w:tcW w:type="dxa" w:w="3277"/>
            <w:vAlign w:val="top"/>
            <w:shd w:fill="F1F5F9"/>
          </w:tcPr>
          <w:p>
            <w:pPr>
              <w:spacing w:after="40"/>
            </w:pPr>
            <w:r>
              <w:rPr>
                <w:rFonts w:ascii="Aptos" w:hAnsi="Aptos"/>
                <w:sz w:val="16"/>
              </w:rPr>
              <w:t>Unresolved design applicability: balloon, retention, collection device</w:t>
            </w:r>
          </w:p>
        </w:tc>
      </w:tr>
      <w:tr>
        <w:tc>
          <w:tcPr>
            <w:tcW w:type="dxa" w:w="3277"/>
            <w:vAlign w:val="top"/>
          </w:tcPr>
          <w:p>
            <w:pPr>
              <w:spacing w:after="40"/>
            </w:pPr>
            <w:r>
              <w:rPr>
                <w:rFonts w:ascii="Aptos" w:hAnsi="Aptos"/>
                <w:sz w:val="16"/>
              </w:rPr>
              <w:t>GAP-021</w:t>
            </w:r>
          </w:p>
        </w:tc>
        <w:tc>
          <w:tcPr>
            <w:tcW w:type="dxa" w:w="3277"/>
            <w:vAlign w:val="top"/>
          </w:tcPr>
          <w:p>
            <w:pPr>
              <w:spacing w:after="40"/>
            </w:pPr>
            <w:r>
              <w:rPr>
                <w:rFonts w:ascii="Aptos" w:hAnsi="Aptos"/>
                <w:sz w:val="16"/>
              </w:rPr>
              <w:t>P2</w:t>
            </w:r>
          </w:p>
        </w:tc>
        <w:tc>
          <w:tcPr>
            <w:tcW w:type="dxa" w:w="3277"/>
            <w:vAlign w:val="top"/>
          </w:tcPr>
          <w:p>
            <w:pPr>
              <w:spacing w:after="40"/>
            </w:pPr>
            <w:r>
              <w:rPr>
                <w:rFonts w:ascii="Aptos" w:hAnsi="Aptos"/>
                <w:sz w:val="16"/>
              </w:rPr>
              <w:t>Nonconforming product hold &amp; process disposition missing</w:t>
            </w:r>
          </w:p>
        </w:tc>
      </w:tr>
    </w:tbl>
    <w:p>
      <w:pPr>
        <w:sectPr>
          <w:headerReference w:type="default" r:id="rId9"/>
          <w:footerReference w:type="default" r:id="rId10"/>
          <w:pgSz w:w="11906" w:h="16838"/>
          <w:pgMar w:top="936" w:right="1037" w:bottom="893" w:left="1037" w:header="720" w:footer="720" w:gutter="0"/>
          <w:cols w:space="720"/>
          <w:docGrid w:linePitch="360"/>
        </w:sectPr>
      </w:pPr>
    </w:p>
    <w:p>
      <w:pPr>
        <w:pStyle w:val="Heading1"/>
      </w:pPr>
      <w:r>
        <w:t>5  MASTER GAP &amp; REVISION TABLE — SEVEN COLUMNS</w:t>
      </w:r>
    </w:p>
    <w:p>
      <w:r>
        <w:t>Every row contains proposed technical WI and IN-PROCESS CONTROL text. None of these drafts provides executed operational evidence. Printed ISO pages are verified; official PDF pages require final verification.</w:t>
      </w:r>
    </w:p>
    <w:tbl>
      <w:tblPr>
        <w:tblStyle w:val="TableGrid"/>
        <w:tblW w:type="auto" w:w="0"/>
        <w:jc w:val="center"/>
        <w:tblLook w:firstColumn="1" w:firstRow="1" w:lastColumn="0" w:lastRow="0" w:noHBand="0" w:noVBand="1" w:val="04A0"/>
      </w:tblPr>
      <w:tblGrid>
        <w:gridCol w:w="3163"/>
        <w:gridCol w:w="3163"/>
        <w:gridCol w:w="3163"/>
        <w:gridCol w:w="3163"/>
        <w:gridCol w:w="3163"/>
        <w:gridCol w:w="3163"/>
        <w:gridCol w:w="3163"/>
      </w:tblGrid>
      <w:tr>
        <w:trPr>
          <w:tblHeader w:val="true"/>
        </w:trPr>
        <w:tc>
          <w:tcPr>
            <w:tcW w:type="dxa" w:w="3163"/>
            <w:shd w:fill="17304D"/>
          </w:tcPr>
          <w:p>
            <w:r>
              <w:rPr>
                <w:b/>
                <w:color w:val="FFFFFF"/>
                <w:sz w:val="16"/>
              </w:rPr>
              <w:t>Gap / Our Problem</w:t>
            </w:r>
          </w:p>
        </w:tc>
        <w:tc>
          <w:tcPr>
            <w:tcW w:type="dxa" w:w="3163"/>
            <w:shd w:fill="17304D"/>
          </w:tcPr>
          <w:p>
            <w:r>
              <w:rPr>
                <w:b/>
                <w:color w:val="FFFFFF"/>
                <w:sz w:val="16"/>
              </w:rPr>
              <w:t>ISO Says</w:t>
            </w:r>
          </w:p>
        </w:tc>
        <w:tc>
          <w:tcPr>
            <w:tcW w:type="dxa" w:w="3163"/>
            <w:shd w:fill="17304D"/>
          </w:tcPr>
          <w:p>
            <w:r>
              <w:rPr>
                <w:b/>
                <w:color w:val="FFFFFF"/>
                <w:sz w:val="16"/>
              </w:rPr>
              <w:t>Existing WI Text</w:t>
            </w:r>
          </w:p>
        </w:tc>
        <w:tc>
          <w:tcPr>
            <w:tcW w:type="dxa" w:w="3163"/>
            <w:shd w:fill="17304D"/>
          </w:tcPr>
          <w:p>
            <w:r>
              <w:rPr>
                <w:b/>
                <w:color w:val="FFFFFF"/>
                <w:sz w:val="16"/>
              </w:rPr>
              <w:t>Revised WI Text</w:t>
            </w:r>
          </w:p>
        </w:tc>
        <w:tc>
          <w:tcPr>
            <w:tcW w:type="dxa" w:w="3163"/>
            <w:shd w:fill="17304D"/>
          </w:tcPr>
          <w:p>
            <w:r>
              <w:rPr>
                <w:b/>
                <w:color w:val="FFFFFF"/>
                <w:sz w:val="16"/>
              </w:rPr>
              <w:t>Existing Inspection Text</w:t>
            </w:r>
          </w:p>
        </w:tc>
        <w:tc>
          <w:tcPr>
            <w:tcW w:type="dxa" w:w="3163"/>
            <w:shd w:fill="17304D"/>
          </w:tcPr>
          <w:p>
            <w:r>
              <w:rPr>
                <w:b/>
                <w:color w:val="FFFFFF"/>
                <w:sz w:val="16"/>
              </w:rPr>
              <w:t>Revised Inspection Text</w:t>
            </w:r>
          </w:p>
        </w:tc>
        <w:tc>
          <w:tcPr>
            <w:tcW w:type="dxa" w:w="3163"/>
            <w:shd w:fill="17304D"/>
          </w:tcPr>
          <w:p>
            <w:r>
              <w:rPr>
                <w:b/>
                <w:color w:val="FFFFFF"/>
                <w:sz w:val="16"/>
              </w:rPr>
              <w:t>Evidence (ISO Closure)</w:t>
            </w:r>
          </w:p>
        </w:tc>
      </w:tr>
      <w:tr>
        <w:tc>
          <w:tcPr>
            <w:tcW w:type="dxa" w:w="3096"/>
            <w:vAlign w:val="top"/>
          </w:tcPr>
          <w:p>
            <w:pPr>
              <w:spacing w:after="40"/>
            </w:pPr>
            <w:r>
              <w:rPr>
                <w:rFonts w:ascii="Aptos" w:hAnsi="Aptos"/>
                <w:sz w:val="16"/>
              </w:rPr>
              <w:t>GAP-001 | P2 | Unreconciled controlled WI reference</w:t>
              <w:br/>
              <w:t>Identified from cross-document comparison; current control is ambiguous, inconsistent or lacks traceable verification.</w:t>
            </w:r>
          </w:p>
        </w:tc>
        <w:tc>
          <w:tcPr>
            <w:tcW w:type="dxa" w:w="2952"/>
            <w:vAlign w:val="top"/>
          </w:tcPr>
          <w:p>
            <w:pPr>
              <w:spacing w:after="40"/>
            </w:pPr>
            <w:r>
              <w:rPr>
                <w:rFonts w:ascii="Aptos" w:hAnsi="Aptos"/>
                <w:sz w:val="16"/>
              </w:rPr>
              <w:t>Document control issue; ISO 20697 clause is not asserted as a direct numbering requirement. [Official PDF page: NOT VERIFIED]</w:t>
            </w:r>
          </w:p>
        </w:tc>
        <w:tc>
          <w:tcPr>
            <w:tcW w:type="dxa" w:w="3024"/>
            <w:vAlign w:val="top"/>
          </w:tcPr>
          <w:p>
            <w:pPr>
              <w:spacing w:after="40"/>
            </w:pPr>
            <w:r>
              <w:rPr>
                <w:rFonts w:ascii="Aptos" w:hAnsi="Aptos"/>
                <w:sz w:val="16"/>
              </w:rPr>
              <w:t>WI header pp.1–4: “WI-8-2-2-64”, Rev.01.</w:t>
            </w:r>
          </w:p>
        </w:tc>
        <w:tc>
          <w:tcPr>
            <w:tcW w:type="dxa" w:w="4104"/>
            <w:vAlign w:val="top"/>
          </w:tcPr>
          <w:p>
            <w:pPr>
              <w:spacing w:after="40"/>
            </w:pPr>
            <w:r>
              <w:rPr>
                <w:rFonts w:ascii="Aptos" w:hAnsi="Aptos"/>
                <w:sz w:val="16"/>
              </w:rPr>
              <w:t>[WI §3] Section 3 / Document Identification — Before use, Document Control shall verify whether WI-8-2-2-64 and WI-8-2-2-64-1 are equivalent, superseded or distinct. Record the approved effective WI identifier, revision and date; prohibit use of uncontrolled assumptions.</w:t>
            </w:r>
          </w:p>
        </w:tc>
        <w:tc>
          <w:tcPr>
            <w:tcW w:type="dxa" w:w="2952"/>
            <w:vAlign w:val="top"/>
          </w:tcPr>
          <w:p>
            <w:pPr>
              <w:spacing w:after="40"/>
            </w:pPr>
            <w:r>
              <w:rPr>
                <w:rFonts w:ascii="Aptos" w:hAnsi="Aptos"/>
                <w:sz w:val="16"/>
              </w:rPr>
              <w:t>Form header R3/D3: “Ref. Doc. (WI-8-2-2-64-1 / TF-64-PS / TF-64-PDBM)”.</w:t>
            </w:r>
          </w:p>
        </w:tc>
        <w:tc>
          <w:tcPr>
            <w:tcW w:type="dxa" w:w="3744"/>
            <w:vAlign w:val="top"/>
          </w:tcPr>
          <w:p>
            <w:pPr>
              <w:spacing w:after="40"/>
            </w:pPr>
            <w:r>
              <w:rPr>
                <w:rFonts w:ascii="Aptos" w:hAnsi="Aptos"/>
                <w:sz w:val="16"/>
              </w:rPr>
              <w:t>Header fields: Effective WI no./rev: ______; applicable TF-64-PS rev: ______; TF-64-PDBM rev: ______; verified by Document Control: ______; verification date: ______.</w:t>
            </w:r>
          </w:p>
        </w:tc>
        <w:tc>
          <w:tcPr>
            <w:tcW w:type="dxa" w:w="3816"/>
            <w:vAlign w:val="top"/>
          </w:tcPr>
          <w:p>
            <w:pPr>
              <w:spacing w:after="40"/>
            </w:pPr>
            <w:r>
              <w:rPr>
                <w:rFonts w:ascii="Aptos" w:hAnsi="Aptos"/>
                <w:sz w:val="16"/>
              </w:rPr>
              <w:t>Required Evidence: Approved document master list, supersession history, and controlled WI/form linkage. No evidence supplied.</w:t>
              <w:br/>
              <w:t>Verification / Control Route: Document control</w:t>
              <w:br/>
              <w:t>Evidence Reference: Pending (none provided).</w:t>
              <w:br/>
              <w:t>Closure Criteria: Approved control + verified applicable objective evidence.</w:t>
              <w:br/>
              <w:t>Current Closure Status: Open — Approval (NOT VERIFIED CLOSED).</w:t>
            </w:r>
          </w:p>
        </w:tc>
      </w:tr>
      <w:tr>
        <w:tc>
          <w:tcPr>
            <w:tcW w:type="dxa" w:w="3096"/>
            <w:vAlign w:val="top"/>
            <w:shd w:fill="F1F5F9"/>
          </w:tcPr>
          <w:p>
            <w:pPr>
              <w:spacing w:after="40"/>
            </w:pPr>
            <w:r>
              <w:rPr>
                <w:rFonts w:ascii="Aptos" w:hAnsi="Aptos"/>
                <w:sz w:val="16"/>
              </w:rPr>
              <w:t>GAP-002 | P1 | Conflicting kit BOM and included instruments</w:t>
              <w:br/>
              <w:t>Identified from cross-document comparison; current control is ambiguous, inconsistent or lacks traceable verification.</w:t>
            </w:r>
          </w:p>
        </w:tc>
        <w:tc>
          <w:tcPr>
            <w:tcW w:type="dxa" w:w="2952"/>
            <w:vAlign w:val="top"/>
            <w:shd w:fill="F1F5F9"/>
          </w:tcPr>
          <w:p>
            <w:pPr>
              <w:spacing w:after="40"/>
            </w:pPr>
            <w:r>
              <w:rPr>
                <w:rFonts w:ascii="Aptos" w:hAnsi="Aptos"/>
                <w:sz w:val="16"/>
              </w:rPr>
              <w:t>ISO 20697:2018 §4, printed p.3 — applicable drainage catheter system must demonstrate intended performance; this clause does not specify the kit BOM. Exact contents are manufacturer-controlled. [Official PDF page: NOT VERIFIED]</w:t>
            </w:r>
          </w:p>
        </w:tc>
        <w:tc>
          <w:tcPr>
            <w:tcW w:type="dxa" w:w="3024"/>
            <w:vAlign w:val="top"/>
            <w:shd w:fill="F1F5F9"/>
          </w:tcPr>
          <w:p>
            <w:pPr>
              <w:spacing w:after="40"/>
            </w:pPr>
            <w:r>
              <w:rPr>
                <w:rFonts w:ascii="Aptos" w:hAnsi="Aptos"/>
                <w:sz w:val="16"/>
              </w:rPr>
              <w:t>WI p.3 §6.1 lists components including surgical tape, retractable scalpel, syringe, etc.; §5 mentions scissors and curved needle.</w:t>
            </w:r>
          </w:p>
        </w:tc>
        <w:tc>
          <w:tcPr>
            <w:tcW w:type="dxa" w:w="4104"/>
            <w:vAlign w:val="top"/>
            <w:shd w:fill="F1F5F9"/>
          </w:tcPr>
          <w:p>
            <w:pPr>
              <w:spacing w:after="40"/>
            </w:pPr>
            <w:r>
              <w:rPr>
                <w:rFonts w:ascii="Aptos" w:hAnsi="Aptos"/>
                <w:sz w:val="16"/>
              </w:rPr>
              <w:t>[WI §6] Section 6 — Assemble only to the currently approved kit BOM / TF-64-PS / TF-64-PDBM by product code and variant. Verify identity, item number, quantity, approved alternatives, traceability and validity of each component before first-piece acceptance and during defined in-process checks. Where the BOM and issued order disagree, segregate and escalate; do not improvise substitutions.</w:t>
            </w:r>
          </w:p>
        </w:tc>
        <w:tc>
          <w:tcPr>
            <w:tcW w:type="dxa" w:w="2952"/>
            <w:vAlign w:val="top"/>
            <w:shd w:fill="F1F5F9"/>
          </w:tcPr>
          <w:p>
            <w:pPr>
              <w:spacing w:after="40"/>
            </w:pPr>
            <w:r>
              <w:rPr>
                <w:rFonts w:ascii="Aptos" w:hAnsi="Aptos"/>
                <w:sz w:val="16"/>
              </w:rPr>
              <w:t>Form rows 10–28 list 19 checkpoints, including two Kelly clamps, suture needle holder, compartment tray and hospital wrap; surgical tape has no dedicated row.</w:t>
            </w:r>
          </w:p>
        </w:tc>
        <w:tc>
          <w:tcPr>
            <w:tcW w:type="dxa" w:w="3744"/>
            <w:vAlign w:val="top"/>
            <w:shd w:fill="F1F5F9"/>
          </w:tcPr>
          <w:p>
            <w:pPr>
              <w:spacing w:after="40"/>
            </w:pPr>
            <w:r>
              <w:rPr>
                <w:rFonts w:ascii="Aptos" w:hAnsi="Aptos"/>
                <w:sz w:val="16"/>
              </w:rPr>
              <w:t>Provide controlled BOM matrix for ALL items: Item code | approved description | required qty | unit | source lot | expiry (if applicable) | actual qty | Pass/Fail/Hold | time/sample | initials. Include surgical tape and reconcile every WI/BOM/form difference; do not populate missing quantities by guesswork.</w:t>
            </w:r>
          </w:p>
        </w:tc>
        <w:tc>
          <w:tcPr>
            <w:tcW w:type="dxa" w:w="3816"/>
            <w:vAlign w:val="top"/>
            <w:shd w:fill="F1F5F9"/>
          </w:tcPr>
          <w:p>
            <w:pPr>
              <w:spacing w:after="40"/>
            </w:pPr>
            <w:r>
              <w:rPr>
                <w:rFonts w:ascii="Aptos" w:hAnsi="Aptos"/>
                <w:sz w:val="16"/>
              </w:rPr>
              <w:t>Required Evidence: Signed current product-specific BOM, approved assembly specification, engineering change record, lot component reconciliation and completed checks. Pending.</w:t>
              <w:br/>
              <w:t>Verification / Control Route: Routine in-process / design transfer</w:t>
              <w:br/>
              <w:t>Evidence Reference: Pending (none provided).</w:t>
              <w:br/>
              <w:t>Closure Criteria: Approved control + verified applicable objective evidence.</w:t>
              <w:br/>
              <w:t>Current Closure Status: Open — Technical Input (NOT VERIFIED CLOSED).</w:t>
            </w:r>
          </w:p>
        </w:tc>
      </w:tr>
      <w:tr>
        <w:tc>
          <w:tcPr>
            <w:tcW w:type="dxa" w:w="3096"/>
            <w:vAlign w:val="top"/>
          </w:tcPr>
          <w:p>
            <w:pPr>
              <w:spacing w:after="40"/>
            </w:pPr>
            <w:r>
              <w:rPr>
                <w:rFonts w:ascii="Aptos" w:hAnsi="Aptos"/>
                <w:sz w:val="16"/>
              </w:rPr>
              <w:t>GAP-003 | P1 | Latex material contradiction</w:t>
              <w:br/>
              <w:t>Identified from cross-document comparison; current control is ambiguous, inconsistent or lacks traceable verification.</w:t>
            </w:r>
          </w:p>
        </w:tc>
        <w:tc>
          <w:tcPr>
            <w:tcW w:type="dxa" w:w="2952"/>
            <w:vAlign w:val="top"/>
          </w:tcPr>
          <w:p>
            <w:pPr>
              <w:spacing w:after="40"/>
            </w:pPr>
            <w:r>
              <w:rPr>
                <w:rFonts w:ascii="Aptos" w:hAnsi="Aptos"/>
                <w:sz w:val="16"/>
              </w:rPr>
              <w:t>ISO 20697:2018 §5.2, printed p.4 — biological safety is subject to appropriate biological evaluation; it does not prescribe latex versus latex-free gloves for this kit. [Official PDF page: NOT VERIFIED]</w:t>
            </w:r>
          </w:p>
        </w:tc>
        <w:tc>
          <w:tcPr>
            <w:tcW w:type="dxa" w:w="3024"/>
            <w:vAlign w:val="top"/>
          </w:tcPr>
          <w:p>
            <w:pPr>
              <w:spacing w:after="40"/>
            </w:pPr>
            <w:r>
              <w:rPr>
                <w:rFonts w:ascii="Aptos" w:hAnsi="Aptos"/>
                <w:sz w:val="16"/>
              </w:rPr>
              <w:t>WI p.1 §5.3.1: “Pair powder free gloves latex material ...”.</w:t>
            </w:r>
          </w:p>
        </w:tc>
        <w:tc>
          <w:tcPr>
            <w:tcW w:type="dxa" w:w="4104"/>
            <w:vAlign w:val="top"/>
          </w:tcPr>
          <w:p>
            <w:pPr>
              <w:spacing w:after="40"/>
            </w:pPr>
            <w:r>
              <w:rPr>
                <w:rFonts w:ascii="Aptos" w:hAnsi="Aptos"/>
                <w:sz w:val="16"/>
              </w:rPr>
              <w:t>[WI §5] Section 5 / Gloves — Inspect the issued pair against the approved TF-64-PS and verified supplier label/CoC. The required latex status [OPEN TECHNICAL INPUT REQUIRED: latex / latex-free] must match the approved BOM and market labeling; confirm powder-free, approved size, quantity, lot and expiry if applicable. Hold contradictory components.</w:t>
            </w:r>
          </w:p>
        </w:tc>
        <w:tc>
          <w:tcPr>
            <w:tcW w:type="dxa" w:w="2952"/>
            <w:vAlign w:val="top"/>
          </w:tcPr>
          <w:p>
            <w:pPr>
              <w:spacing w:after="40"/>
            </w:pPr>
            <w:r>
              <w:rPr>
                <w:rFonts w:ascii="Aptos" w:hAnsi="Aptos"/>
                <w:sz w:val="16"/>
              </w:rPr>
              <w:t>Form row 12: “Size Large, Latex free and powder free”.</w:t>
            </w:r>
          </w:p>
        </w:tc>
        <w:tc>
          <w:tcPr>
            <w:tcW w:type="dxa" w:w="3744"/>
            <w:vAlign w:val="top"/>
          </w:tcPr>
          <w:p>
            <w:pPr>
              <w:spacing w:after="40"/>
            </w:pPr>
            <w:r>
              <w:rPr>
                <w:rFonts w:ascii="Aptos" w:hAnsi="Aptos"/>
                <w:sz w:val="16"/>
              </w:rPr>
              <w:t>Gloves: approved latex status ______; powder-free verification ______; size ______; supplier certificate / lot ______; actual observation ______; Pass/Fail/Hold ______; time/initials ______.</w:t>
            </w:r>
          </w:p>
        </w:tc>
        <w:tc>
          <w:tcPr>
            <w:tcW w:type="dxa" w:w="3816"/>
            <w:vAlign w:val="top"/>
          </w:tcPr>
          <w:p>
            <w:pPr>
              <w:spacing w:after="40"/>
            </w:pPr>
            <w:r>
              <w:rPr>
                <w:rFonts w:ascii="Aptos" w:hAnsi="Aptos"/>
                <w:sz w:val="16"/>
              </w:rPr>
              <w:t>Required Evidence: Approved component spec, supplier certificate and assessed labeling/risk file; reconciled WI/Form/BOM. Pending.</w:t>
              <w:br/>
              <w:t>Verification / Control Route: Supplier / Incoming / In-process</w:t>
              <w:br/>
              <w:t>Evidence Reference: Pending (none provided).</w:t>
              <w:br/>
              <w:t>Closure Criteria: Approved control + verified applicable objective evidence.</w:t>
              <w:br/>
              <w:t>Current Closure Status: Open — Technical Input (NOT VERIFIED CLOSED).</w:t>
            </w:r>
          </w:p>
        </w:tc>
      </w:tr>
      <w:tr>
        <w:tc>
          <w:tcPr>
            <w:tcW w:type="dxa" w:w="3096"/>
            <w:vAlign w:val="top"/>
            <w:shd w:fill="F1F5F9"/>
          </w:tcPr>
          <w:p>
            <w:pPr>
              <w:spacing w:after="40"/>
            </w:pPr>
            <w:r>
              <w:rPr>
                <w:rFonts w:ascii="Aptos" w:hAnsi="Aptos"/>
                <w:sz w:val="16"/>
              </w:rPr>
              <w:t>GAP-004 | P1 | Lidocaine pack description, quantity and expiry</w:t>
              <w:br/>
              <w:t>Identified from cross-document comparison; current control is ambiguous, inconsistent or lacks traceable verification.</w:t>
            </w:r>
          </w:p>
        </w:tc>
        <w:tc>
          <w:tcPr>
            <w:tcW w:type="dxa" w:w="2952"/>
            <w:vAlign w:val="top"/>
            <w:shd w:fill="F1F5F9"/>
          </w:tcPr>
          <w:p>
            <w:pPr>
              <w:spacing w:after="40"/>
            </w:pPr>
            <w:r>
              <w:rPr>
                <w:rFonts w:ascii="Aptos" w:hAnsi="Aptos"/>
                <w:sz w:val="16"/>
              </w:rPr>
              <w:t>Company BOM / supplied medicinal product control, not a numerical volume requirement directly established by ISO 20697. [Official PDF page: NOT VERIFIED]</w:t>
            </w:r>
          </w:p>
        </w:tc>
        <w:tc>
          <w:tcPr>
            <w:tcW w:type="dxa" w:w="3024"/>
            <w:vAlign w:val="top"/>
            <w:shd w:fill="F1F5F9"/>
          </w:tcPr>
          <w:p>
            <w:pPr>
              <w:spacing w:after="40"/>
            </w:pPr>
            <w:r>
              <w:rPr>
                <w:rFonts w:ascii="Aptos" w:hAnsi="Aptos"/>
                <w:sz w:val="16"/>
              </w:rPr>
              <w:t>WI p.2 §5.4: “20ml Ampoule Lidocaine (1%)”; volume, print and expiry addressed.</w:t>
            </w:r>
          </w:p>
        </w:tc>
        <w:tc>
          <w:tcPr>
            <w:tcW w:type="dxa" w:w="4104"/>
            <w:vAlign w:val="top"/>
            <w:shd w:fill="F1F5F9"/>
          </w:tcPr>
          <w:p>
            <w:pPr>
              <w:spacing w:after="40"/>
            </w:pPr>
            <w:r>
              <w:rPr>
                <w:rFonts w:ascii="Aptos" w:hAnsi="Aptos"/>
                <w:sz w:val="16"/>
              </w:rPr>
              <w:t>[WI §5] Section 5 / Lidocaine — Verify the EXACT product, concentration, quantity per kit, volume per unit, permitted remaining shelf life, pack integrity, and labeling against approved BOM/medicinal-product requirements. Resolve whether “20 ml” refers to total kit amount or one primary container. Any inaccurate or unverified item requires HOLD and QA disposition.</w:t>
            </w:r>
          </w:p>
        </w:tc>
        <w:tc>
          <w:tcPr>
            <w:tcW w:type="dxa" w:w="2952"/>
            <w:vAlign w:val="top"/>
            <w:shd w:fill="F1F5F9"/>
          </w:tcPr>
          <w:p>
            <w:pPr>
              <w:spacing w:after="40"/>
            </w:pPr>
            <w:r>
              <w:rPr>
                <w:rFonts w:ascii="Aptos" w:hAnsi="Aptos"/>
                <w:sz w:val="16"/>
              </w:rPr>
              <w:t>Form row 13: “20ml ampule Lidocaine HCL 1% (4pcs)”; requirement “not &lt; 5ml each ampule ... valid expiry date”.</w:t>
            </w:r>
          </w:p>
        </w:tc>
        <w:tc>
          <w:tcPr>
            <w:tcW w:type="dxa" w:w="3744"/>
            <w:vAlign w:val="top"/>
            <w:shd w:fill="F1F5F9"/>
          </w:tcPr>
          <w:p>
            <w:pPr>
              <w:spacing w:after="40"/>
            </w:pPr>
            <w:r>
              <w:rPr>
                <w:rFonts w:ascii="Aptos" w:hAnsi="Aptos"/>
                <w:sz w:val="16"/>
              </w:rPr>
              <w:t>Lidocaine identification ______; concentration ______; approved count ______; approved mL/unit ______; actual count ______; actual mL/unit ______; supplier lot ______; expiry ______; visible damage (Y/N) ______; decision ______.</w:t>
            </w:r>
          </w:p>
        </w:tc>
        <w:tc>
          <w:tcPr>
            <w:tcW w:type="dxa" w:w="3816"/>
            <w:vAlign w:val="top"/>
            <w:shd w:fill="F1F5F9"/>
          </w:tcPr>
          <w:p>
            <w:pPr>
              <w:spacing w:after="40"/>
            </w:pPr>
            <w:r>
              <w:rPr>
                <w:rFonts w:ascii="Aptos" w:hAnsi="Aptos"/>
                <w:sz w:val="16"/>
              </w:rPr>
              <w:t>Required Evidence: Approved BOM, product label/authorization, supplier documentation and component traceability; quantity reconciliation. Pending.</w:t>
              <w:br/>
              <w:t>Verification / Control Route: Incoming / Routine in-process</w:t>
              <w:br/>
              <w:t>Evidence Reference: Pending (none provided).</w:t>
              <w:br/>
              <w:t>Closure Criteria: Approved control + verified applicable objective evidence.</w:t>
              <w:br/>
              <w:t>Current Closure Status: Open — Technical Input (NOT VERIFIED CLOSED).</w:t>
            </w:r>
          </w:p>
        </w:tc>
      </w:tr>
      <w:tr>
        <w:tc>
          <w:tcPr>
            <w:tcW w:type="dxa" w:w="3096"/>
            <w:vAlign w:val="top"/>
          </w:tcPr>
          <w:p>
            <w:pPr>
              <w:spacing w:after="40"/>
            </w:pPr>
            <w:r>
              <w:rPr>
                <w:rFonts w:ascii="Aptos" w:hAnsi="Aptos"/>
                <w:sz w:val="16"/>
              </w:rPr>
              <w:t>GAP-005 | P2 | Suture length / unit inconsistency</w:t>
              <w:br/>
              <w:t>Identified from cross-document comparison; current control is ambiguous, inconsistent or lacks traceable verification.</w:t>
            </w:r>
          </w:p>
        </w:tc>
        <w:tc>
          <w:tcPr>
            <w:tcW w:type="dxa" w:w="2952"/>
            <w:vAlign w:val="top"/>
          </w:tcPr>
          <w:p>
            <w:pPr>
              <w:spacing w:after="40"/>
            </w:pPr>
            <w:r>
              <w:rPr>
                <w:rFonts w:ascii="Aptos" w:hAnsi="Aptos"/>
                <w:sz w:val="16"/>
              </w:rPr>
              <w:t>Company component specification issue, not a specific ISO 20697 suture-size clause. [Official PDF page: NOT VERIFIED]</w:t>
            </w:r>
          </w:p>
        </w:tc>
        <w:tc>
          <w:tcPr>
            <w:tcW w:type="dxa" w:w="3024"/>
            <w:vAlign w:val="top"/>
          </w:tcPr>
          <w:p>
            <w:pPr>
              <w:spacing w:after="40"/>
            </w:pPr>
            <w:r>
              <w:rPr>
                <w:rFonts w:ascii="Aptos" w:hAnsi="Aptos"/>
                <w:sz w:val="16"/>
              </w:rPr>
              <w:t>WI p.2 §5.7.1 requires non-absorbable suture, packaged with valid expiry; no length threshold stated.</w:t>
            </w:r>
          </w:p>
        </w:tc>
        <w:tc>
          <w:tcPr>
            <w:tcW w:type="dxa" w:w="4104"/>
            <w:vAlign w:val="top"/>
          </w:tcPr>
          <w:p>
            <w:pPr>
              <w:spacing w:after="40"/>
            </w:pPr>
            <w:r>
              <w:rPr>
                <w:rFonts w:ascii="Aptos" w:hAnsi="Aptos"/>
                <w:sz w:val="16"/>
              </w:rPr>
              <w:t>[WI §5] Section 5 / Suture — Verify suture material, needle design if supplied, length and size in consistent units using the current approved component specification. Do not interpret “0.30 inches (75 cm)” as an equivalent dimensional statement. Hold discrepancies until corrected technical definition is approved.</w:t>
            </w:r>
          </w:p>
        </w:tc>
        <w:tc>
          <w:tcPr>
            <w:tcW w:type="dxa" w:w="2952"/>
            <w:vAlign w:val="top"/>
          </w:tcPr>
          <w:p>
            <w:pPr>
              <w:spacing w:after="40"/>
            </w:pPr>
            <w:r>
              <w:rPr>
                <w:rFonts w:ascii="Aptos" w:hAnsi="Aptos"/>
                <w:sz w:val="16"/>
              </w:rPr>
              <w:t>Form row 17: “0.30 inches ( 75cm ) non absorbable”.</w:t>
            </w:r>
          </w:p>
        </w:tc>
        <w:tc>
          <w:tcPr>
            <w:tcW w:type="dxa" w:w="3744"/>
            <w:vAlign w:val="top"/>
          </w:tcPr>
          <w:p>
            <w:pPr>
              <w:spacing w:after="40"/>
            </w:pPr>
            <w:r>
              <w:rPr>
                <w:rFonts w:ascii="Aptos" w:hAnsi="Aptos"/>
                <w:sz w:val="16"/>
              </w:rPr>
              <w:t>Suture code ______; approved size notation ______; specified length (unit) ______; actual label/measure ______; quantity ______; expiry ______; Pass/Fail/Hold ______.</w:t>
            </w:r>
          </w:p>
        </w:tc>
        <w:tc>
          <w:tcPr>
            <w:tcW w:type="dxa" w:w="3816"/>
            <w:vAlign w:val="top"/>
          </w:tcPr>
          <w:p>
            <w:pPr>
              <w:spacing w:after="40"/>
            </w:pPr>
            <w:r>
              <w:rPr>
                <w:rFonts w:ascii="Aptos" w:hAnsi="Aptos"/>
                <w:sz w:val="16"/>
              </w:rPr>
              <w:t>Required Evidence: Approved suture specification and supplier package label clarifying unit and size; revision approval.</w:t>
              <w:br/>
              <w:t>Verification / Control Route: Supplier / Routine in-process</w:t>
              <w:br/>
              <w:t>Evidence Reference: Pending (none provided).</w:t>
              <w:br/>
              <w:t>Closure Criteria: Approved control + verified applicable objective evidence.</w:t>
              <w:br/>
              <w:t>Current Closure Status: Open — Technical Input (NOT VERIFIED CLOSED).</w:t>
            </w:r>
          </w:p>
        </w:tc>
      </w:tr>
      <w:tr>
        <w:tc>
          <w:tcPr>
            <w:tcW w:type="dxa" w:w="3096"/>
            <w:vAlign w:val="top"/>
            <w:shd w:fill="F1F5F9"/>
          </w:tcPr>
          <w:p>
            <w:pPr>
              <w:spacing w:after="40"/>
            </w:pPr>
            <w:r>
              <w:rPr>
                <w:rFonts w:ascii="Aptos" w:hAnsi="Aptos"/>
                <w:sz w:val="16"/>
              </w:rPr>
              <w:t>GAP-006 | P2 | Gauze description / dimensional inconsistency</w:t>
              <w:br/>
              <w:t>Identified from cross-document comparison; current control is ambiguous, inconsistent or lacks traceable verification.</w:t>
            </w:r>
          </w:p>
        </w:tc>
        <w:tc>
          <w:tcPr>
            <w:tcW w:type="dxa" w:w="2952"/>
            <w:vAlign w:val="top"/>
            <w:shd w:fill="F1F5F9"/>
          </w:tcPr>
          <w:p>
            <w:pPr>
              <w:spacing w:after="40"/>
            </w:pPr>
            <w:r>
              <w:rPr>
                <w:rFonts w:ascii="Aptos" w:hAnsi="Aptos"/>
                <w:sz w:val="16"/>
              </w:rPr>
              <w:t>Company component specification issue; no ISO 20697 printed requirement mandates 4×4 inch gauze. [Official PDF page: NOT VERIFIED]</w:t>
            </w:r>
          </w:p>
        </w:tc>
        <w:tc>
          <w:tcPr>
            <w:tcW w:type="dxa" w:w="3024"/>
            <w:vAlign w:val="top"/>
            <w:shd w:fill="F1F5F9"/>
          </w:tcPr>
          <w:p>
            <w:pPr>
              <w:spacing w:after="40"/>
            </w:pPr>
            <w:r>
              <w:rPr>
                <w:rFonts w:ascii="Aptos" w:hAnsi="Aptos"/>
                <w:sz w:val="16"/>
              </w:rPr>
              <w:t>WI p.2 §5.8.1: dimension, count, clean cutting edges and absence of particles required without stated limits.</w:t>
            </w:r>
          </w:p>
        </w:tc>
        <w:tc>
          <w:tcPr>
            <w:tcW w:type="dxa" w:w="4104"/>
            <w:vAlign w:val="top"/>
            <w:shd w:fill="F1F5F9"/>
          </w:tcPr>
          <w:p>
            <w:pPr>
              <w:spacing w:after="40"/>
            </w:pPr>
            <w:r>
              <w:rPr>
                <w:rFonts w:ascii="Aptos" w:hAnsi="Aptos"/>
                <w:sz w:val="16"/>
              </w:rPr>
              <w:t>[WI §5] Section 5 / Gauze — Check approved gauze format, dimensions, ply/fold format, count, material and particulate limits using TF-64-PS or component specification. Do not assume 4 in × 4 in and 38 × 18 cm describe the same measured dimension; specify unfolded/folded state clearly.</w:t>
            </w:r>
          </w:p>
        </w:tc>
        <w:tc>
          <w:tcPr>
            <w:tcW w:type="dxa" w:w="2952"/>
            <w:vAlign w:val="top"/>
            <w:shd w:fill="F1F5F9"/>
          </w:tcPr>
          <w:p>
            <w:pPr>
              <w:spacing w:after="40"/>
            </w:pPr>
            <w:r>
              <w:rPr>
                <w:rFonts w:ascii="Aptos" w:hAnsi="Aptos"/>
                <w:sz w:val="16"/>
              </w:rPr>
              <w:t>Form row 18: “4" x 4" Gauze Pads”; requirement “Dimension 38*18cm,soft and white”.</w:t>
            </w:r>
          </w:p>
        </w:tc>
        <w:tc>
          <w:tcPr>
            <w:tcW w:type="dxa" w:w="3744"/>
            <w:vAlign w:val="top"/>
            <w:shd w:fill="F1F5F9"/>
          </w:tcPr>
          <w:p>
            <w:pPr>
              <w:spacing w:after="40"/>
            </w:pPr>
            <w:r>
              <w:rPr>
                <w:rFonts w:ascii="Aptos" w:hAnsi="Aptos"/>
                <w:sz w:val="16"/>
              </w:rPr>
              <w:t>Gauze code ______; specified packaging size ______; specified unfolded size ______; actual dimension/unit ______; pack count ______; defects ______; Pass/Fail/Hold ______.</w:t>
            </w:r>
          </w:p>
        </w:tc>
        <w:tc>
          <w:tcPr>
            <w:tcW w:type="dxa" w:w="3816"/>
            <w:vAlign w:val="top"/>
            <w:shd w:fill="F1F5F9"/>
          </w:tcPr>
          <w:p>
            <w:pPr>
              <w:spacing w:after="40"/>
            </w:pPr>
            <w:r>
              <w:rPr>
                <w:rFonts w:ascii="Aptos" w:hAnsi="Aptos"/>
                <w:sz w:val="16"/>
              </w:rPr>
              <w:t>Required Evidence: Approved gauze component specification, approved dimensional drawing, supplier evidence, verified update.</w:t>
              <w:br/>
              <w:t>Verification / Control Route: Routine in-process</w:t>
              <w:br/>
              <w:t>Evidence Reference: Pending (none provided).</w:t>
              <w:br/>
              <w:t>Closure Criteria: Approved control + verified applicable objective evidence.</w:t>
              <w:br/>
              <w:t>Current Closure Status: Open — Technical Input (NOT VERIFIED CLOSED).</w:t>
            </w:r>
          </w:p>
        </w:tc>
      </w:tr>
      <w:tr>
        <w:tc>
          <w:tcPr>
            <w:tcW w:type="dxa" w:w="3096"/>
            <w:vAlign w:val="top"/>
          </w:tcPr>
          <w:p>
            <w:pPr>
              <w:spacing w:after="40"/>
            </w:pPr>
            <w:r>
              <w:rPr>
                <w:rFonts w:ascii="Aptos" w:hAnsi="Aptos"/>
                <w:sz w:val="16"/>
              </w:rPr>
              <w:t>GAP-007 | P1 | Catheter size / visibility / surface criteria incomplete</w:t>
              <w:br/>
              <w:t>Identified from cross-document comparison; current control is ambiguous, inconsistent or lacks traceable verification.</w:t>
            </w:r>
          </w:p>
        </w:tc>
        <w:tc>
          <w:tcPr>
            <w:tcW w:type="dxa" w:w="2952"/>
            <w:vAlign w:val="top"/>
          </w:tcPr>
          <w:p>
            <w:pPr>
              <w:spacing w:after="40"/>
            </w:pPr>
            <w:r>
              <w:rPr>
                <w:rFonts w:ascii="Aptos" w:hAnsi="Aptos"/>
                <w:sz w:val="16"/>
              </w:rPr>
              <w:t>ISO 20697:2018 §5.3–5.5.3, printed p.4 — risk-based detectability, safe surface and designated nominal outer diameter/effective length; §5.5.2 defines ±1 Fr tolerance on stated OD and §5.5.3 states no length tolerance. ISO §5.3 detectability is conditional on risk assessment. [Official PDF page: NOT VERIFIED]</w:t>
            </w:r>
          </w:p>
        </w:tc>
        <w:tc>
          <w:tcPr>
            <w:tcW w:type="dxa" w:w="3024"/>
            <w:vAlign w:val="top"/>
          </w:tcPr>
          <w:p>
            <w:pPr>
              <w:spacing w:after="40"/>
            </w:pPr>
            <w:r>
              <w:rPr>
                <w:rFonts w:ascii="Aptos" w:hAnsi="Aptos"/>
                <w:sz w:val="16"/>
              </w:rPr>
              <w:t>WI p.1 §5.2.1: “clear and transparent with printed graduation scale and x-ray line accurate in dimension in ID, OD and length ... free from flashing black spots and sharp tip.”</w:t>
            </w:r>
          </w:p>
        </w:tc>
        <w:tc>
          <w:tcPr>
            <w:tcW w:type="dxa" w:w="4104"/>
            <w:vAlign w:val="top"/>
          </w:tcPr>
          <w:p>
            <w:pPr>
              <w:spacing w:after="40"/>
            </w:pPr>
            <w:r>
              <w:rPr>
                <w:rFonts w:ascii="Aptos" w:hAnsi="Aptos"/>
                <w:sz w:val="16"/>
              </w:rPr>
              <w:t>[WI §5] Section 5 / Catheter — Confirm nominal size/Fr and associated OD, ID, effective length and graduation accuracy against approved TF-64-PS; record measurement and equipment. Apply ISO 20697 §5.5.2 for OD where applicable (±1 Fr). Visually examine accessible catheter surfaces for extraneous matter and hazardous process defects. Verify radiopacity/detectability by a controlled qualification test IF required by risk assessment; visible X-ray line alone is not proof of clinical detectability.</w:t>
            </w:r>
          </w:p>
        </w:tc>
        <w:tc>
          <w:tcPr>
            <w:tcW w:type="dxa" w:w="2952"/>
            <w:vAlign w:val="top"/>
          </w:tcPr>
          <w:p>
            <w:pPr>
              <w:spacing w:after="40"/>
            </w:pPr>
            <w:r>
              <w:rPr>
                <w:rFonts w:ascii="Aptos" w:hAnsi="Aptos"/>
                <w:sz w:val="16"/>
              </w:rPr>
              <w:t>Form row 11: “Size # 08 clear and soft catheter, printed graduation scale, with X-ray line, trocar no damaged”. No actual dimension columns.</w:t>
            </w:r>
          </w:p>
        </w:tc>
        <w:tc>
          <w:tcPr>
            <w:tcW w:type="dxa" w:w="3744"/>
            <w:vAlign w:val="top"/>
          </w:tcPr>
          <w:p>
            <w:pPr>
              <w:spacing w:after="40"/>
            </w:pPr>
            <w:r>
              <w:rPr>
                <w:rFonts w:ascii="Aptos" w:hAnsi="Aptos"/>
                <w:sz w:val="16"/>
              </w:rPr>
              <w:t>Catheter item/size ______; approved nominal OD (mm/Fr) ______; actual OD ______; ID ______; effective length ______; graduation check ______; finish defect ______; visual radiopaque marker ______; qualifying evidence ref ______; result ______.</w:t>
            </w:r>
          </w:p>
        </w:tc>
        <w:tc>
          <w:tcPr>
            <w:tcW w:type="dxa" w:w="3816"/>
            <w:vAlign w:val="top"/>
          </w:tcPr>
          <w:p>
            <w:pPr>
              <w:spacing w:after="40"/>
            </w:pPr>
            <w:r>
              <w:rPr>
                <w:rFonts w:ascii="Aptos" w:hAnsi="Aptos"/>
                <w:sz w:val="16"/>
              </w:rPr>
              <w:t>Required Evidence: Approved product drawing and gauges, calibration IDs, completed dimensional records, radiopacity risk assessment and qualification evidence when applicable.</w:t>
              <w:br/>
              <w:t>Verification / Control Route: Incoming / In-process / Qualification</w:t>
              <w:br/>
              <w:t>Evidence Reference: Pending (none provided).</w:t>
              <w:br/>
              <w:t>Closure Criteria: Approved control + verified applicable objective evidence.</w:t>
              <w:br/>
              <w:t>Current Closure Status: Open — Technical Input (NOT VERIFIED CLOSED).</w:t>
            </w:r>
          </w:p>
        </w:tc>
      </w:tr>
      <w:tr>
        <w:tc>
          <w:tcPr>
            <w:tcW w:type="dxa" w:w="3096"/>
            <w:vAlign w:val="top"/>
            <w:shd w:fill="F1F5F9"/>
          </w:tcPr>
          <w:p>
            <w:pPr>
              <w:spacing w:after="40"/>
            </w:pPr>
            <w:r>
              <w:rPr>
                <w:rFonts w:ascii="Aptos" w:hAnsi="Aptos"/>
                <w:sz w:val="16"/>
              </w:rPr>
              <w:t>GAP-008 | P2 | Missing in-process result codes, time accountability and samples</w:t>
              <w:br/>
              <w:t>Identified from cross-document comparison; current control is ambiguous, inconsistent or lacks traceable verification.</w:t>
            </w:r>
          </w:p>
        </w:tc>
        <w:tc>
          <w:tcPr>
            <w:tcW w:type="dxa" w:w="2952"/>
            <w:vAlign w:val="top"/>
            <w:shd w:fill="F1F5F9"/>
          </w:tcPr>
          <w:p>
            <w:pPr>
              <w:spacing w:after="40"/>
            </w:pPr>
            <w:r>
              <w:rPr>
                <w:rFonts w:ascii="Aptos" w:hAnsi="Aptos"/>
                <w:sz w:val="16"/>
              </w:rPr>
              <w:t>ISO 20697:2018 §5.4, printed p.4, supports surface checks; exact hourly sampling frequency is NOT specified by the standard. [Official PDF page: NOT VERIFIED]</w:t>
            </w:r>
          </w:p>
        </w:tc>
        <w:tc>
          <w:tcPr>
            <w:tcW w:type="dxa" w:w="3024"/>
            <w:vAlign w:val="top"/>
            <w:shd w:fill="F1F5F9"/>
          </w:tcPr>
          <w:p>
            <w:pPr>
              <w:spacing w:after="40"/>
            </w:pPr>
            <w:r>
              <w:rPr>
                <w:rFonts w:ascii="Aptos" w:hAnsi="Aptos"/>
                <w:sz w:val="16"/>
              </w:rPr>
              <w:t>WI p.3 §6.4–6.7 first-piece QC check and recording on in-process control form; sampling details not defined.</w:t>
            </w:r>
          </w:p>
        </w:tc>
        <w:tc>
          <w:tcPr>
            <w:tcW w:type="dxa" w:w="4104"/>
            <w:vAlign w:val="top"/>
            <w:shd w:fill="F1F5F9"/>
          </w:tcPr>
          <w:p>
            <w:pPr>
              <w:spacing w:after="40"/>
            </w:pPr>
            <w:r>
              <w:rPr>
                <w:rFonts w:ascii="Aptos" w:hAnsi="Aptos"/>
                <w:sz w:val="16"/>
              </w:rPr>
              <w:t>[WI §6] Section 6 / In-process check — Document start-up/first piece, frequency, sample quantity and shift coverage according to an approved control plan; every performed check shall have time, inspected sample/lot, actual value or code, P/F/H disposition and inspector identification. Blank time slots require an approved N/A/not-performed explanation. Failed checks trigger hold and escalation.</w:t>
            </w:r>
          </w:p>
        </w:tc>
        <w:tc>
          <w:tcPr>
            <w:tcW w:type="dxa" w:w="2952"/>
            <w:vAlign w:val="top"/>
            <w:shd w:fill="F1F5F9"/>
          </w:tcPr>
          <w:p>
            <w:pPr>
              <w:spacing w:after="40"/>
            </w:pPr>
            <w:r>
              <w:rPr>
                <w:rFonts w:ascii="Aptos" w:hAnsi="Aptos"/>
                <w:sz w:val="16"/>
              </w:rPr>
              <w:t>Form rows 8–9: Time (Hours), E9:P9 = 7,8,9,10,11,12,1,2,3,4,5,6; inspection cells blank; no printed coding legend, sample-size or first-piece field.</w:t>
            </w:r>
          </w:p>
        </w:tc>
        <w:tc>
          <w:tcPr>
            <w:tcW w:type="dxa" w:w="3744"/>
            <w:vAlign w:val="top"/>
            <w:shd w:fill="F1F5F9"/>
          </w:tcPr>
          <w:p>
            <w:pPr>
              <w:spacing w:after="40"/>
            </w:pPr>
            <w:r>
              <w:rPr>
                <w:rFonts w:ascii="Aptos" w:hAnsi="Aptos"/>
                <w:sz w:val="16"/>
              </w:rPr>
              <w:t>First-piece sample ID ______; approved sample size/frequency ______; time ______; actual finding/value ______; P/F/H/N/A ______; inspector ______; instrument ID ______; action if fail ______; approved not-performed reason ______.</w:t>
            </w:r>
          </w:p>
        </w:tc>
        <w:tc>
          <w:tcPr>
            <w:tcW w:type="dxa" w:w="3816"/>
            <w:vAlign w:val="top"/>
            <w:shd w:fill="F1F5F9"/>
          </w:tcPr>
          <w:p>
            <w:pPr>
              <w:spacing w:after="40"/>
            </w:pPr>
            <w:r>
              <w:rPr>
                <w:rFonts w:ascii="Aptos" w:hAnsi="Aptos"/>
                <w:sz w:val="16"/>
              </w:rPr>
              <w:t>Required Evidence: Approved risk-based control plan, completed signed first-piece and shift records, deviation investigation for failures.</w:t>
              <w:br/>
              <w:t>Verification / Control Route: Routine in-process</w:t>
              <w:br/>
              <w:t>Evidence Reference: Pending (none provided).</w:t>
              <w:br/>
              <w:t>Closure Criteria: Approved control + verified applicable objective evidence.</w:t>
              <w:br/>
              <w:t>Current Closure Status: Open — Technical Input (NOT VERIFIED CLOSED).</w:t>
            </w:r>
          </w:p>
        </w:tc>
      </w:tr>
      <w:tr>
        <w:tc>
          <w:tcPr>
            <w:tcW w:type="dxa" w:w="3096"/>
            <w:vAlign w:val="top"/>
          </w:tcPr>
          <w:p>
            <w:pPr>
              <w:spacing w:after="40"/>
            </w:pPr>
            <w:r>
              <w:rPr>
                <w:rFonts w:ascii="Aptos" w:hAnsi="Aptos"/>
                <w:sz w:val="16"/>
              </w:rPr>
              <w:t>GAP-009 | P2 | Incoming release and supplier-to-kit traceability</w:t>
              <w:br/>
              <w:t>Identified from cross-document comparison; current control is ambiguous, inconsistent or lacks traceable verification.</w:t>
            </w:r>
          </w:p>
        </w:tc>
        <w:tc>
          <w:tcPr>
            <w:tcW w:type="dxa" w:w="2952"/>
            <w:vAlign w:val="top"/>
          </w:tcPr>
          <w:p>
            <w:pPr>
              <w:spacing w:after="40"/>
            </w:pPr>
            <w:r>
              <w:rPr>
                <w:rFonts w:ascii="Aptos" w:hAnsi="Aptos"/>
                <w:sz w:val="16"/>
              </w:rPr>
              <w:t>ISO 20697:2018 §5.1 (printed p.3) requires risk management of the drainage device; specific receipt/AQL criteria are governed by the company’s approved plan. [Official PDF page: NOT VERIFIED]</w:t>
            </w:r>
          </w:p>
        </w:tc>
        <w:tc>
          <w:tcPr>
            <w:tcW w:type="dxa" w:w="3024"/>
            <w:vAlign w:val="top"/>
          </w:tcPr>
          <w:p>
            <w:pPr>
              <w:spacing w:after="40"/>
            </w:pPr>
            <w:r>
              <w:rPr>
                <w:rFonts w:ascii="Aptos" w:hAnsi="Aptos"/>
                <w:sz w:val="16"/>
              </w:rPr>
              <w:t>WI p.1 §5.1.1–5.1.5: compare receipt/P.O., inspect cartons, AQL normal sampling and OBM record.</w:t>
            </w:r>
          </w:p>
        </w:tc>
        <w:tc>
          <w:tcPr>
            <w:tcW w:type="dxa" w:w="4104"/>
            <w:vAlign w:val="top"/>
          </w:tcPr>
          <w:p>
            <w:pPr>
              <w:spacing w:after="40"/>
            </w:pPr>
            <w:r>
              <w:rPr>
                <w:rFonts w:ascii="Aptos" w:hAnsi="Aptos"/>
                <w:sz w:val="16"/>
              </w:rPr>
              <w:t>[WI §5] Section 5 / Incoming — Verify each component lot is accepted or conditionally released under an approved receiving control; link purchase order, supplier lot, incoming report ID and production order. Follow the approved AQL plan; no sampling level or AQL number is introduced by this revision. Do not issue blocked/quarantined components.</w:t>
            </w:r>
          </w:p>
        </w:tc>
        <w:tc>
          <w:tcPr>
            <w:tcW w:type="dxa" w:w="2952"/>
            <w:vAlign w:val="top"/>
          </w:tcPr>
          <w:p>
            <w:pPr>
              <w:spacing w:after="40"/>
            </w:pPr>
            <w:r>
              <w:rPr>
                <w:rFonts w:ascii="Aptos" w:hAnsi="Aptos"/>
                <w:sz w:val="16"/>
              </w:rPr>
              <w:t>Form B6/B7 has Type and Lot only, with 19 item rows; supplier lots and incoming release references not present.</w:t>
            </w:r>
          </w:p>
        </w:tc>
        <w:tc>
          <w:tcPr>
            <w:tcW w:type="dxa" w:w="3744"/>
            <w:vAlign w:val="top"/>
          </w:tcPr>
          <w:p>
            <w:pPr>
              <w:spacing w:after="40"/>
            </w:pPr>
            <w:r>
              <w:rPr>
                <w:rFonts w:ascii="Aptos" w:hAnsi="Aptos"/>
                <w:sz w:val="16"/>
              </w:rPr>
              <w:t>Header/linked sheet: Production order ______; kit lot ______; product type ______; per-component supplier lot ______; incoming acceptance reference ______; issue/release status ______; check initials ______.</w:t>
            </w:r>
          </w:p>
        </w:tc>
        <w:tc>
          <w:tcPr>
            <w:tcW w:type="dxa" w:w="3816"/>
            <w:vAlign w:val="top"/>
          </w:tcPr>
          <w:p>
            <w:pPr>
              <w:spacing w:after="40"/>
            </w:pPr>
            <w:r>
              <w:rPr>
                <w:rFonts w:ascii="Aptos" w:hAnsi="Aptos"/>
                <w:sz w:val="16"/>
              </w:rPr>
              <w:t>Required Evidence: Approved receiving records/OBM inspection, lot traceability, completed issue slip and approved control plan.</w:t>
              <w:br/>
              <w:t>Verification / Control Route: Incoming / Routine in-process</w:t>
              <w:br/>
              <w:t>Evidence Reference: Pending (none provided).</w:t>
              <w:br/>
              <w:t>Closure Criteria: Approved control + verified applicable objective evidence.</w:t>
              <w:br/>
              <w:t>Current Closure Status: Open — Evidence (NOT VERIFIED CLOSED).</w:t>
            </w:r>
          </w:p>
        </w:tc>
      </w:tr>
      <w:tr>
        <w:tc>
          <w:tcPr>
            <w:tcW w:type="dxa" w:w="3096"/>
            <w:vAlign w:val="top"/>
            <w:shd w:fill="F1F5F9"/>
          </w:tcPr>
          <w:p>
            <w:pPr>
              <w:spacing w:after="40"/>
            </w:pPr>
            <w:r>
              <w:rPr>
                <w:rFonts w:ascii="Aptos" w:hAnsi="Aptos"/>
                <w:sz w:val="16"/>
              </w:rPr>
              <w:t>GAP-010 | P2 | Surgical instrument / protective items not reconciled</w:t>
              <w:br/>
              <w:t>Identified from cross-document comparison; current control is ambiguous, inconsistent or lacks traceable verification.</w:t>
            </w:r>
          </w:p>
        </w:tc>
        <w:tc>
          <w:tcPr>
            <w:tcW w:type="dxa" w:w="2952"/>
            <w:vAlign w:val="top"/>
            <w:shd w:fill="F1F5F9"/>
          </w:tcPr>
          <w:p>
            <w:pPr>
              <w:spacing w:after="40"/>
            </w:pPr>
            <w:r>
              <w:rPr>
                <w:rFonts w:ascii="Aptos" w:hAnsi="Aptos"/>
                <w:sz w:val="16"/>
              </w:rPr>
              <w:t>Company-approved kit configuration issue; ISO 20697 does not prescribe Kelly clamp, needle holder, scissors or hospital wrap for all drainage kits. [Official PDF page: NOT VERIFIED]</w:t>
            </w:r>
          </w:p>
        </w:tc>
        <w:tc>
          <w:tcPr>
            <w:tcW w:type="dxa" w:w="3024"/>
            <w:vAlign w:val="top"/>
            <w:shd w:fill="F1F5F9"/>
          </w:tcPr>
          <w:p>
            <w:pPr>
              <w:spacing w:after="40"/>
            </w:pPr>
            <w:r>
              <w:rPr>
                <w:rFonts w:ascii="Aptos" w:hAnsi="Aptos"/>
                <w:sz w:val="16"/>
              </w:rPr>
              <w:t>WI pp.1–3 §§5.6, 5.9, 5.12, 6.1: scissors, tape, scalpel and related items, without the same list as the form.</w:t>
            </w:r>
          </w:p>
        </w:tc>
        <w:tc>
          <w:tcPr>
            <w:tcW w:type="dxa" w:w="4104"/>
            <w:vAlign w:val="top"/>
            <w:shd w:fill="F1F5F9"/>
          </w:tcPr>
          <w:p>
            <w:pPr>
              <w:spacing w:after="40"/>
            </w:pPr>
            <w:r>
              <w:rPr>
                <w:rFonts w:ascii="Aptos" w:hAnsi="Aptos"/>
                <w:sz w:val="16"/>
              </w:rPr>
              <w:t>[WI §5] Section 5 / Additional components — Verify whether Mayo scissors, two Kelly clamps, needle holder, scalpel type, surgical tape, hospital wrap and compartment tray belong to the approved model-specific BOM. Define each item by controlled identifier, quantity, dimensions where applicable and defect criteria; use approved vendor evidence for material and performance.</w:t>
            </w:r>
          </w:p>
        </w:tc>
        <w:tc>
          <w:tcPr>
            <w:tcW w:type="dxa" w:w="2952"/>
            <w:vAlign w:val="top"/>
            <w:shd w:fill="F1F5F9"/>
          </w:tcPr>
          <w:p>
            <w:pPr>
              <w:spacing w:after="40"/>
            </w:pPr>
            <w:r>
              <w:rPr>
                <w:rFonts w:ascii="Aptos" w:hAnsi="Aptos"/>
                <w:sz w:val="16"/>
              </w:rPr>
              <w:t>Form rows 15–16 (Kelly clamps), 19 (needle holder), 23 (Mayo scissor), 24 (scalpel), 27–28 (tray/wrap). No surgical tape line.</w:t>
            </w:r>
          </w:p>
        </w:tc>
        <w:tc>
          <w:tcPr>
            <w:tcW w:type="dxa" w:w="3744"/>
            <w:vAlign w:val="top"/>
            <w:shd w:fill="F1F5F9"/>
          </w:tcPr>
          <w:p>
            <w:pPr>
              <w:spacing w:after="40"/>
            </w:pPr>
            <w:r>
              <w:rPr>
                <w:rFonts w:ascii="Aptos" w:hAnsi="Aptos"/>
                <w:sz w:val="16"/>
              </w:rPr>
              <w:t>Complete component matrix with all approved components, including tape if required; item code ______; count ______; sample ID ______; functional/appearance result ______; supplier cert ______; decision ______.</w:t>
            </w:r>
          </w:p>
        </w:tc>
        <w:tc>
          <w:tcPr>
            <w:tcW w:type="dxa" w:w="3816"/>
            <w:vAlign w:val="top"/>
            <w:shd w:fill="F1F5F9"/>
          </w:tcPr>
          <w:p>
            <w:pPr>
              <w:spacing w:after="40"/>
            </w:pPr>
            <w:r>
              <w:rPr>
                <w:rFonts w:ascii="Aptos" w:hAnsi="Aptos"/>
                <w:sz w:val="16"/>
              </w:rPr>
              <w:t>Required Evidence: Current signed BOM and supplier component acceptance evidence; reconciled part names; completed assembly records.</w:t>
              <w:br/>
              <w:t>Verification / Control Route: Incoming / In-process</w:t>
              <w:br/>
              <w:t>Evidence Reference: Pending (none provided).</w:t>
              <w:br/>
              <w:t>Closure Criteria: Approved control + verified applicable objective evidence.</w:t>
              <w:br/>
              <w:t>Current Closure Status: Open — Technical Input (NOT VERIFIED CLOSED).</w:t>
            </w:r>
          </w:p>
        </w:tc>
      </w:tr>
      <w:tr>
        <w:tc>
          <w:tcPr>
            <w:tcW w:type="dxa" w:w="3096"/>
            <w:vAlign w:val="top"/>
          </w:tcPr>
          <w:p>
            <w:pPr>
              <w:spacing w:after="40"/>
            </w:pPr>
            <w:r>
              <w:rPr>
                <w:rFonts w:ascii="Aptos" w:hAnsi="Aptos"/>
                <w:sz w:val="16"/>
              </w:rPr>
              <w:t>GAP-011 | P1 | Qualification evidence for safe access, kink and drainage performance</w:t>
              <w:br/>
              <w:t>Identified from cross-document comparison; current control is ambiguous, inconsistent or lacks traceable verification.</w:t>
            </w:r>
          </w:p>
        </w:tc>
        <w:tc>
          <w:tcPr>
            <w:tcW w:type="dxa" w:w="2952"/>
            <w:vAlign w:val="top"/>
          </w:tcPr>
          <w:p>
            <w:pPr>
              <w:spacing w:after="40"/>
            </w:pPr>
            <w:r>
              <w:rPr>
                <w:rFonts w:ascii="Aptos" w:hAnsi="Aptos"/>
                <w:sz w:val="16"/>
              </w:rPr>
              <w:t>ISO 20697:2018 §4 printed p.3 requires safe access/drainage; §6.1 printed p.6 requires clinically appropriate kink stability determined by manufacturer/risk assessment; Annex A informative. [Official PDF page: NOT VERIFIED]</w:t>
            </w:r>
          </w:p>
        </w:tc>
        <w:tc>
          <w:tcPr>
            <w:tcW w:type="dxa" w:w="3024"/>
            <w:vAlign w:val="top"/>
          </w:tcPr>
          <w:p>
            <w:pPr>
              <w:spacing w:after="40"/>
            </w:pPr>
            <w:r>
              <w:rPr>
                <w:rFonts w:ascii="Aptos" w:hAnsi="Aptos"/>
                <w:sz w:val="16"/>
              </w:rPr>
              <w:t>WI p.1 §5.2.1 describes catheter physical appearance; p.3 §6.5 QC checks components; no placement/kink qualification reference.</w:t>
            </w:r>
          </w:p>
        </w:tc>
        <w:tc>
          <w:tcPr>
            <w:tcW w:type="dxa" w:w="4104"/>
            <w:vAlign w:val="top"/>
          </w:tcPr>
          <w:p>
            <w:pPr>
              <w:spacing w:after="40"/>
            </w:pPr>
            <w:r>
              <w:rPr>
                <w:rFonts w:ascii="Aptos" w:hAnsi="Aptos"/>
                <w:sz w:val="16"/>
              </w:rPr>
              <w:t>[WI §9] Section 9 / Product qualification — Engineering/QA shall maintain approved, product-configuration-linked evidence that the chest drainage catheter safely accesses its intended site and maintains drainage. Define the risk-based kink acceptance criterion and test or justified equivalent control in a signed qualification plan; use Annex A only where approved. Production shall verify that the qualified catheter specification and supplier revision remain unchanged.</w:t>
            </w:r>
          </w:p>
        </w:tc>
        <w:tc>
          <w:tcPr>
            <w:tcW w:type="dxa" w:w="2952"/>
            <w:vAlign w:val="top"/>
          </w:tcPr>
          <w:p>
            <w:pPr>
              <w:spacing w:after="40"/>
            </w:pPr>
            <w:r>
              <w:rPr>
                <w:rFonts w:ascii="Aptos" w:hAnsi="Aptos"/>
                <w:sz w:val="16"/>
              </w:rPr>
              <w:t>Form row 11 describes appearance, X-ray line and trocar; no safe-access, kink or drainage qualification evidence reference.</w:t>
            </w:r>
          </w:p>
        </w:tc>
        <w:tc>
          <w:tcPr>
            <w:tcW w:type="dxa" w:w="3744"/>
            <w:vAlign w:val="top"/>
          </w:tcPr>
          <w:p>
            <w:pPr>
              <w:spacing w:after="40"/>
            </w:pPr>
            <w:r>
              <w:rPr>
                <w:rFonts w:ascii="Aptos" w:hAnsi="Aptos"/>
                <w:sz w:val="16"/>
              </w:rPr>
              <w:t>Do not introduce hourly kink testing. Add Qualification/Design Verification reference: approved study ID ______; tested variant ______; risk acceptance ______; date/revision ______; QC verified linkage ______; status ______.</w:t>
            </w:r>
          </w:p>
        </w:tc>
        <w:tc>
          <w:tcPr>
            <w:tcW w:type="dxa" w:w="3816"/>
            <w:vAlign w:val="top"/>
          </w:tcPr>
          <w:p>
            <w:pPr>
              <w:spacing w:after="40"/>
            </w:pPr>
            <w:r>
              <w:rPr>
                <w:rFonts w:ascii="Aptos" w:hAnsi="Aptos"/>
                <w:sz w:val="16"/>
              </w:rPr>
              <w:t>Required Evidence: Approved risk file, engineering verification and/or clinical performance evidence, configuration bridge; current lot link.</w:t>
              <w:br/>
              <w:t>Verification / Control Route: Qualification / Periodic</w:t>
              <w:br/>
              <w:t>Evidence Reference: Pending (none provided).</w:t>
              <w:br/>
              <w:t>Closure Criteria: Approved control + verified applicable objective evidence.</w:t>
              <w:br/>
              <w:t>Current Closure Status: Open — Evidence (NOT VERIFIED CLOSED).</w:t>
            </w:r>
          </w:p>
        </w:tc>
      </w:tr>
      <w:tr>
        <w:tc>
          <w:tcPr>
            <w:tcW w:type="dxa" w:w="3096"/>
            <w:vAlign w:val="top"/>
            <w:shd w:fill="F1F5F9"/>
          </w:tcPr>
          <w:p>
            <w:pPr>
              <w:spacing w:after="40"/>
            </w:pPr>
            <w:r>
              <w:rPr>
                <w:rFonts w:ascii="Aptos" w:hAnsi="Aptos"/>
                <w:sz w:val="16"/>
              </w:rPr>
              <w:t>GAP-012 | P1 | Unverified risk management and biological evaluation</w:t>
              <w:br/>
              <w:t>Identified from cross-document comparison; current control is ambiguous, inconsistent or lacks traceable verification.</w:t>
            </w:r>
          </w:p>
        </w:tc>
        <w:tc>
          <w:tcPr>
            <w:tcW w:type="dxa" w:w="2952"/>
            <w:vAlign w:val="top"/>
            <w:shd w:fill="F1F5F9"/>
          </w:tcPr>
          <w:p>
            <w:pPr>
              <w:spacing w:after="40"/>
            </w:pPr>
            <w:r>
              <w:rPr>
                <w:rFonts w:ascii="Aptos" w:hAnsi="Aptos"/>
                <w:sz w:val="16"/>
              </w:rPr>
              <w:t>ISO 20697:2018 §5.1 printed p.3 requires risk analysis; §5.2 printed p.4 calls for biological hazard evaluation via appropriate ISO 10993-1 testing. [Official PDF page: NOT VERIFIED]</w:t>
            </w:r>
          </w:p>
        </w:tc>
        <w:tc>
          <w:tcPr>
            <w:tcW w:type="dxa" w:w="3024"/>
            <w:vAlign w:val="top"/>
            <w:shd w:fill="F1F5F9"/>
          </w:tcPr>
          <w:p>
            <w:pPr>
              <w:spacing w:after="40"/>
            </w:pPr>
            <w:r>
              <w:rPr>
                <w:rFonts w:ascii="Aptos" w:hAnsi="Aptos"/>
                <w:sz w:val="16"/>
              </w:rPr>
              <w:t>WI pp.1–4 does not reference risk management file or biological evaluation record for chest catheter; contains appearance checks only.</w:t>
            </w:r>
          </w:p>
        </w:tc>
        <w:tc>
          <w:tcPr>
            <w:tcW w:type="dxa" w:w="4104"/>
            <w:vAlign w:val="top"/>
            <w:shd w:fill="F1F5F9"/>
          </w:tcPr>
          <w:p>
            <w:pPr>
              <w:spacing w:after="40"/>
            </w:pPr>
            <w:r>
              <w:rPr>
                <w:rFonts w:ascii="Aptos" w:hAnsi="Aptos"/>
                <w:sz w:val="16"/>
              </w:rPr>
              <w:t>[WI §9] Section 9 / Risk and biocompatibility — Prior to controlled implementation, QA shall verify the approved ISO 20697 risk-management applicability matrix and biological evaluation of each relevant patient-contacting catheter/material. Controls shall remain linked to material, sterilization, use duration and configuration. A routine visible-material check is NOT biological safety verification.</w:t>
            </w:r>
          </w:p>
        </w:tc>
        <w:tc>
          <w:tcPr>
            <w:tcW w:type="dxa" w:w="2952"/>
            <w:vAlign w:val="top"/>
            <w:shd w:fill="F1F5F9"/>
          </w:tcPr>
          <w:p>
            <w:pPr>
              <w:spacing w:after="40"/>
            </w:pPr>
            <w:r>
              <w:rPr>
                <w:rFonts w:ascii="Aptos" w:hAnsi="Aptos"/>
                <w:sz w:val="16"/>
              </w:rPr>
              <w:t>No risk or biological evaluation field in in-process form rows 10–28.</w:t>
            </w:r>
          </w:p>
        </w:tc>
        <w:tc>
          <w:tcPr>
            <w:tcW w:type="dxa" w:w="3744"/>
            <w:vAlign w:val="top"/>
            <w:shd w:fill="F1F5F9"/>
          </w:tcPr>
          <w:p>
            <w:pPr>
              <w:spacing w:after="40"/>
            </w:pPr>
            <w:r>
              <w:rPr>
                <w:rFonts w:ascii="Aptos" w:hAnsi="Aptos"/>
                <w:sz w:val="16"/>
              </w:rPr>
              <w:t>Control record linkage only: risk file ID/rev ______; biological evaluation ID/rev ______; authorized applicable configuration ______; reviewed by ______; disposition ______.</w:t>
            </w:r>
          </w:p>
        </w:tc>
        <w:tc>
          <w:tcPr>
            <w:tcW w:type="dxa" w:w="3816"/>
            <w:vAlign w:val="top"/>
            <w:shd w:fill="F1F5F9"/>
          </w:tcPr>
          <w:p>
            <w:pPr>
              <w:spacing w:after="40"/>
            </w:pPr>
            <w:r>
              <w:rPr>
                <w:rFonts w:ascii="Aptos" w:hAnsi="Aptos"/>
                <w:sz w:val="16"/>
              </w:rPr>
              <w:t>Required Evidence: Approved product-specific risk management, ISO 10993-1-based evaluation and any required supporting test reports; evidence missing.</w:t>
              <w:br/>
              <w:t>Verification / Control Route: Qualification / Design / Supplier</w:t>
              <w:br/>
              <w:t>Evidence Reference: Pending (none provided).</w:t>
              <w:br/>
              <w:t>Closure Criteria: Approved control + verified applicable objective evidence.</w:t>
              <w:br/>
              <w:t>Current Closure Status: Open — Evidence (NOT VERIFIED CLOSED).</w:t>
            </w:r>
          </w:p>
        </w:tc>
      </w:tr>
      <w:tr>
        <w:tc>
          <w:tcPr>
            <w:tcW w:type="dxa" w:w="3096"/>
            <w:vAlign w:val="top"/>
          </w:tcPr>
          <w:p>
            <w:pPr>
              <w:spacing w:after="40"/>
            </w:pPr>
            <w:r>
              <w:rPr>
                <w:rFonts w:ascii="Aptos" w:hAnsi="Aptos"/>
                <w:sz w:val="16"/>
              </w:rPr>
              <w:t>GAP-013 | P1 | Negative-pressure integrity verification not linked</w:t>
              <w:br/>
              <w:t>Identified from cross-document comparison; current control is ambiguous, inconsistent or lacks traceable verification.</w:t>
            </w:r>
          </w:p>
        </w:tc>
        <w:tc>
          <w:tcPr>
            <w:tcW w:type="dxa" w:w="2952"/>
            <w:vAlign w:val="top"/>
          </w:tcPr>
          <w:p>
            <w:pPr>
              <w:spacing w:after="40"/>
            </w:pPr>
            <w:r>
              <w:rPr>
                <w:rFonts w:ascii="Aptos" w:hAnsi="Aptos"/>
                <w:sz w:val="16"/>
              </w:rPr>
              <w:t>ISO 20697:2018 §§6.3, 6.11 printed pp.6,8 — if designed for negative pressure, no function-impairing collapse at manufacturer-defined maximum negative pressure, and no air leakage during aspiration; Annexes C and M normative. [Official PDF page: NOT VERIFIED]</w:t>
            </w:r>
          </w:p>
        </w:tc>
        <w:tc>
          <w:tcPr>
            <w:tcW w:type="dxa" w:w="3024"/>
            <w:vAlign w:val="top"/>
          </w:tcPr>
          <w:p>
            <w:pPr>
              <w:spacing w:after="40"/>
            </w:pPr>
            <w:r>
              <w:rPr>
                <w:rFonts w:ascii="Aptos" w:hAnsi="Aptos"/>
                <w:sz w:val="16"/>
              </w:rPr>
              <w:t>WI p.1 catheter inspection and p.3 assembly checks lack maximum negative pressure or controlled reference to negative-pressure verification.</w:t>
            </w:r>
          </w:p>
        </w:tc>
        <w:tc>
          <w:tcPr>
            <w:tcW w:type="dxa" w:w="4104"/>
            <w:vAlign w:val="top"/>
          </w:tcPr>
          <w:p>
            <w:pPr>
              <w:spacing w:after="40"/>
            </w:pPr>
            <w:r>
              <w:rPr>
                <w:rFonts w:ascii="Aptos" w:hAnsi="Aptos"/>
                <w:sz w:val="16"/>
              </w:rPr>
              <w:t>[WI §9] Section 9 / Negative pressure (conditional) — Determine whether the supplied catheter/system is intended to operate under suction. If yes, Engineering shall approve maximum negative pressure (Pa), expected configuration, Annex C collapse test and Annex M leak test as applicable. Under Annex C, condition inserted parts at 37 ± 2 °C for &gt;=15 min and apply approved maximum suction for &gt;=60 s; accept only if no function-limiting deformation. Evaluate leakage per Annex M. Otherwise document an evidence-based Not Applicable decision.</w:t>
            </w:r>
          </w:p>
        </w:tc>
        <w:tc>
          <w:tcPr>
            <w:tcW w:type="dxa" w:w="2952"/>
            <w:vAlign w:val="top"/>
          </w:tcPr>
          <w:p>
            <w:pPr>
              <w:spacing w:after="40"/>
            </w:pPr>
            <w:r>
              <w:rPr>
                <w:rFonts w:ascii="Aptos" w:hAnsi="Aptos"/>
                <w:sz w:val="16"/>
              </w:rPr>
              <w:t>In-process form row 11 has no collapse, vacuum-leak or qualification linkage.</w:t>
            </w:r>
          </w:p>
        </w:tc>
        <w:tc>
          <w:tcPr>
            <w:tcW w:type="dxa" w:w="3744"/>
            <w:vAlign w:val="top"/>
          </w:tcPr>
          <w:p>
            <w:pPr>
              <w:spacing w:after="40"/>
            </w:pPr>
            <w:r>
              <w:rPr>
                <w:rFonts w:ascii="Aptos" w:hAnsi="Aptos"/>
                <w:sz w:val="16"/>
              </w:rPr>
              <w:t>No per-hour suction test by default. Negative-pressure applicability (Y/N) ______; max suction (Pa) ______; Annex C report ______; Annex M report ______; tested type/rev ______; qualification validity ______.</w:t>
            </w:r>
          </w:p>
        </w:tc>
        <w:tc>
          <w:tcPr>
            <w:tcW w:type="dxa" w:w="3816"/>
            <w:vAlign w:val="top"/>
          </w:tcPr>
          <w:p>
            <w:pPr>
              <w:spacing w:after="40"/>
            </w:pPr>
            <w:r>
              <w:rPr>
                <w:rFonts w:ascii="Aptos" w:hAnsi="Aptos"/>
                <w:sz w:val="16"/>
              </w:rPr>
              <w:t>Required Evidence: Authorized intended-use/label, signed max suction, completed Annex C/M report or approved alternative, risk-based plan and applicability decision.</w:t>
              <w:br/>
              <w:t>Verification / Control Route: Qualification / Periodic</w:t>
              <w:br/>
              <w:t>Evidence Reference: Pending (none provided).</w:t>
              <w:br/>
              <w:t>Closure Criteria: Approved control + verified applicable objective evidence.</w:t>
              <w:br/>
              <w:t>Current Closure Status: Open — Technical Input (NOT VERIFIED CLOSED).</w:t>
            </w:r>
          </w:p>
        </w:tc>
      </w:tr>
      <w:tr>
        <w:tc>
          <w:tcPr>
            <w:tcW w:type="dxa" w:w="3096"/>
            <w:vAlign w:val="top"/>
            <w:shd w:fill="F1F5F9"/>
          </w:tcPr>
          <w:p>
            <w:pPr>
              <w:spacing w:after="40"/>
            </w:pPr>
            <w:r>
              <w:rPr>
                <w:rFonts w:ascii="Aptos" w:hAnsi="Aptos"/>
                <w:sz w:val="16"/>
              </w:rPr>
              <w:t>GAP-014 | P1 | Connection and catheter tensile force evidence not linked</w:t>
              <w:br/>
              <w:t>Identified from cross-document comparison; current control is ambiguous, inconsistent or lacks traceable verification.</w:t>
            </w:r>
          </w:p>
        </w:tc>
        <w:tc>
          <w:tcPr>
            <w:tcW w:type="dxa" w:w="2952"/>
            <w:vAlign w:val="top"/>
            <w:shd w:fill="F1F5F9"/>
          </w:tcPr>
          <w:p>
            <w:pPr>
              <w:spacing w:after="40"/>
            </w:pPr>
            <w:r>
              <w:rPr>
                <w:rFonts w:ascii="Aptos" w:hAnsi="Aptos"/>
                <w:sz w:val="16"/>
              </w:rPr>
              <w:t>ISO 20697:2018 §6.4.1/Table 1 printed pp.6–7: external connections OD 2–4 mm &gt;=5 N; &gt;4 mm &gt;=15 N. §6.4.2/Table 2 printed p.7: catheter tubular parts OD 2–4 mm &gt;=10 N; &gt;4 mm &gt;=20 N. &lt;2 mm: manufacturer risk-based. Annex D/E normative. [Official PDF page: NOT VERIFIED]</w:t>
            </w:r>
          </w:p>
        </w:tc>
        <w:tc>
          <w:tcPr>
            <w:tcW w:type="dxa" w:w="3024"/>
            <w:vAlign w:val="top"/>
            <w:shd w:fill="F1F5F9"/>
          </w:tcPr>
          <w:p>
            <w:pPr>
              <w:spacing w:after="40"/>
            </w:pPr>
            <w:r>
              <w:rPr>
                <w:rFonts w:ascii="Aptos" w:hAnsi="Aptos"/>
                <w:sz w:val="16"/>
              </w:rPr>
              <w:t>WI p.1 §5.2.1 physical checks, p.3 §6.5 component review; no connection or catheter force qualification linkage.</w:t>
            </w:r>
          </w:p>
        </w:tc>
        <w:tc>
          <w:tcPr>
            <w:tcW w:type="dxa" w:w="4104"/>
            <w:vAlign w:val="top"/>
            <w:shd w:fill="F1F5F9"/>
          </w:tcPr>
          <w:p>
            <w:pPr>
              <w:spacing w:after="40"/>
            </w:pPr>
            <w:r>
              <w:rPr>
                <w:rFonts w:ascii="Aptos" w:hAnsi="Aptos"/>
                <w:sz w:val="16"/>
              </w:rPr>
              <w:t>[WI §9] Section 9 / Mechanical qualification — For applicable catheter segments and compatible external connections, QA/Engineering shall verify approved tensile results conform to ISO 20697 Tables 1 and 2 using Annex D/E. Determine specimen OD before selecting limits. Annex D connection loading rate 500 mm/min; Annex E specimen procedure per standard. Retain sample ID, peak force N, condition, break/separation location and test instrument. For OD &lt;2 mm, obtain approved risk-based criterion; never assume ISO gives a value.</w:t>
            </w:r>
          </w:p>
        </w:tc>
        <w:tc>
          <w:tcPr>
            <w:tcW w:type="dxa" w:w="2952"/>
            <w:vAlign w:val="top"/>
            <w:shd w:fill="F1F5F9"/>
          </w:tcPr>
          <w:p>
            <w:pPr>
              <w:spacing w:after="40"/>
            </w:pPr>
            <w:r>
              <w:rPr>
                <w:rFonts w:ascii="Aptos" w:hAnsi="Aptos"/>
                <w:sz w:val="16"/>
              </w:rPr>
              <w:t>No tensile checks or qualification reference in F-823-i133 rows 10–28.</w:t>
            </w:r>
          </w:p>
        </w:tc>
        <w:tc>
          <w:tcPr>
            <w:tcW w:type="dxa" w:w="3744"/>
            <w:vAlign w:val="top"/>
            <w:shd w:fill="F1F5F9"/>
          </w:tcPr>
          <w:p>
            <w:pPr>
              <w:spacing w:after="40"/>
            </w:pPr>
            <w:r>
              <w:rPr>
                <w:rFonts w:ascii="Aptos" w:hAnsi="Aptos"/>
                <w:sz w:val="16"/>
              </w:rPr>
              <w:t>Separate controlled-qualification linkage (not hourly): OD (mm) ______; Table1 connection criterion (N) ______; Table2 segment criterion (N) ______; Annex D/E report IDs ______; status ______.</w:t>
            </w:r>
          </w:p>
        </w:tc>
        <w:tc>
          <w:tcPr>
            <w:tcW w:type="dxa" w:w="3816"/>
            <w:vAlign w:val="top"/>
            <w:shd w:fill="F1F5F9"/>
          </w:tcPr>
          <w:p>
            <w:pPr>
              <w:spacing w:after="40"/>
            </w:pPr>
            <w:r>
              <w:rPr>
                <w:rFonts w:ascii="Aptos" w:hAnsi="Aptos"/>
                <w:sz w:val="16"/>
              </w:rPr>
              <w:t>Required Evidence: Signed design verification plan and Annex D/E measurement worksheets with gauge length/diameter; test equipment calibration, risk file and lot/spec linkage.</w:t>
              <w:br/>
              <w:t>Verification / Control Route: Qualification / Supplier</w:t>
              <w:br/>
              <w:t>Evidence Reference: Pending (none provided).</w:t>
              <w:br/>
              <w:t>Closure Criteria: Approved control + verified applicable objective evidence.</w:t>
              <w:br/>
              <w:t>Current Closure Status: Open — Technical Input (NOT VERIFIED CLOSED).</w:t>
            </w:r>
          </w:p>
        </w:tc>
      </w:tr>
      <w:tr>
        <w:tc>
          <w:tcPr>
            <w:tcW w:type="dxa" w:w="3096"/>
            <w:vAlign w:val="top"/>
          </w:tcPr>
          <w:p>
            <w:pPr>
              <w:spacing w:after="40"/>
            </w:pPr>
            <w:r>
              <w:rPr>
                <w:rFonts w:ascii="Aptos" w:hAnsi="Aptos"/>
                <w:sz w:val="16"/>
              </w:rPr>
              <w:t>GAP-015 | P1 | Declared catheter flow performance not verified</w:t>
              <w:br/>
              <w:t>Identified from cross-document comparison; current control is ambiguous, inconsistent or lacks traceable verification.</w:t>
            </w:r>
          </w:p>
        </w:tc>
        <w:tc>
          <w:tcPr>
            <w:tcW w:type="dxa" w:w="2952"/>
            <w:vAlign w:val="top"/>
          </w:tcPr>
          <w:p>
            <w:pPr>
              <w:spacing w:after="40"/>
            </w:pPr>
            <w:r>
              <w:rPr>
                <w:rFonts w:ascii="Aptos" w:hAnsi="Aptos"/>
                <w:sz w:val="16"/>
              </w:rPr>
              <w:t>ISO 20697:2018 §6.6 printed p.7: IF flow rate is claimed, each lumen must attain &gt;=80% claimed flow if nominal OD &lt;1.0 mm, or &gt;=90% if OD &gt;=1.0 mm; Annex G normative. [Official PDF page: NOT VERIFIED]</w:t>
            </w:r>
          </w:p>
        </w:tc>
        <w:tc>
          <w:tcPr>
            <w:tcW w:type="dxa" w:w="3024"/>
            <w:vAlign w:val="top"/>
          </w:tcPr>
          <w:p>
            <w:pPr>
              <w:spacing w:after="40"/>
            </w:pPr>
            <w:r>
              <w:rPr>
                <w:rFonts w:ascii="Aptos" w:hAnsi="Aptos"/>
                <w:sz w:val="16"/>
              </w:rPr>
              <w:t>WI p.1 §5.2.1 does not mention flow claims or controlled functional test, only dimensional/visual criteria.</w:t>
            </w:r>
          </w:p>
        </w:tc>
        <w:tc>
          <w:tcPr>
            <w:tcW w:type="dxa" w:w="4104"/>
            <w:vAlign w:val="top"/>
          </w:tcPr>
          <w:p>
            <w:pPr>
              <w:spacing w:after="40"/>
            </w:pPr>
            <w:r>
              <w:rPr>
                <w:rFonts w:ascii="Aptos" w:hAnsi="Aptos"/>
                <w:sz w:val="16"/>
              </w:rPr>
              <w:t>[WI §9] Section 9 / Flow qualification — Identify whether drainage flow is claimed in the approved device specification or IFU. If claimed, test each applicable lumen under ISO 20697 Annex G and compare measured flow with the appropriate 80% / 90% of claimed flow based on nominal OD. Record claimed flow, medium/test setup and observed flow. Where no flow claim is made, maintain a documented applicability decision consistent with intended drainage performance.</w:t>
            </w:r>
          </w:p>
        </w:tc>
        <w:tc>
          <w:tcPr>
            <w:tcW w:type="dxa" w:w="2952"/>
            <w:vAlign w:val="top"/>
          </w:tcPr>
          <w:p>
            <w:pPr>
              <w:spacing w:after="40"/>
            </w:pPr>
            <w:r>
              <w:rPr>
                <w:rFonts w:ascii="Aptos" w:hAnsi="Aptos"/>
                <w:sz w:val="16"/>
              </w:rPr>
              <w:t>No flow result or independent qualification reference in form row 11.</w:t>
            </w:r>
          </w:p>
        </w:tc>
        <w:tc>
          <w:tcPr>
            <w:tcW w:type="dxa" w:w="3744"/>
            <w:vAlign w:val="top"/>
          </w:tcPr>
          <w:p>
            <w:pPr>
              <w:spacing w:after="40"/>
            </w:pPr>
            <w:r>
              <w:rPr>
                <w:rFonts w:ascii="Aptos" w:hAnsi="Aptos"/>
                <w:sz w:val="16"/>
              </w:rPr>
              <w:t>Flow claim Y/N ______; claimed flow &amp; unit ______; nominal OD mm ______; relevant threshold ______; test report ID ______; pass/fail/conditional N/A ______.</w:t>
            </w:r>
          </w:p>
        </w:tc>
        <w:tc>
          <w:tcPr>
            <w:tcW w:type="dxa" w:w="3816"/>
            <w:vAlign w:val="top"/>
          </w:tcPr>
          <w:p>
            <w:pPr>
              <w:spacing w:after="40"/>
            </w:pPr>
            <w:r>
              <w:rPr>
                <w:rFonts w:ascii="Aptos" w:hAnsi="Aptos"/>
                <w:sz w:val="16"/>
              </w:rPr>
              <w:t>Required Evidence: Approved product claims, completed Annex G report, dimensional specs, risk review and QA authorization.</w:t>
              <w:br/>
              <w:t>Verification / Control Route: Qualification / Supplier</w:t>
              <w:br/>
              <w:t>Evidence Reference: Pending (none provided).</w:t>
              <w:br/>
              <w:t>Closure Criteria: Approved control + verified applicable objective evidence.</w:t>
              <w:br/>
              <w:t>Current Closure Status: Open — Technical Input (NOT VERIFIED CLOSED).</w:t>
            </w:r>
          </w:p>
        </w:tc>
      </w:tr>
      <w:tr>
        <w:tc>
          <w:tcPr>
            <w:tcW w:type="dxa" w:w="3096"/>
            <w:vAlign w:val="top"/>
            <w:shd w:fill="F1F5F9"/>
          </w:tcPr>
          <w:p>
            <w:pPr>
              <w:spacing w:after="40"/>
            </w:pPr>
            <w:r>
              <w:rPr>
                <w:rFonts w:ascii="Aptos" w:hAnsi="Aptos"/>
                <w:sz w:val="16"/>
              </w:rPr>
              <w:t>GAP-016 | P2 | Metallic catheter components / corrosion applicability unresolved</w:t>
              <w:br/>
              <w:t>Identified from cross-document comparison; current control is ambiguous, inconsistent or lacks traceable verification.</w:t>
            </w:r>
          </w:p>
        </w:tc>
        <w:tc>
          <w:tcPr>
            <w:tcW w:type="dxa" w:w="2952"/>
            <w:vAlign w:val="top"/>
            <w:shd w:fill="F1F5F9"/>
          </w:tcPr>
          <w:p>
            <w:pPr>
              <w:spacing w:after="40"/>
            </w:pPr>
            <w:r>
              <w:rPr>
                <w:rFonts w:ascii="Aptos" w:hAnsi="Aptos"/>
                <w:sz w:val="16"/>
              </w:rPr>
              <w:t>ISO 20697:2018 §6.2 printed p.6: if exposed metallic components could corrode and affect function, evaluate corrosion with Annex B; not a blanket test for all kit instruments. [Official PDF page: NOT VERIFIED]</w:t>
            </w:r>
          </w:p>
        </w:tc>
        <w:tc>
          <w:tcPr>
            <w:tcW w:type="dxa" w:w="3024"/>
            <w:vAlign w:val="top"/>
            <w:shd w:fill="F1F5F9"/>
          </w:tcPr>
          <w:p>
            <w:pPr>
              <w:spacing w:after="40"/>
            </w:pPr>
            <w:r>
              <w:rPr>
                <w:rFonts w:ascii="Aptos" w:hAnsi="Aptos"/>
                <w:sz w:val="16"/>
              </w:rPr>
              <w:t>WI p.1 §5.2.1 mentions a trocar and p.2 §5.6.1 “free from rust, pits, crakes”; material type not supported by spec.</w:t>
            </w:r>
          </w:p>
        </w:tc>
        <w:tc>
          <w:tcPr>
            <w:tcW w:type="dxa" w:w="4104"/>
            <w:vAlign w:val="top"/>
            <w:shd w:fill="F1F5F9"/>
          </w:tcPr>
          <w:p>
            <w:pPr>
              <w:spacing w:after="40"/>
            </w:pPr>
            <w:r>
              <w:rPr>
                <w:rFonts w:ascii="Aptos" w:hAnsi="Aptos"/>
                <w:sz w:val="16"/>
              </w:rPr>
              <w:t>[WI §9] Section 9 / Metallic catheter components — QA shall assess the exposed metallic components forming part of the drainage catheter (e.g., any integrated trocar) for the conditional ISO 20697 §6.2 requirement. For relevant items obtain Annex B corrosion evaluation; separately inspect kit scissors and clamps against approved supplier specifications. Do not apply catheter Annex B to unrelated surgical tools merely because they are included in the tray.</w:t>
            </w:r>
          </w:p>
        </w:tc>
        <w:tc>
          <w:tcPr>
            <w:tcW w:type="dxa" w:w="2952"/>
            <w:vAlign w:val="top"/>
            <w:shd w:fill="F1F5F9"/>
          </w:tcPr>
          <w:p>
            <w:pPr>
              <w:spacing w:after="40"/>
            </w:pPr>
            <w:r>
              <w:rPr>
                <w:rFonts w:ascii="Aptos" w:hAnsi="Aptos"/>
                <w:sz w:val="16"/>
              </w:rPr>
              <w:t>Form row 11 trocar “no damaged”; rows 15,16,19,23 metal instruments appearance; no corrosion evidence reference.</w:t>
            </w:r>
          </w:p>
        </w:tc>
        <w:tc>
          <w:tcPr>
            <w:tcW w:type="dxa" w:w="3744"/>
            <w:vAlign w:val="top"/>
            <w:shd w:fill="F1F5F9"/>
          </w:tcPr>
          <w:p>
            <w:pPr>
              <w:spacing w:after="40"/>
            </w:pPr>
            <w:r>
              <w:rPr>
                <w:rFonts w:ascii="Aptos" w:hAnsi="Aptos"/>
                <w:sz w:val="16"/>
              </w:rPr>
              <w:t>Trocar integral to device? ______; exposed catheter metal? ______; Annex B applicability ______; report ID ______; separate surgical-tool supplier acceptance refs ______; decision ______.</w:t>
            </w:r>
          </w:p>
        </w:tc>
        <w:tc>
          <w:tcPr>
            <w:tcW w:type="dxa" w:w="3816"/>
            <w:vAlign w:val="top"/>
            <w:shd w:fill="F1F5F9"/>
          </w:tcPr>
          <w:p>
            <w:pPr>
              <w:spacing w:after="40"/>
            </w:pPr>
            <w:r>
              <w:rPr>
                <w:rFonts w:ascii="Aptos" w:hAnsi="Aptos"/>
                <w:sz w:val="16"/>
              </w:rPr>
              <w:t>Required Evidence: Risk review, approved materials, Annex B test if applicable, instrument incoming inspection and supplier certificates.</w:t>
              <w:br/>
              <w:t>Verification / Control Route: Supplier / Qualification</w:t>
              <w:br/>
              <w:t>Evidence Reference: Pending (none provided).</w:t>
              <w:br/>
              <w:t>Closure Criteria: Approved control + verified applicable objective evidence.</w:t>
              <w:br/>
              <w:t>Current Closure Status: Open — Technical Input (NOT VERIFIED CLOSED).</w:t>
            </w:r>
          </w:p>
        </w:tc>
      </w:tr>
      <w:tr>
        <w:tc>
          <w:tcPr>
            <w:tcW w:type="dxa" w:w="3096"/>
            <w:vAlign w:val="top"/>
          </w:tcPr>
          <w:p>
            <w:pPr>
              <w:spacing w:after="40"/>
            </w:pPr>
            <w:r>
              <w:rPr>
                <w:rFonts w:ascii="Aptos" w:hAnsi="Aptos"/>
                <w:sz w:val="16"/>
              </w:rPr>
              <w:t>GAP-017 | P1 | Sterile barrier / seal validation linkage and checks incomplete</w:t>
              <w:br/>
              <w:t>Identified from cross-document comparison; current control is ambiguous, inconsistent or lacks traceable verification.</w:t>
            </w:r>
          </w:p>
        </w:tc>
        <w:tc>
          <w:tcPr>
            <w:tcW w:type="dxa" w:w="2952"/>
            <w:vAlign w:val="top"/>
          </w:tcPr>
          <w:p>
            <w:pPr>
              <w:spacing w:after="40"/>
            </w:pPr>
            <w:r>
              <w:rPr>
                <w:rFonts w:ascii="Aptos" w:hAnsi="Aptos"/>
                <w:sz w:val="16"/>
              </w:rPr>
              <w:t>ISO 20697:2018 §5.8 printed p.6 requires applicable sterilization and SAL 10^-6; §7.1/7.2 printed p.9 points to relevant packaging/information controls. ISO 11607 applicability requires approved packaging plan; this audit has not verified those documents. [Official PDF page: NOT VERIFIED]</w:t>
            </w:r>
          </w:p>
        </w:tc>
        <w:tc>
          <w:tcPr>
            <w:tcW w:type="dxa" w:w="3024"/>
            <w:vAlign w:val="top"/>
          </w:tcPr>
          <w:p>
            <w:pPr>
              <w:spacing w:after="40"/>
            </w:pPr>
            <w:r>
              <w:rPr>
                <w:rFonts w:ascii="Aptos" w:hAnsi="Aptos"/>
                <w:sz w:val="16"/>
              </w:rPr>
              <w:t>WI p.3 §7.1–7.4: manual pouch seal, checking cutting, sealing and printing; no sealing-process settings/validation references or acceptance limits.</w:t>
            </w:r>
          </w:p>
        </w:tc>
        <w:tc>
          <w:tcPr>
            <w:tcW w:type="dxa" w:w="4104"/>
            <w:vAlign w:val="top"/>
          </w:tcPr>
          <w:p>
            <w:pPr>
              <w:spacing w:after="40"/>
            </w:pPr>
            <w:r>
              <w:rPr>
                <w:rFonts w:ascii="Aptos" w:hAnsi="Aptos"/>
                <w:sz w:val="16"/>
              </w:rPr>
              <w:t>[WI §13] Section 13 / Packaging — Verify pouch material and seal configuration against approved sterile-barrier specification. Use validated sealer process and approved in-process seal acceptance/monitoring method; record machine ID, setting/recipe reference, applicable verification result, sample size, pouch defects and corrective action. Do not set numeric limits until the approved validation/control plan is supplied. Segregate suspected nonconforming packs.</w:t>
            </w:r>
          </w:p>
        </w:tc>
        <w:tc>
          <w:tcPr>
            <w:tcW w:type="dxa" w:w="2952"/>
            <w:vAlign w:val="top"/>
          </w:tcPr>
          <w:p>
            <w:pPr>
              <w:spacing w:after="40"/>
            </w:pPr>
            <w:r>
              <w:rPr>
                <w:rFonts w:ascii="Aptos" w:hAnsi="Aptos"/>
                <w:sz w:val="16"/>
              </w:rPr>
              <w:t>F-823-i133 is assembly component control (rows 10–28), with no separate packaging check. WI p.4 §10.9 references F-823-i4-2, not provided.</w:t>
            </w:r>
          </w:p>
        </w:tc>
        <w:tc>
          <w:tcPr>
            <w:tcW w:type="dxa" w:w="3744"/>
            <w:vAlign w:val="top"/>
          </w:tcPr>
          <w:p>
            <w:pPr>
              <w:spacing w:after="40"/>
            </w:pPr>
            <w:r>
              <w:rPr>
                <w:rFonts w:ascii="Aptos" w:hAnsi="Aptos"/>
                <w:sz w:val="16"/>
              </w:rPr>
              <w:t>In-process form: include only packaging transfer/linked-record field. Linked packaging record ID (F-823-i4-2 or verified superseder) ______; validated recipe ID ______; QC check disposition ______. No unapproved second packaging form.</w:t>
            </w:r>
          </w:p>
        </w:tc>
        <w:tc>
          <w:tcPr>
            <w:tcW w:type="dxa" w:w="3816"/>
            <w:vAlign w:val="top"/>
          </w:tcPr>
          <w:p>
            <w:pPr>
              <w:spacing w:after="40"/>
            </w:pPr>
            <w:r>
              <w:rPr>
                <w:rFonts w:ascii="Aptos" w:hAnsi="Aptos"/>
                <w:sz w:val="16"/>
              </w:rPr>
              <w:t>Required Evidence: Approved pouch specification, seal validation, sealer maintenance/calibration, actual packaging in-process records and approved label artwork.</w:t>
              <w:br/>
              <w:t>Verification / Control Route: Packaging / Validation / Routine</w:t>
              <w:br/>
              <w:t>Evidence Reference: Pending (none provided).</w:t>
              <w:br/>
              <w:t>Closure Criteria: Approved control + verified applicable objective evidence.</w:t>
              <w:br/>
              <w:t>Current Closure Status: Open — Evidence (NOT VERIFIED CLOSED).</w:t>
            </w:r>
          </w:p>
        </w:tc>
      </w:tr>
      <w:tr>
        <w:tc>
          <w:tcPr>
            <w:tcW w:type="dxa" w:w="3096"/>
            <w:vAlign w:val="top"/>
            <w:shd w:fill="F1F5F9"/>
          </w:tcPr>
          <w:p>
            <w:pPr>
              <w:spacing w:after="40"/>
            </w:pPr>
            <w:r>
              <w:rPr>
                <w:rFonts w:ascii="Aptos" w:hAnsi="Aptos"/>
                <w:sz w:val="16"/>
              </w:rPr>
              <w:t>GAP-018 | P1 | Sterilization and final release evidence not traceable</w:t>
              <w:br/>
              <w:t>Identified from cross-document comparison; current control is ambiguous, inconsistent or lacks traceable verification.</w:t>
            </w:r>
          </w:p>
        </w:tc>
        <w:tc>
          <w:tcPr>
            <w:tcW w:type="dxa" w:w="2952"/>
            <w:vAlign w:val="top"/>
            <w:shd w:fill="F1F5F9"/>
          </w:tcPr>
          <w:p>
            <w:pPr>
              <w:spacing w:after="40"/>
            </w:pPr>
            <w:r>
              <w:rPr>
                <w:rFonts w:ascii="Aptos" w:hAnsi="Aptos"/>
                <w:sz w:val="16"/>
              </w:rPr>
              <w:t>ISO 20697:2018 §5.8 printed p.6: sterile supplied devices conform to applicable sterilization standards with SAL 10^-6. Exact release parameters depend on validated modality/process and cannot be fabricated. [Official PDF page: NOT VERIFIED]</w:t>
            </w:r>
          </w:p>
        </w:tc>
        <w:tc>
          <w:tcPr>
            <w:tcW w:type="dxa" w:w="3024"/>
            <w:vAlign w:val="top"/>
            <w:shd w:fill="F1F5F9"/>
          </w:tcPr>
          <w:p>
            <w:pPr>
              <w:spacing w:after="40"/>
            </w:pPr>
            <w:r>
              <w:rPr>
                <w:rFonts w:ascii="Aptos" w:hAnsi="Aptos"/>
                <w:sz w:val="16"/>
              </w:rPr>
              <w:t>WI p.4 §8.1 references WI-7-5-1-1; §9.1–9.4 says check sterilized product, review signed cycle and lab results, then QC manager release. §10.10 references F-8-2-4.</w:t>
            </w:r>
          </w:p>
        </w:tc>
        <w:tc>
          <w:tcPr>
            <w:tcW w:type="dxa" w:w="4104"/>
            <w:vAlign w:val="top"/>
            <w:shd w:fill="F1F5F9"/>
          </w:tcPr>
          <w:p>
            <w:pPr>
              <w:spacing w:after="40"/>
            </w:pPr>
            <w:r>
              <w:rPr>
                <w:rFonts w:ascii="Aptos" w:hAnsi="Aptos"/>
                <w:sz w:val="16"/>
              </w:rPr>
              <w:t>[WI §14] Sections 14–15 — Following assembly and packaging, transfer the lot to sterilization under WI-7-5-1-1 and approved validation. Before final release, authorized QA/QCM shall verify executed cycle record, required laboratory results, deviations, packaging integrity, traceable reconciliation and F-8-2-4 approvals. Any open critical check prevents release. Maintain documented linkage to each lot and sterilization batch; this in-process form cannot by itself authorize final release.</w:t>
            </w:r>
          </w:p>
        </w:tc>
        <w:tc>
          <w:tcPr>
            <w:tcW w:type="dxa" w:w="2952"/>
            <w:vAlign w:val="top"/>
            <w:shd w:fill="F1F5F9"/>
          </w:tcPr>
          <w:p>
            <w:pPr>
              <w:spacing w:after="40"/>
            </w:pPr>
            <w:r>
              <w:rPr>
                <w:rFonts w:ascii="Aptos" w:hAnsi="Aptos"/>
                <w:sz w:val="16"/>
              </w:rPr>
              <w:t>In-process form has “Checked by Q.C.” and “Reviewed by Q.C.M.” on row 31, but no sterilization batch, laboratory report or final-release reference.</w:t>
            </w:r>
          </w:p>
        </w:tc>
        <w:tc>
          <w:tcPr>
            <w:tcW w:type="dxa" w:w="3744"/>
            <w:vAlign w:val="top"/>
            <w:shd w:fill="F1F5F9"/>
          </w:tcPr>
          <w:p>
            <w:pPr>
              <w:spacing w:after="40"/>
            </w:pPr>
            <w:r>
              <w:rPr>
                <w:rFonts w:ascii="Aptos" w:hAnsi="Aptos"/>
                <w:sz w:val="16"/>
              </w:rPr>
              <w:t>Header/outcome: assembly status ______; packaging record ______; sterilization batch ______; final release record F-8-2-4 ______; status PENDING until independent release authorization. Do NOT treat in-process review as final release.</w:t>
            </w:r>
          </w:p>
        </w:tc>
        <w:tc>
          <w:tcPr>
            <w:tcW w:type="dxa" w:w="3816"/>
            <w:vAlign w:val="top"/>
            <w:shd w:fill="F1F5F9"/>
          </w:tcPr>
          <w:p>
            <w:pPr>
              <w:spacing w:after="40"/>
            </w:pPr>
            <w:r>
              <w:rPr>
                <w:rFonts w:ascii="Aptos" w:hAnsi="Aptos"/>
                <w:sz w:val="16"/>
              </w:rPr>
              <w:t>Required Evidence: Validated sterilization process, actual batch-cycle and lab results, authorized review, F-8-2-4 signed final-release proof; unavailable.</w:t>
              <w:br/>
              <w:t>Verification / Control Route: Sterilization / Final release</w:t>
              <w:br/>
              <w:t>Evidence Reference: Pending (none provided).</w:t>
              <w:br/>
              <w:t>Closure Criteria: Approved control + verified applicable objective evidence.</w:t>
              <w:br/>
              <w:t>Current Closure Status: Open — Evidence (NOT VERIFIED CLOSED).</w:t>
            </w:r>
          </w:p>
        </w:tc>
      </w:tr>
      <w:tr>
        <w:tc>
          <w:tcPr>
            <w:tcW w:type="dxa" w:w="3096"/>
            <w:vAlign w:val="top"/>
          </w:tcPr>
          <w:p>
            <w:pPr>
              <w:spacing w:after="40"/>
            </w:pPr>
            <w:r>
              <w:rPr>
                <w:rFonts w:ascii="Aptos" w:hAnsi="Aptos"/>
                <w:sz w:val="16"/>
              </w:rPr>
              <w:t>GAP-019 | P2 | Label/IFU acceptance and variant traceability incomplete</w:t>
              <w:br/>
              <w:t>Identified from cross-document comparison; current control is ambiguous, inconsistent or lacks traceable verification.</w:t>
            </w:r>
          </w:p>
        </w:tc>
        <w:tc>
          <w:tcPr>
            <w:tcW w:type="dxa" w:w="2952"/>
            <w:vAlign w:val="top"/>
          </w:tcPr>
          <w:p>
            <w:pPr>
              <w:spacing w:after="40"/>
            </w:pPr>
            <w:r>
              <w:rPr>
                <w:rFonts w:ascii="Aptos" w:hAnsi="Aptos"/>
                <w:sz w:val="16"/>
              </w:rPr>
              <w:t>ISO 20697:2018 §7.1–7.3 printed pp.9–10 requires durable/legible marking, specified primary/secondary label information (including single-use, as applicable) and relevant IFU data. [Official PDF page: NOT VERIFIED]</w:t>
            </w:r>
          </w:p>
        </w:tc>
        <w:tc>
          <w:tcPr>
            <w:tcW w:type="dxa" w:w="3024"/>
            <w:vAlign w:val="top"/>
          </w:tcPr>
          <w:p>
            <w:pPr>
              <w:spacing w:after="40"/>
            </w:pPr>
            <w:r>
              <w:rPr>
                <w:rFonts w:ascii="Aptos" w:hAnsi="Aptos"/>
                <w:sz w:val="16"/>
              </w:rPr>
              <w:t>WI p.3 §7.1–7.5 contains general fields “product name, lot no., ... sterilization logos ... etc.” but no controlled artwork/IFU version linkage.</w:t>
            </w:r>
          </w:p>
        </w:tc>
        <w:tc>
          <w:tcPr>
            <w:tcW w:type="dxa" w:w="4104"/>
            <w:vAlign w:val="top"/>
          </w:tcPr>
          <w:p>
            <w:pPr>
              <w:spacing w:after="40"/>
            </w:pPr>
            <w:r>
              <w:rPr>
                <w:rFonts w:ascii="Aptos" w:hAnsi="Aptos"/>
                <w:sz w:val="16"/>
              </w:rPr>
              <w:t>[WI §13] Section 13 / Label and IFU — Compare the packed kit label and applicable IFU to controlled artwork per product code and market. Verify lot, size/variant, expiration, sterilization status and single-use indication and any other approved ISO 20697 §7 information, including relevant storage/negative-pressure/reuse limitations. Record approved artwork number/rev and reject mismatch or illegibility.</w:t>
            </w:r>
          </w:p>
        </w:tc>
        <w:tc>
          <w:tcPr>
            <w:tcW w:type="dxa" w:w="2952"/>
            <w:vAlign w:val="top"/>
          </w:tcPr>
          <w:p>
            <w:pPr>
              <w:spacing w:after="40"/>
            </w:pPr>
            <w:r>
              <w:rPr>
                <w:rFonts w:ascii="Aptos" w:hAnsi="Aptos"/>
                <w:sz w:val="16"/>
              </w:rPr>
              <w:t>Form header B6 Type, B7 Lot; rows 10–28 contain no label or IFU acceptance fields (separate packaging control may exist but not supplied).</w:t>
            </w:r>
          </w:p>
        </w:tc>
        <w:tc>
          <w:tcPr>
            <w:tcW w:type="dxa" w:w="3744"/>
            <w:vAlign w:val="top"/>
          </w:tcPr>
          <w:p>
            <w:pPr>
              <w:spacing w:after="40"/>
            </w:pPr>
            <w:r>
              <w:rPr>
                <w:rFonts w:ascii="Aptos" w:hAnsi="Aptos"/>
                <w:sz w:val="16"/>
              </w:rPr>
              <w:t>Linked record/artwork: Product code ______; approved primary/secondary label no./rev ______; IFU no./rev ______; label/IFU check record ______; deviations ______; reviewer ______.</w:t>
            </w:r>
          </w:p>
        </w:tc>
        <w:tc>
          <w:tcPr>
            <w:tcW w:type="dxa" w:w="3816"/>
            <w:vAlign w:val="top"/>
          </w:tcPr>
          <w:p>
            <w:pPr>
              <w:spacing w:after="40"/>
            </w:pPr>
            <w:r>
              <w:rPr>
                <w:rFonts w:ascii="Aptos" w:hAnsi="Aptos"/>
                <w:sz w:val="16"/>
              </w:rPr>
              <w:t>Required Evidence: Approved finished-label artwork, IFU, translation/regulatory review, executed packaging/label inspection, retained labels if applicable.</w:t>
              <w:br/>
              <w:t>Verification / Control Route: Packaging / Design transfer</w:t>
              <w:br/>
              <w:t>Evidence Reference: Pending (none provided).</w:t>
              <w:br/>
              <w:t>Closure Criteria: Approved control + verified applicable objective evidence.</w:t>
              <w:br/>
              <w:t>Current Closure Status: Open — Evidence (NOT VERIFIED CLOSED).</w:t>
            </w:r>
          </w:p>
        </w:tc>
      </w:tr>
      <w:tr>
        <w:tc>
          <w:tcPr>
            <w:tcW w:type="dxa" w:w="3096"/>
            <w:vAlign w:val="top"/>
            <w:shd w:fill="F1F5F9"/>
          </w:tcPr>
          <w:p>
            <w:pPr>
              <w:spacing w:after="40"/>
            </w:pPr>
            <w:r>
              <w:rPr>
                <w:rFonts w:ascii="Aptos" w:hAnsi="Aptos"/>
                <w:sz w:val="16"/>
              </w:rPr>
              <w:t>GAP-020 | P2 | Unresolved design applicability: balloon, retention, collection device</w:t>
              <w:br/>
              <w:t>Identified from cross-document comparison; current control is ambiguous, inconsistent or lacks traceable verification.</w:t>
            </w:r>
          </w:p>
        </w:tc>
        <w:tc>
          <w:tcPr>
            <w:tcW w:type="dxa" w:w="2952"/>
            <w:vAlign w:val="top"/>
            <w:shd w:fill="F1F5F9"/>
          </w:tcPr>
          <w:p>
            <w:pPr>
              <w:spacing w:after="40"/>
            </w:pPr>
            <w:r>
              <w:rPr>
                <w:rFonts w:ascii="Aptos" w:hAnsi="Aptos"/>
                <w:sz w:val="16"/>
              </w:rPr>
              <w:t>ISO 20697:2018 §§6.5, 6.7–6.10 printed pp.7–8 are conditionally relevant to collection device, retention features and balloons; Annexes F/H/I/J/K/L. These features have not been evidenced for this kit. [Official PDF page: NOT VERIFIED]</w:t>
            </w:r>
          </w:p>
        </w:tc>
        <w:tc>
          <w:tcPr>
            <w:tcW w:type="dxa" w:w="3024"/>
            <w:vAlign w:val="top"/>
            <w:shd w:fill="F1F5F9"/>
          </w:tcPr>
          <w:p>
            <w:pPr>
              <w:spacing w:after="40"/>
            </w:pPr>
            <w:r>
              <w:rPr>
                <w:rFonts w:ascii="Aptos" w:hAnsi="Aptos"/>
                <w:sz w:val="16"/>
              </w:rPr>
              <w:t>WI p.1 §3 and pp.1–3 §§5–6 describe catheter/trocar/tray without specification or affirmative exclusion for retention balloon, collecting reservoir, suction source or additional accessories.</w:t>
            </w:r>
          </w:p>
        </w:tc>
        <w:tc>
          <w:tcPr>
            <w:tcW w:type="dxa" w:w="4104"/>
            <w:vAlign w:val="top"/>
            <w:shd w:fill="F1F5F9"/>
          </w:tcPr>
          <w:p>
            <w:pPr>
              <w:spacing w:after="40"/>
            </w:pPr>
            <w:r>
              <w:rPr>
                <w:rFonts w:ascii="Aptos" w:hAnsi="Aptos"/>
                <w:sz w:val="16"/>
              </w:rPr>
              <w:t>[WI §2] Section 2 / Scope and ISO matrix — Establish an approved model-by-model applicability table: balloon (yes/no); retention feature (yes/no); collection device/suction source supplied (yes/no); intended negative-pressure use (yes/no); claimed flow (yes/no); MRI claims (yes/no). Evaluate ISO 20697 §§6.5, 6.7–6.10 and their annexes ONLY if pertinent; for each N/A record reason, risk decision and authorized reviewer.</w:t>
            </w:r>
          </w:p>
        </w:tc>
        <w:tc>
          <w:tcPr>
            <w:tcW w:type="dxa" w:w="2952"/>
            <w:vAlign w:val="top"/>
            <w:shd w:fill="F1F5F9"/>
          </w:tcPr>
          <w:p>
            <w:pPr>
              <w:spacing w:after="40"/>
            </w:pPr>
            <w:r>
              <w:rPr>
                <w:rFonts w:ascii="Aptos" w:hAnsi="Aptos"/>
                <w:sz w:val="16"/>
              </w:rPr>
              <w:t>Form row 11 chest tube/trocar only; no configuration applicability table.</w:t>
            </w:r>
          </w:p>
        </w:tc>
        <w:tc>
          <w:tcPr>
            <w:tcW w:type="dxa" w:w="3744"/>
            <w:vAlign w:val="top"/>
            <w:shd w:fill="F1F5F9"/>
          </w:tcPr>
          <w:p>
            <w:pPr>
              <w:spacing w:after="40"/>
            </w:pPr>
            <w:r>
              <w:rPr>
                <w:rFonts w:ascii="Aptos" w:hAnsi="Aptos"/>
                <w:sz w:val="16"/>
              </w:rPr>
              <w:t>Configuration record (separate): model/size ______; balloon ______; retention ______; collection device ______; suction ______; flow claim ______; evidence matrix ID/rev ______; QA approval ______.</w:t>
            </w:r>
          </w:p>
        </w:tc>
        <w:tc>
          <w:tcPr>
            <w:tcW w:type="dxa" w:w="3816"/>
            <w:vAlign w:val="top"/>
            <w:shd w:fill="F1F5F9"/>
          </w:tcPr>
          <w:p>
            <w:pPr>
              <w:spacing w:after="40"/>
            </w:pPr>
            <w:r>
              <w:rPr>
                <w:rFonts w:ascii="Aptos" w:hAnsi="Aptos"/>
                <w:sz w:val="16"/>
              </w:rPr>
              <w:t>Required Evidence: Approved product specification/BOM, signed risk-based applicability matrix and tests if feature exists; no blanket N/A declaration.</w:t>
              <w:br/>
              <w:t>Verification / Control Route: Design / Qualification</w:t>
              <w:br/>
              <w:t>Evidence Reference: Pending (none provided).</w:t>
              <w:br/>
              <w:t>Closure Criteria: Approved control + verified applicable objective evidence.</w:t>
              <w:br/>
              <w:t>Current Closure Status: Open — Technical Input (NOT VERIFIED CLOSED).</w:t>
            </w:r>
          </w:p>
        </w:tc>
      </w:tr>
      <w:tr>
        <w:tc>
          <w:tcPr>
            <w:tcW w:type="dxa" w:w="3096"/>
            <w:vAlign w:val="top"/>
          </w:tcPr>
          <w:p>
            <w:pPr>
              <w:spacing w:after="40"/>
            </w:pPr>
            <w:r>
              <w:rPr>
                <w:rFonts w:ascii="Aptos" w:hAnsi="Aptos"/>
                <w:sz w:val="16"/>
              </w:rPr>
              <w:t>GAP-021 | P2 | Nonconforming product hold &amp; process disposition missing</w:t>
              <w:br/>
              <w:t>Identified from cross-document comparison; current control is ambiguous, inconsistent or lacks traceable verification.</w:t>
            </w:r>
          </w:p>
        </w:tc>
        <w:tc>
          <w:tcPr>
            <w:tcW w:type="dxa" w:w="2952"/>
            <w:vAlign w:val="top"/>
          </w:tcPr>
          <w:p>
            <w:pPr>
              <w:spacing w:after="40"/>
            </w:pPr>
            <w:r>
              <w:rPr>
                <w:rFonts w:ascii="Aptos" w:hAnsi="Aptos"/>
                <w:sz w:val="16"/>
              </w:rPr>
              <w:t>Manufacturing control deficiency (existing WI §§5–9); no ISO 20697 clause is asserted as the sole direct source for NCR procedure. [Official PDF page: NOT VERIFIED]</w:t>
            </w:r>
          </w:p>
        </w:tc>
        <w:tc>
          <w:tcPr>
            <w:tcW w:type="dxa" w:w="3024"/>
            <w:vAlign w:val="top"/>
          </w:tcPr>
          <w:p>
            <w:pPr>
              <w:spacing w:after="40"/>
            </w:pPr>
            <w:r>
              <w:rPr>
                <w:rFonts w:ascii="Aptos" w:hAnsi="Aptos"/>
                <w:sz w:val="16"/>
              </w:rPr>
              <w:t>WI p.3 §6.7 “inspection tag ... approval stamp approved”; no documented specific HOLD/recheck/traceback step in examined WI.</w:t>
            </w:r>
          </w:p>
        </w:tc>
        <w:tc>
          <w:tcPr>
            <w:tcW w:type="dxa" w:w="4104"/>
            <w:vAlign w:val="top"/>
          </w:tcPr>
          <w:p>
            <w:pPr>
              <w:spacing w:after="40"/>
            </w:pPr>
            <w:r>
              <w:rPr>
                <w:rFonts w:ascii="Aptos" w:hAnsi="Aptos"/>
                <w:sz w:val="16"/>
              </w:rPr>
              <w:t>[WI §12] Section 12 / Nonconformity — When any required component, assembly or in-process check fails or cannot be verified, stop affected processing; identify/segregate impacted trays and product lot; enter reference to the approved NCR/reject system, notify supervisor/QA and perform documented disposition. Retest or restart only after authorized corrective action. An approval stamp may be used solely for accepted material.</w:t>
            </w:r>
          </w:p>
        </w:tc>
        <w:tc>
          <w:tcPr>
            <w:tcW w:type="dxa" w:w="2952"/>
            <w:vAlign w:val="top"/>
          </w:tcPr>
          <w:p>
            <w:pPr>
              <w:spacing w:after="40"/>
            </w:pPr>
            <w:r>
              <w:rPr>
                <w:rFonts w:ascii="Aptos" w:hAnsi="Aptos"/>
                <w:sz w:val="16"/>
              </w:rPr>
              <w:t>Form B29 “Remarks” and B31/F31 signatures; no Hold/NCR or quantity affected fields.</w:t>
            </w:r>
          </w:p>
        </w:tc>
        <w:tc>
          <w:tcPr>
            <w:tcW w:type="dxa" w:w="3744"/>
            <w:vAlign w:val="top"/>
          </w:tcPr>
          <w:p>
            <w:pPr>
              <w:spacing w:after="40"/>
            </w:pPr>
            <w:r>
              <w:rPr>
                <w:rFonts w:ascii="Aptos" w:hAnsi="Aptos"/>
                <w:sz w:val="16"/>
              </w:rPr>
              <w:t>Disposition section: Pass/Hold/Reject ______; discrepancy ______; time first detected ______; affected quantity ______; NCR/Reject reference ______; containment ______; authorized restart ______; date ______.</w:t>
            </w:r>
          </w:p>
        </w:tc>
        <w:tc>
          <w:tcPr>
            <w:tcW w:type="dxa" w:w="3816"/>
            <w:vAlign w:val="top"/>
          </w:tcPr>
          <w:p>
            <w:pPr>
              <w:spacing w:after="40"/>
            </w:pPr>
            <w:r>
              <w:rPr>
                <w:rFonts w:ascii="Aptos" w:hAnsi="Aptos"/>
                <w:sz w:val="16"/>
              </w:rPr>
              <w:t>Required Evidence: Executed NCR/reject/segregation records, documented disposition and approved re-verification; none supplied.</w:t>
              <w:br/>
              <w:t>Verification / Control Route: Routine in-process / NCR</w:t>
              <w:br/>
              <w:t>Evidence Reference: Pending (none provided).</w:t>
              <w:br/>
              <w:t>Closure Criteria: Approved control + verified applicable objective evidence.</w:t>
              <w:br/>
              <w:t>Current Closure Status: Open — Approval (NOT VERIFIED CLOSED).</w:t>
            </w:r>
          </w:p>
        </w:tc>
      </w:tr>
    </w:tbl>
    <w:p>
      <w:pPr>
        <w:sectPr>
          <w:pgSz w:w="23811" w:h="16838"/>
          <w:pgMar w:top="936" w:right="835" w:bottom="864" w:left="835" w:header="720" w:footer="720" w:gutter="0"/>
          <w:cols w:space="720"/>
          <w:docGrid w:linePitch="360"/>
        </w:sectPr>
      </w:pPr>
    </w:p>
    <w:p>
      <w:pPr>
        <w:pStyle w:val="Heading1"/>
      </w:pPr>
      <w:r>
        <w:t>6  Test and evidence route</w:t>
      </w:r>
    </w:p>
    <w:p>
      <w:pPr>
        <w:pStyle w:val="ListBullet"/>
      </w:pPr>
      <w:r>
        <w:t>Routine assembly: confirm approved BOM, identity, quantity, packaging state, component lot/expiry, first-piece acceptance and per-control-plan checks on F-823-i133. Frequency/sample size is OPEN TECHNICAL INPUT REQUIRED.</w:t>
      </w:r>
    </w:p>
    <w:p>
      <w:pPr>
        <w:pStyle w:val="ListBullet"/>
      </w:pPr>
      <w:r>
        <w:t>Incoming: record component receiving acceptance, certificates and dimensional testing where approved; connect supplier lots to kit production lot.</w:t>
      </w:r>
    </w:p>
    <w:p>
      <w:pPr>
        <w:pStyle w:val="ListBullet"/>
      </w:pPr>
      <w:r>
        <w:t>Qualification/periodic (not automatic per lot): §4 safe access and drainage, §5.1 risk, §5.2 biology, §5.3 detectability when needed, §6.1 kink, §6.3/6.11 vacuum conditionally, §6.4 tensile, §6.6 flow if claimed. Current qualification records: Pending.</w:t>
      </w:r>
    </w:p>
    <w:p>
      <w:pPr>
        <w:pStyle w:val="ListBullet"/>
      </w:pPr>
      <w:r>
        <w:t>Conditional design features: §6.5 collection device impact, §6.7 retention, §§6.8–6.10 balloon, §5.7 MRI, §6.2 catheter-metal corrosion. Require an approved applicability matrix rather than inventing N/A results.</w:t>
      </w:r>
    </w:p>
    <w:p>
      <w:pPr>
        <w:pStyle w:val="ListBullet"/>
      </w:pPr>
      <w:r>
        <w:t>Packaging/sterilization/final release: follow approved packaging control record, verified sterilization batch and QC/QA manager-approved release record. The assembly in-process form DOES NOT constitute final release.</w:t>
      </w:r>
    </w:p>
    <w:p>
      <w:pPr>
        <w:pStyle w:val="Heading1"/>
      </w:pPr>
      <w:r>
        <w:t>7  Revised WI overview</w:t>
      </w:r>
    </w:p>
    <w:p>
      <w:r>
        <w:t>The separate complete Draft Revised WI retains the receiving, catheter/component, assembly, packaging, sterilization and final-release process. It adds approved BOM reconciliation, risk/qualification evidence routing, hold controls and source traceability. Every introduced new threshold awaiting approval is clearly flagged.</w:t>
      </w:r>
    </w:p>
    <w:p>
      <w:pPr>
        <w:pStyle w:val="Heading1"/>
      </w:pPr>
      <w:r>
        <w:t>8  Revised in-process form overview</w:t>
      </w:r>
    </w:p>
    <w:p>
      <w:r>
        <w:t>Separate editable record preserves the original 19-component checklist and time-of-shift framework but adds full BOM reconciliation, control-code legend, first-piece/sample fields, lot evidence, escalation and approval links. An independent separate qualification test is not converted into an hourly check.</w:t>
      </w:r>
    </w:p>
    <w:p>
      <w:pPr>
        <w:pStyle w:val="Heading1"/>
      </w:pPr>
      <w:r>
        <w:t>9  ISO closure review</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277"/>
            <w:shd w:fill="17304D"/>
          </w:tcPr>
          <w:p>
            <w:r>
              <w:rPr>
                <w:b/>
                <w:color w:val="FFFFFF"/>
                <w:sz w:val="15"/>
              </w:rPr>
              <w:t>Scope</w:t>
            </w:r>
          </w:p>
        </w:tc>
        <w:tc>
          <w:tcPr>
            <w:tcW w:type="dxa" w:w="3277"/>
            <w:shd w:fill="17304D"/>
          </w:tcPr>
          <w:p>
            <w:r>
              <w:rPr>
                <w:b/>
                <w:color w:val="FFFFFF"/>
                <w:sz w:val="15"/>
              </w:rPr>
              <w:t>Draft documentary route</w:t>
            </w:r>
          </w:p>
        </w:tc>
        <w:tc>
          <w:tcPr>
            <w:tcW w:type="dxa" w:w="3277"/>
            <w:shd w:fill="17304D"/>
          </w:tcPr>
          <w:p>
            <w:r>
              <w:rPr>
                <w:b/>
                <w:color w:val="FFFFFF"/>
                <w:sz w:val="15"/>
              </w:rPr>
              <w:t>Actual closure</w:t>
            </w:r>
          </w:p>
        </w:tc>
      </w:tr>
      <w:tr>
        <w:tc>
          <w:tcPr>
            <w:tcW w:type="dxa" w:w="3277"/>
            <w:vAlign w:val="top"/>
          </w:tcPr>
          <w:p>
            <w:pPr>
              <w:spacing w:after="40"/>
            </w:pPr>
            <w:r>
              <w:rPr>
                <w:rFonts w:ascii="Aptos" w:hAnsi="Aptos"/>
                <w:sz w:val="15"/>
              </w:rPr>
              <w:t>REQ-01 / §4</w:t>
            </w:r>
          </w:p>
        </w:tc>
        <w:tc>
          <w:tcPr>
            <w:tcW w:type="dxa" w:w="3277"/>
            <w:vAlign w:val="top"/>
          </w:tcPr>
          <w:p>
            <w:pPr>
              <w:spacing w:after="40"/>
            </w:pPr>
            <w:r>
              <w:rPr>
                <w:rFonts w:ascii="Aptos" w:hAnsi="Aptos"/>
                <w:sz w:val="15"/>
              </w:rPr>
              <w:t>See linked GAP-011; verify controlled technical input.</w:t>
            </w:r>
          </w:p>
        </w:tc>
        <w:tc>
          <w:tcPr>
            <w:tcW w:type="dxa" w:w="3277"/>
            <w:vAlign w:val="top"/>
          </w:tcPr>
          <w:p>
            <w:pPr>
              <w:spacing w:after="40"/>
            </w:pPr>
            <w:r>
              <w:rPr>
                <w:rFonts w:ascii="Aptos" w:hAnsi="Aptos"/>
                <w:sz w:val="15"/>
              </w:rPr>
              <w:t>OPEN — no actual verification</w:t>
            </w:r>
          </w:p>
        </w:tc>
      </w:tr>
      <w:tr>
        <w:tc>
          <w:tcPr>
            <w:tcW w:type="dxa" w:w="3277"/>
            <w:vAlign w:val="top"/>
            <w:shd w:fill="F1F5F9"/>
          </w:tcPr>
          <w:p>
            <w:pPr>
              <w:spacing w:after="40"/>
            </w:pPr>
            <w:r>
              <w:rPr>
                <w:rFonts w:ascii="Aptos" w:hAnsi="Aptos"/>
                <w:sz w:val="15"/>
              </w:rPr>
              <w:t>REQ-02 / §5.1</w:t>
            </w:r>
          </w:p>
        </w:tc>
        <w:tc>
          <w:tcPr>
            <w:tcW w:type="dxa" w:w="3277"/>
            <w:vAlign w:val="top"/>
            <w:shd w:fill="F1F5F9"/>
          </w:tcPr>
          <w:p>
            <w:pPr>
              <w:spacing w:after="40"/>
            </w:pPr>
            <w:r>
              <w:rPr>
                <w:rFonts w:ascii="Aptos" w:hAnsi="Aptos"/>
                <w:sz w:val="15"/>
              </w:rPr>
              <w:t>See linked GAP-012; verify controlled technical input.</w:t>
            </w:r>
          </w:p>
        </w:tc>
        <w:tc>
          <w:tcPr>
            <w:tcW w:type="dxa" w:w="3277"/>
            <w:vAlign w:val="top"/>
            <w:shd w:fill="F1F5F9"/>
          </w:tcPr>
          <w:p>
            <w:pPr>
              <w:spacing w:after="40"/>
            </w:pPr>
            <w:r>
              <w:rPr>
                <w:rFonts w:ascii="Aptos" w:hAnsi="Aptos"/>
                <w:sz w:val="15"/>
              </w:rPr>
              <w:t>OPEN — no actual verification</w:t>
            </w:r>
          </w:p>
        </w:tc>
      </w:tr>
      <w:tr>
        <w:tc>
          <w:tcPr>
            <w:tcW w:type="dxa" w:w="3277"/>
            <w:vAlign w:val="top"/>
          </w:tcPr>
          <w:p>
            <w:pPr>
              <w:spacing w:after="40"/>
            </w:pPr>
            <w:r>
              <w:rPr>
                <w:rFonts w:ascii="Aptos" w:hAnsi="Aptos"/>
                <w:sz w:val="15"/>
              </w:rPr>
              <w:t>REQ-03 / §5.2</w:t>
            </w:r>
          </w:p>
        </w:tc>
        <w:tc>
          <w:tcPr>
            <w:tcW w:type="dxa" w:w="3277"/>
            <w:vAlign w:val="top"/>
          </w:tcPr>
          <w:p>
            <w:pPr>
              <w:spacing w:after="40"/>
            </w:pPr>
            <w:r>
              <w:rPr>
                <w:rFonts w:ascii="Aptos" w:hAnsi="Aptos"/>
                <w:sz w:val="15"/>
              </w:rPr>
              <w:t>See linked GAP-012; verify controlled technical input.</w:t>
            </w:r>
          </w:p>
        </w:tc>
        <w:tc>
          <w:tcPr>
            <w:tcW w:type="dxa" w:w="3277"/>
            <w:vAlign w:val="top"/>
          </w:tcPr>
          <w:p>
            <w:pPr>
              <w:spacing w:after="40"/>
            </w:pPr>
            <w:r>
              <w:rPr>
                <w:rFonts w:ascii="Aptos" w:hAnsi="Aptos"/>
                <w:sz w:val="15"/>
              </w:rPr>
              <w:t>OPEN — no actual verification</w:t>
            </w:r>
          </w:p>
        </w:tc>
      </w:tr>
      <w:tr>
        <w:tc>
          <w:tcPr>
            <w:tcW w:type="dxa" w:w="3277"/>
            <w:vAlign w:val="top"/>
            <w:shd w:fill="F1F5F9"/>
          </w:tcPr>
          <w:p>
            <w:pPr>
              <w:spacing w:after="40"/>
            </w:pPr>
            <w:r>
              <w:rPr>
                <w:rFonts w:ascii="Aptos" w:hAnsi="Aptos"/>
                <w:sz w:val="15"/>
              </w:rPr>
              <w:t>REQ-04 / §5.3</w:t>
            </w:r>
          </w:p>
        </w:tc>
        <w:tc>
          <w:tcPr>
            <w:tcW w:type="dxa" w:w="3277"/>
            <w:vAlign w:val="top"/>
            <w:shd w:fill="F1F5F9"/>
          </w:tcPr>
          <w:p>
            <w:pPr>
              <w:spacing w:after="40"/>
            </w:pPr>
            <w:r>
              <w:rPr>
                <w:rFonts w:ascii="Aptos" w:hAnsi="Aptos"/>
                <w:sz w:val="15"/>
              </w:rPr>
              <w:t>See linked GAP-007; verify controlled technical input.</w:t>
            </w:r>
          </w:p>
        </w:tc>
        <w:tc>
          <w:tcPr>
            <w:tcW w:type="dxa" w:w="3277"/>
            <w:vAlign w:val="top"/>
            <w:shd w:fill="F1F5F9"/>
          </w:tcPr>
          <w:p>
            <w:pPr>
              <w:spacing w:after="40"/>
            </w:pPr>
            <w:r>
              <w:rPr>
                <w:rFonts w:ascii="Aptos" w:hAnsi="Aptos"/>
                <w:sz w:val="15"/>
              </w:rPr>
              <w:t>OPEN — no actual verification</w:t>
            </w:r>
          </w:p>
        </w:tc>
      </w:tr>
      <w:tr>
        <w:tc>
          <w:tcPr>
            <w:tcW w:type="dxa" w:w="3277"/>
            <w:vAlign w:val="top"/>
          </w:tcPr>
          <w:p>
            <w:pPr>
              <w:spacing w:after="40"/>
            </w:pPr>
            <w:r>
              <w:rPr>
                <w:rFonts w:ascii="Aptos" w:hAnsi="Aptos"/>
                <w:sz w:val="15"/>
              </w:rPr>
              <w:t>REQ-05 / §5.4</w:t>
            </w:r>
          </w:p>
        </w:tc>
        <w:tc>
          <w:tcPr>
            <w:tcW w:type="dxa" w:w="3277"/>
            <w:vAlign w:val="top"/>
          </w:tcPr>
          <w:p>
            <w:pPr>
              <w:spacing w:after="40"/>
            </w:pPr>
            <w:r>
              <w:rPr>
                <w:rFonts w:ascii="Aptos" w:hAnsi="Aptos"/>
                <w:sz w:val="15"/>
              </w:rPr>
              <w:t>See linked GAP-007; verify controlled technical input.</w:t>
            </w:r>
          </w:p>
        </w:tc>
        <w:tc>
          <w:tcPr>
            <w:tcW w:type="dxa" w:w="3277"/>
            <w:vAlign w:val="top"/>
          </w:tcPr>
          <w:p>
            <w:pPr>
              <w:spacing w:after="40"/>
            </w:pPr>
            <w:r>
              <w:rPr>
                <w:rFonts w:ascii="Aptos" w:hAnsi="Aptos"/>
                <w:sz w:val="15"/>
              </w:rPr>
              <w:t>OPEN — no actual verification</w:t>
            </w:r>
          </w:p>
        </w:tc>
      </w:tr>
      <w:tr>
        <w:tc>
          <w:tcPr>
            <w:tcW w:type="dxa" w:w="3277"/>
            <w:vAlign w:val="top"/>
            <w:shd w:fill="F1F5F9"/>
          </w:tcPr>
          <w:p>
            <w:pPr>
              <w:spacing w:after="40"/>
            </w:pPr>
            <w:r>
              <w:rPr>
                <w:rFonts w:ascii="Aptos" w:hAnsi="Aptos"/>
                <w:sz w:val="15"/>
              </w:rPr>
              <w:t>REQ-06 / §5.5.1–5.5.3</w:t>
            </w:r>
          </w:p>
        </w:tc>
        <w:tc>
          <w:tcPr>
            <w:tcW w:type="dxa" w:w="3277"/>
            <w:vAlign w:val="top"/>
            <w:shd w:fill="F1F5F9"/>
          </w:tcPr>
          <w:p>
            <w:pPr>
              <w:spacing w:after="40"/>
            </w:pPr>
            <w:r>
              <w:rPr>
                <w:rFonts w:ascii="Aptos" w:hAnsi="Aptos"/>
                <w:sz w:val="15"/>
              </w:rPr>
              <w:t>See linked GAP-007; verify controlled technical input.</w:t>
            </w:r>
          </w:p>
        </w:tc>
        <w:tc>
          <w:tcPr>
            <w:tcW w:type="dxa" w:w="3277"/>
            <w:vAlign w:val="top"/>
            <w:shd w:fill="F1F5F9"/>
          </w:tcPr>
          <w:p>
            <w:pPr>
              <w:spacing w:after="40"/>
            </w:pPr>
            <w:r>
              <w:rPr>
                <w:rFonts w:ascii="Aptos" w:hAnsi="Aptos"/>
                <w:sz w:val="15"/>
              </w:rPr>
              <w:t>OPEN — no actual verification</w:t>
            </w:r>
          </w:p>
        </w:tc>
      </w:tr>
      <w:tr>
        <w:tc>
          <w:tcPr>
            <w:tcW w:type="dxa" w:w="3277"/>
            <w:vAlign w:val="top"/>
          </w:tcPr>
          <w:p>
            <w:pPr>
              <w:spacing w:after="40"/>
            </w:pPr>
            <w:r>
              <w:rPr>
                <w:rFonts w:ascii="Aptos" w:hAnsi="Aptos"/>
                <w:sz w:val="15"/>
              </w:rPr>
              <w:t>REQ-07 / §5.5.4</w:t>
            </w:r>
          </w:p>
        </w:tc>
        <w:tc>
          <w:tcPr>
            <w:tcW w:type="dxa" w:w="3277"/>
            <w:vAlign w:val="top"/>
          </w:tcPr>
          <w:p>
            <w:pPr>
              <w:spacing w:after="40"/>
            </w:pPr>
            <w:r>
              <w:rPr>
                <w:rFonts w:ascii="Aptos" w:hAnsi="Aptos"/>
                <w:sz w:val="15"/>
              </w:rPr>
              <w:t>See linked GAP-020; verify controlled technical input.</w:t>
            </w:r>
          </w:p>
        </w:tc>
        <w:tc>
          <w:tcPr>
            <w:tcW w:type="dxa" w:w="3277"/>
            <w:vAlign w:val="top"/>
          </w:tcPr>
          <w:p>
            <w:pPr>
              <w:spacing w:after="40"/>
            </w:pPr>
            <w:r>
              <w:rPr>
                <w:rFonts w:ascii="Aptos" w:hAnsi="Aptos"/>
                <w:sz w:val="15"/>
              </w:rPr>
              <w:t>OPEN — no actual verification</w:t>
            </w:r>
          </w:p>
        </w:tc>
      </w:tr>
      <w:tr>
        <w:tc>
          <w:tcPr>
            <w:tcW w:type="dxa" w:w="3277"/>
            <w:vAlign w:val="top"/>
            <w:shd w:fill="F1F5F9"/>
          </w:tcPr>
          <w:p>
            <w:pPr>
              <w:spacing w:after="40"/>
            </w:pPr>
            <w:r>
              <w:rPr>
                <w:rFonts w:ascii="Aptos" w:hAnsi="Aptos"/>
                <w:sz w:val="15"/>
              </w:rPr>
              <w:t>REQ-08 / §5.6</w:t>
            </w:r>
          </w:p>
        </w:tc>
        <w:tc>
          <w:tcPr>
            <w:tcW w:type="dxa" w:w="3277"/>
            <w:vAlign w:val="top"/>
            <w:shd w:fill="F1F5F9"/>
          </w:tcPr>
          <w:p>
            <w:pPr>
              <w:spacing w:after="40"/>
            </w:pPr>
            <w:r>
              <w:rPr>
                <w:rFonts w:ascii="Aptos" w:hAnsi="Aptos"/>
                <w:sz w:val="15"/>
              </w:rPr>
              <w:t>See linked GAP-011; verify controlled technical input.</w:t>
            </w:r>
          </w:p>
        </w:tc>
        <w:tc>
          <w:tcPr>
            <w:tcW w:type="dxa" w:w="3277"/>
            <w:vAlign w:val="top"/>
            <w:shd w:fill="F1F5F9"/>
          </w:tcPr>
          <w:p>
            <w:pPr>
              <w:spacing w:after="40"/>
            </w:pPr>
            <w:r>
              <w:rPr>
                <w:rFonts w:ascii="Aptos" w:hAnsi="Aptos"/>
                <w:sz w:val="15"/>
              </w:rPr>
              <w:t>OPEN — no actual verification</w:t>
            </w:r>
          </w:p>
        </w:tc>
      </w:tr>
      <w:tr>
        <w:tc>
          <w:tcPr>
            <w:tcW w:type="dxa" w:w="3277"/>
            <w:vAlign w:val="top"/>
          </w:tcPr>
          <w:p>
            <w:pPr>
              <w:spacing w:after="40"/>
            </w:pPr>
            <w:r>
              <w:rPr>
                <w:rFonts w:ascii="Aptos" w:hAnsi="Aptos"/>
                <w:sz w:val="15"/>
              </w:rPr>
              <w:t>REQ-09 / §5.7</w:t>
            </w:r>
          </w:p>
        </w:tc>
        <w:tc>
          <w:tcPr>
            <w:tcW w:type="dxa" w:w="3277"/>
            <w:vAlign w:val="top"/>
          </w:tcPr>
          <w:p>
            <w:pPr>
              <w:spacing w:after="40"/>
            </w:pPr>
            <w:r>
              <w:rPr>
                <w:rFonts w:ascii="Aptos" w:hAnsi="Aptos"/>
                <w:sz w:val="15"/>
              </w:rPr>
              <w:t>See linked GAP-020; verify controlled technical input.</w:t>
            </w:r>
          </w:p>
        </w:tc>
        <w:tc>
          <w:tcPr>
            <w:tcW w:type="dxa" w:w="3277"/>
            <w:vAlign w:val="top"/>
          </w:tcPr>
          <w:p>
            <w:pPr>
              <w:spacing w:after="40"/>
            </w:pPr>
            <w:r>
              <w:rPr>
                <w:rFonts w:ascii="Aptos" w:hAnsi="Aptos"/>
                <w:sz w:val="15"/>
              </w:rPr>
              <w:t>OPEN — no actual verification</w:t>
            </w:r>
          </w:p>
        </w:tc>
      </w:tr>
      <w:tr>
        <w:tc>
          <w:tcPr>
            <w:tcW w:type="dxa" w:w="3277"/>
            <w:vAlign w:val="top"/>
            <w:shd w:fill="F1F5F9"/>
          </w:tcPr>
          <w:p>
            <w:pPr>
              <w:spacing w:after="40"/>
            </w:pPr>
            <w:r>
              <w:rPr>
                <w:rFonts w:ascii="Aptos" w:hAnsi="Aptos"/>
                <w:sz w:val="15"/>
              </w:rPr>
              <w:t>REQ-10 / §5.8</w:t>
            </w:r>
          </w:p>
        </w:tc>
        <w:tc>
          <w:tcPr>
            <w:tcW w:type="dxa" w:w="3277"/>
            <w:vAlign w:val="top"/>
            <w:shd w:fill="F1F5F9"/>
          </w:tcPr>
          <w:p>
            <w:pPr>
              <w:spacing w:after="40"/>
            </w:pPr>
            <w:r>
              <w:rPr>
                <w:rFonts w:ascii="Aptos" w:hAnsi="Aptos"/>
                <w:sz w:val="15"/>
              </w:rPr>
              <w:t>See linked GAP-018; verify controlled technical input.</w:t>
            </w:r>
          </w:p>
        </w:tc>
        <w:tc>
          <w:tcPr>
            <w:tcW w:type="dxa" w:w="3277"/>
            <w:vAlign w:val="top"/>
            <w:shd w:fill="F1F5F9"/>
          </w:tcPr>
          <w:p>
            <w:pPr>
              <w:spacing w:after="40"/>
            </w:pPr>
            <w:r>
              <w:rPr>
                <w:rFonts w:ascii="Aptos" w:hAnsi="Aptos"/>
                <w:sz w:val="15"/>
              </w:rPr>
              <w:t>OPEN — no actual verification</w:t>
            </w:r>
          </w:p>
        </w:tc>
      </w:tr>
      <w:tr>
        <w:tc>
          <w:tcPr>
            <w:tcW w:type="dxa" w:w="3277"/>
            <w:vAlign w:val="top"/>
          </w:tcPr>
          <w:p>
            <w:pPr>
              <w:spacing w:after="40"/>
            </w:pPr>
            <w:r>
              <w:rPr>
                <w:rFonts w:ascii="Aptos" w:hAnsi="Aptos"/>
                <w:sz w:val="15"/>
              </w:rPr>
              <w:t>REQ-11 / §6.1 / Annex A informative</w:t>
            </w:r>
          </w:p>
        </w:tc>
        <w:tc>
          <w:tcPr>
            <w:tcW w:type="dxa" w:w="3277"/>
            <w:vAlign w:val="top"/>
          </w:tcPr>
          <w:p>
            <w:pPr>
              <w:spacing w:after="40"/>
            </w:pPr>
            <w:r>
              <w:rPr>
                <w:rFonts w:ascii="Aptos" w:hAnsi="Aptos"/>
                <w:sz w:val="15"/>
              </w:rPr>
              <w:t>See linked GAP-011; verify controlled technical input.</w:t>
            </w:r>
          </w:p>
        </w:tc>
        <w:tc>
          <w:tcPr>
            <w:tcW w:type="dxa" w:w="3277"/>
            <w:vAlign w:val="top"/>
          </w:tcPr>
          <w:p>
            <w:pPr>
              <w:spacing w:after="40"/>
            </w:pPr>
            <w:r>
              <w:rPr>
                <w:rFonts w:ascii="Aptos" w:hAnsi="Aptos"/>
                <w:sz w:val="15"/>
              </w:rPr>
              <w:t>OPEN — no actual verification</w:t>
            </w:r>
          </w:p>
        </w:tc>
      </w:tr>
      <w:tr>
        <w:tc>
          <w:tcPr>
            <w:tcW w:type="dxa" w:w="3277"/>
            <w:vAlign w:val="top"/>
            <w:shd w:fill="F1F5F9"/>
          </w:tcPr>
          <w:p>
            <w:pPr>
              <w:spacing w:after="40"/>
            </w:pPr>
            <w:r>
              <w:rPr>
                <w:rFonts w:ascii="Aptos" w:hAnsi="Aptos"/>
                <w:sz w:val="15"/>
              </w:rPr>
              <w:t>REQ-12 / §6.2 / Annex B</w:t>
            </w:r>
          </w:p>
        </w:tc>
        <w:tc>
          <w:tcPr>
            <w:tcW w:type="dxa" w:w="3277"/>
            <w:vAlign w:val="top"/>
            <w:shd w:fill="F1F5F9"/>
          </w:tcPr>
          <w:p>
            <w:pPr>
              <w:spacing w:after="40"/>
            </w:pPr>
            <w:r>
              <w:rPr>
                <w:rFonts w:ascii="Aptos" w:hAnsi="Aptos"/>
                <w:sz w:val="15"/>
              </w:rPr>
              <w:t>See linked GAP-016; verify controlled technical input.</w:t>
            </w:r>
          </w:p>
        </w:tc>
        <w:tc>
          <w:tcPr>
            <w:tcW w:type="dxa" w:w="3277"/>
            <w:vAlign w:val="top"/>
            <w:shd w:fill="F1F5F9"/>
          </w:tcPr>
          <w:p>
            <w:pPr>
              <w:spacing w:after="40"/>
            </w:pPr>
            <w:r>
              <w:rPr>
                <w:rFonts w:ascii="Aptos" w:hAnsi="Aptos"/>
                <w:sz w:val="15"/>
              </w:rPr>
              <w:t>OPEN — no actual verification</w:t>
            </w:r>
          </w:p>
        </w:tc>
      </w:tr>
      <w:tr>
        <w:tc>
          <w:tcPr>
            <w:tcW w:type="dxa" w:w="3277"/>
            <w:vAlign w:val="top"/>
          </w:tcPr>
          <w:p>
            <w:pPr>
              <w:spacing w:after="40"/>
            </w:pPr>
            <w:r>
              <w:rPr>
                <w:rFonts w:ascii="Aptos" w:hAnsi="Aptos"/>
                <w:sz w:val="15"/>
              </w:rPr>
              <w:t>REQ-13 / §6.3 / Annex C</w:t>
            </w:r>
          </w:p>
        </w:tc>
        <w:tc>
          <w:tcPr>
            <w:tcW w:type="dxa" w:w="3277"/>
            <w:vAlign w:val="top"/>
          </w:tcPr>
          <w:p>
            <w:pPr>
              <w:spacing w:after="40"/>
            </w:pPr>
            <w:r>
              <w:rPr>
                <w:rFonts w:ascii="Aptos" w:hAnsi="Aptos"/>
                <w:sz w:val="15"/>
              </w:rPr>
              <w:t>See linked GAP-013; verify controlled technical input.</w:t>
            </w:r>
          </w:p>
        </w:tc>
        <w:tc>
          <w:tcPr>
            <w:tcW w:type="dxa" w:w="3277"/>
            <w:vAlign w:val="top"/>
          </w:tcPr>
          <w:p>
            <w:pPr>
              <w:spacing w:after="40"/>
            </w:pPr>
            <w:r>
              <w:rPr>
                <w:rFonts w:ascii="Aptos" w:hAnsi="Aptos"/>
                <w:sz w:val="15"/>
              </w:rPr>
              <w:t>OPEN — no actual verification</w:t>
            </w:r>
          </w:p>
        </w:tc>
      </w:tr>
      <w:tr>
        <w:tc>
          <w:tcPr>
            <w:tcW w:type="dxa" w:w="3277"/>
            <w:vAlign w:val="top"/>
            <w:shd w:fill="F1F5F9"/>
          </w:tcPr>
          <w:p>
            <w:pPr>
              <w:spacing w:after="40"/>
            </w:pPr>
            <w:r>
              <w:rPr>
                <w:rFonts w:ascii="Aptos" w:hAnsi="Aptos"/>
                <w:sz w:val="15"/>
              </w:rPr>
              <w:t>REQ-14 / §6.4.1 / Table 1 / Annex D</w:t>
            </w:r>
          </w:p>
        </w:tc>
        <w:tc>
          <w:tcPr>
            <w:tcW w:type="dxa" w:w="3277"/>
            <w:vAlign w:val="top"/>
            <w:shd w:fill="F1F5F9"/>
          </w:tcPr>
          <w:p>
            <w:pPr>
              <w:spacing w:after="40"/>
            </w:pPr>
            <w:r>
              <w:rPr>
                <w:rFonts w:ascii="Aptos" w:hAnsi="Aptos"/>
                <w:sz w:val="15"/>
              </w:rPr>
              <w:t>See linked GAP-014; verify controlled technical input.</w:t>
            </w:r>
          </w:p>
        </w:tc>
        <w:tc>
          <w:tcPr>
            <w:tcW w:type="dxa" w:w="3277"/>
            <w:vAlign w:val="top"/>
            <w:shd w:fill="F1F5F9"/>
          </w:tcPr>
          <w:p>
            <w:pPr>
              <w:spacing w:after="40"/>
            </w:pPr>
            <w:r>
              <w:rPr>
                <w:rFonts w:ascii="Aptos" w:hAnsi="Aptos"/>
                <w:sz w:val="15"/>
              </w:rPr>
              <w:t>OPEN — no actual verification</w:t>
            </w:r>
          </w:p>
        </w:tc>
      </w:tr>
      <w:tr>
        <w:tc>
          <w:tcPr>
            <w:tcW w:type="dxa" w:w="3277"/>
            <w:vAlign w:val="top"/>
          </w:tcPr>
          <w:p>
            <w:pPr>
              <w:spacing w:after="40"/>
            </w:pPr>
            <w:r>
              <w:rPr>
                <w:rFonts w:ascii="Aptos" w:hAnsi="Aptos"/>
                <w:sz w:val="15"/>
              </w:rPr>
              <w:t>REQ-15 / §6.4.2 / Table 2 / Annex E</w:t>
            </w:r>
          </w:p>
        </w:tc>
        <w:tc>
          <w:tcPr>
            <w:tcW w:type="dxa" w:w="3277"/>
            <w:vAlign w:val="top"/>
          </w:tcPr>
          <w:p>
            <w:pPr>
              <w:spacing w:after="40"/>
            </w:pPr>
            <w:r>
              <w:rPr>
                <w:rFonts w:ascii="Aptos" w:hAnsi="Aptos"/>
                <w:sz w:val="15"/>
              </w:rPr>
              <w:t>See linked GAP-014; verify controlled technical input.</w:t>
            </w:r>
          </w:p>
        </w:tc>
        <w:tc>
          <w:tcPr>
            <w:tcW w:type="dxa" w:w="3277"/>
            <w:vAlign w:val="top"/>
          </w:tcPr>
          <w:p>
            <w:pPr>
              <w:spacing w:after="40"/>
            </w:pPr>
            <w:r>
              <w:rPr>
                <w:rFonts w:ascii="Aptos" w:hAnsi="Aptos"/>
                <w:sz w:val="15"/>
              </w:rPr>
              <w:t>OPEN — no actual verification</w:t>
            </w:r>
          </w:p>
        </w:tc>
      </w:tr>
      <w:tr>
        <w:tc>
          <w:tcPr>
            <w:tcW w:type="dxa" w:w="3277"/>
            <w:vAlign w:val="top"/>
            <w:shd w:fill="F1F5F9"/>
          </w:tcPr>
          <w:p>
            <w:pPr>
              <w:spacing w:after="40"/>
            </w:pPr>
            <w:r>
              <w:rPr>
                <w:rFonts w:ascii="Aptos" w:hAnsi="Aptos"/>
                <w:sz w:val="15"/>
              </w:rPr>
              <w:t>REQ-16 / §6.5 / Annex F</w:t>
            </w:r>
          </w:p>
        </w:tc>
        <w:tc>
          <w:tcPr>
            <w:tcW w:type="dxa" w:w="3277"/>
            <w:vAlign w:val="top"/>
            <w:shd w:fill="F1F5F9"/>
          </w:tcPr>
          <w:p>
            <w:pPr>
              <w:spacing w:after="40"/>
            </w:pPr>
            <w:r>
              <w:rPr>
                <w:rFonts w:ascii="Aptos" w:hAnsi="Aptos"/>
                <w:sz w:val="15"/>
              </w:rPr>
              <w:t>See linked GAP-020; verify controlled technical input.</w:t>
            </w:r>
          </w:p>
        </w:tc>
        <w:tc>
          <w:tcPr>
            <w:tcW w:type="dxa" w:w="3277"/>
            <w:vAlign w:val="top"/>
            <w:shd w:fill="F1F5F9"/>
          </w:tcPr>
          <w:p>
            <w:pPr>
              <w:spacing w:after="40"/>
            </w:pPr>
            <w:r>
              <w:rPr>
                <w:rFonts w:ascii="Aptos" w:hAnsi="Aptos"/>
                <w:sz w:val="15"/>
              </w:rPr>
              <w:t>OPEN — no actual verification</w:t>
            </w:r>
          </w:p>
        </w:tc>
      </w:tr>
      <w:tr>
        <w:tc>
          <w:tcPr>
            <w:tcW w:type="dxa" w:w="3277"/>
            <w:vAlign w:val="top"/>
          </w:tcPr>
          <w:p>
            <w:pPr>
              <w:spacing w:after="40"/>
            </w:pPr>
            <w:r>
              <w:rPr>
                <w:rFonts w:ascii="Aptos" w:hAnsi="Aptos"/>
                <w:sz w:val="15"/>
              </w:rPr>
              <w:t>REQ-17 / §6.6 / Annex G</w:t>
            </w:r>
          </w:p>
        </w:tc>
        <w:tc>
          <w:tcPr>
            <w:tcW w:type="dxa" w:w="3277"/>
            <w:vAlign w:val="top"/>
          </w:tcPr>
          <w:p>
            <w:pPr>
              <w:spacing w:after="40"/>
            </w:pPr>
            <w:r>
              <w:rPr>
                <w:rFonts w:ascii="Aptos" w:hAnsi="Aptos"/>
                <w:sz w:val="15"/>
              </w:rPr>
              <w:t>See linked GAP-015; verify controlled technical input.</w:t>
            </w:r>
          </w:p>
        </w:tc>
        <w:tc>
          <w:tcPr>
            <w:tcW w:type="dxa" w:w="3277"/>
            <w:vAlign w:val="top"/>
          </w:tcPr>
          <w:p>
            <w:pPr>
              <w:spacing w:after="40"/>
            </w:pPr>
            <w:r>
              <w:rPr>
                <w:rFonts w:ascii="Aptos" w:hAnsi="Aptos"/>
                <w:sz w:val="15"/>
              </w:rPr>
              <w:t>OPEN — no actual verification</w:t>
            </w:r>
          </w:p>
        </w:tc>
      </w:tr>
      <w:tr>
        <w:tc>
          <w:tcPr>
            <w:tcW w:type="dxa" w:w="3277"/>
            <w:vAlign w:val="top"/>
            <w:shd w:fill="F1F5F9"/>
          </w:tcPr>
          <w:p>
            <w:pPr>
              <w:spacing w:after="40"/>
            </w:pPr>
            <w:r>
              <w:rPr>
                <w:rFonts w:ascii="Aptos" w:hAnsi="Aptos"/>
                <w:sz w:val="15"/>
              </w:rPr>
              <w:t>REQ-18 / §6.7 / Annex H informative</w:t>
            </w:r>
          </w:p>
        </w:tc>
        <w:tc>
          <w:tcPr>
            <w:tcW w:type="dxa" w:w="3277"/>
            <w:vAlign w:val="top"/>
            <w:shd w:fill="F1F5F9"/>
          </w:tcPr>
          <w:p>
            <w:pPr>
              <w:spacing w:after="40"/>
            </w:pPr>
            <w:r>
              <w:rPr>
                <w:rFonts w:ascii="Aptos" w:hAnsi="Aptos"/>
                <w:sz w:val="15"/>
              </w:rPr>
              <w:t>See linked GAP-020; verify controlled technical input.</w:t>
            </w:r>
          </w:p>
        </w:tc>
        <w:tc>
          <w:tcPr>
            <w:tcW w:type="dxa" w:w="3277"/>
            <w:vAlign w:val="top"/>
            <w:shd w:fill="F1F5F9"/>
          </w:tcPr>
          <w:p>
            <w:pPr>
              <w:spacing w:after="40"/>
            </w:pPr>
            <w:r>
              <w:rPr>
                <w:rFonts w:ascii="Aptos" w:hAnsi="Aptos"/>
                <w:sz w:val="15"/>
              </w:rPr>
              <w:t>OPEN — no actual verification</w:t>
            </w:r>
          </w:p>
        </w:tc>
      </w:tr>
      <w:tr>
        <w:tc>
          <w:tcPr>
            <w:tcW w:type="dxa" w:w="3277"/>
            <w:vAlign w:val="top"/>
          </w:tcPr>
          <w:p>
            <w:pPr>
              <w:spacing w:after="40"/>
            </w:pPr>
            <w:r>
              <w:rPr>
                <w:rFonts w:ascii="Aptos" w:hAnsi="Aptos"/>
                <w:sz w:val="15"/>
              </w:rPr>
              <w:t>REQ-19 / §6.8 / Annex I</w:t>
            </w:r>
          </w:p>
        </w:tc>
        <w:tc>
          <w:tcPr>
            <w:tcW w:type="dxa" w:w="3277"/>
            <w:vAlign w:val="top"/>
          </w:tcPr>
          <w:p>
            <w:pPr>
              <w:spacing w:after="40"/>
            </w:pPr>
            <w:r>
              <w:rPr>
                <w:rFonts w:ascii="Aptos" w:hAnsi="Aptos"/>
                <w:sz w:val="15"/>
              </w:rPr>
              <w:t>See linked GAP-020; verify controlled technical input.</w:t>
            </w:r>
          </w:p>
        </w:tc>
        <w:tc>
          <w:tcPr>
            <w:tcW w:type="dxa" w:w="3277"/>
            <w:vAlign w:val="top"/>
          </w:tcPr>
          <w:p>
            <w:pPr>
              <w:spacing w:after="40"/>
            </w:pPr>
            <w:r>
              <w:rPr>
                <w:rFonts w:ascii="Aptos" w:hAnsi="Aptos"/>
                <w:sz w:val="15"/>
              </w:rPr>
              <w:t>OPEN — no actual verification</w:t>
            </w:r>
          </w:p>
        </w:tc>
      </w:tr>
      <w:tr>
        <w:tc>
          <w:tcPr>
            <w:tcW w:type="dxa" w:w="3277"/>
            <w:vAlign w:val="top"/>
            <w:shd w:fill="F1F5F9"/>
          </w:tcPr>
          <w:p>
            <w:pPr>
              <w:spacing w:after="40"/>
            </w:pPr>
            <w:r>
              <w:rPr>
                <w:rFonts w:ascii="Aptos" w:hAnsi="Aptos"/>
                <w:sz w:val="15"/>
              </w:rPr>
              <w:t>REQ-20 / §6.9 / Annex J/K</w:t>
            </w:r>
          </w:p>
        </w:tc>
        <w:tc>
          <w:tcPr>
            <w:tcW w:type="dxa" w:w="3277"/>
            <w:vAlign w:val="top"/>
            <w:shd w:fill="F1F5F9"/>
          </w:tcPr>
          <w:p>
            <w:pPr>
              <w:spacing w:after="40"/>
            </w:pPr>
            <w:r>
              <w:rPr>
                <w:rFonts w:ascii="Aptos" w:hAnsi="Aptos"/>
                <w:sz w:val="15"/>
              </w:rPr>
              <w:t>See linked GAP-020; verify controlled technical input.</w:t>
            </w:r>
          </w:p>
        </w:tc>
        <w:tc>
          <w:tcPr>
            <w:tcW w:type="dxa" w:w="3277"/>
            <w:vAlign w:val="top"/>
            <w:shd w:fill="F1F5F9"/>
          </w:tcPr>
          <w:p>
            <w:pPr>
              <w:spacing w:after="40"/>
            </w:pPr>
            <w:r>
              <w:rPr>
                <w:rFonts w:ascii="Aptos" w:hAnsi="Aptos"/>
                <w:sz w:val="15"/>
              </w:rPr>
              <w:t>OPEN — no actual verification</w:t>
            </w:r>
          </w:p>
        </w:tc>
      </w:tr>
      <w:tr>
        <w:tc>
          <w:tcPr>
            <w:tcW w:type="dxa" w:w="3277"/>
            <w:vAlign w:val="top"/>
          </w:tcPr>
          <w:p>
            <w:pPr>
              <w:spacing w:after="40"/>
            </w:pPr>
            <w:r>
              <w:rPr>
                <w:rFonts w:ascii="Aptos" w:hAnsi="Aptos"/>
                <w:sz w:val="15"/>
              </w:rPr>
              <w:t>REQ-21 / §6.10 / Annex L</w:t>
            </w:r>
          </w:p>
        </w:tc>
        <w:tc>
          <w:tcPr>
            <w:tcW w:type="dxa" w:w="3277"/>
            <w:vAlign w:val="top"/>
          </w:tcPr>
          <w:p>
            <w:pPr>
              <w:spacing w:after="40"/>
            </w:pPr>
            <w:r>
              <w:rPr>
                <w:rFonts w:ascii="Aptos" w:hAnsi="Aptos"/>
                <w:sz w:val="15"/>
              </w:rPr>
              <w:t>See linked GAP-020; verify controlled technical input.</w:t>
            </w:r>
          </w:p>
        </w:tc>
        <w:tc>
          <w:tcPr>
            <w:tcW w:type="dxa" w:w="3277"/>
            <w:vAlign w:val="top"/>
          </w:tcPr>
          <w:p>
            <w:pPr>
              <w:spacing w:after="40"/>
            </w:pPr>
            <w:r>
              <w:rPr>
                <w:rFonts w:ascii="Aptos" w:hAnsi="Aptos"/>
                <w:sz w:val="15"/>
              </w:rPr>
              <w:t>OPEN — no actual verification</w:t>
            </w:r>
          </w:p>
        </w:tc>
      </w:tr>
      <w:tr>
        <w:tc>
          <w:tcPr>
            <w:tcW w:type="dxa" w:w="3277"/>
            <w:vAlign w:val="top"/>
            <w:shd w:fill="F1F5F9"/>
          </w:tcPr>
          <w:p>
            <w:pPr>
              <w:spacing w:after="40"/>
            </w:pPr>
            <w:r>
              <w:rPr>
                <w:rFonts w:ascii="Aptos" w:hAnsi="Aptos"/>
                <w:sz w:val="15"/>
              </w:rPr>
              <w:t>REQ-22 / §6.11 / Annex M</w:t>
            </w:r>
          </w:p>
        </w:tc>
        <w:tc>
          <w:tcPr>
            <w:tcW w:type="dxa" w:w="3277"/>
            <w:vAlign w:val="top"/>
            <w:shd w:fill="F1F5F9"/>
          </w:tcPr>
          <w:p>
            <w:pPr>
              <w:spacing w:after="40"/>
            </w:pPr>
            <w:r>
              <w:rPr>
                <w:rFonts w:ascii="Aptos" w:hAnsi="Aptos"/>
                <w:sz w:val="15"/>
              </w:rPr>
              <w:t>See linked GAP-013; verify controlled technical input.</w:t>
            </w:r>
          </w:p>
        </w:tc>
        <w:tc>
          <w:tcPr>
            <w:tcW w:type="dxa" w:w="3277"/>
            <w:vAlign w:val="top"/>
            <w:shd w:fill="F1F5F9"/>
          </w:tcPr>
          <w:p>
            <w:pPr>
              <w:spacing w:after="40"/>
            </w:pPr>
            <w:r>
              <w:rPr>
                <w:rFonts w:ascii="Aptos" w:hAnsi="Aptos"/>
                <w:sz w:val="15"/>
              </w:rPr>
              <w:t>OPEN — no actual verification</w:t>
            </w:r>
          </w:p>
        </w:tc>
      </w:tr>
      <w:tr>
        <w:tc>
          <w:tcPr>
            <w:tcW w:type="dxa" w:w="3277"/>
            <w:vAlign w:val="top"/>
          </w:tcPr>
          <w:p>
            <w:pPr>
              <w:spacing w:after="40"/>
            </w:pPr>
            <w:r>
              <w:rPr>
                <w:rFonts w:ascii="Aptos" w:hAnsi="Aptos"/>
                <w:sz w:val="15"/>
              </w:rPr>
              <w:t>REQ-23 / §7.1</w:t>
            </w:r>
          </w:p>
        </w:tc>
        <w:tc>
          <w:tcPr>
            <w:tcW w:type="dxa" w:w="3277"/>
            <w:vAlign w:val="top"/>
          </w:tcPr>
          <w:p>
            <w:pPr>
              <w:spacing w:after="40"/>
            </w:pPr>
            <w:r>
              <w:rPr>
                <w:rFonts w:ascii="Aptos" w:hAnsi="Aptos"/>
                <w:sz w:val="15"/>
              </w:rPr>
              <w:t>See linked GAP-019; verify controlled technical input.</w:t>
            </w:r>
          </w:p>
        </w:tc>
        <w:tc>
          <w:tcPr>
            <w:tcW w:type="dxa" w:w="3277"/>
            <w:vAlign w:val="top"/>
          </w:tcPr>
          <w:p>
            <w:pPr>
              <w:spacing w:after="40"/>
            </w:pPr>
            <w:r>
              <w:rPr>
                <w:rFonts w:ascii="Aptos" w:hAnsi="Aptos"/>
                <w:sz w:val="15"/>
              </w:rPr>
              <w:t>OPEN — no actual verification</w:t>
            </w:r>
          </w:p>
        </w:tc>
      </w:tr>
      <w:tr>
        <w:tc>
          <w:tcPr>
            <w:tcW w:type="dxa" w:w="3277"/>
            <w:vAlign w:val="top"/>
            <w:shd w:fill="F1F5F9"/>
          </w:tcPr>
          <w:p>
            <w:pPr>
              <w:spacing w:after="40"/>
            </w:pPr>
            <w:r>
              <w:rPr>
                <w:rFonts w:ascii="Aptos" w:hAnsi="Aptos"/>
                <w:sz w:val="15"/>
              </w:rPr>
              <w:t>REQ-24 / §7.2</w:t>
            </w:r>
          </w:p>
        </w:tc>
        <w:tc>
          <w:tcPr>
            <w:tcW w:type="dxa" w:w="3277"/>
            <w:vAlign w:val="top"/>
            <w:shd w:fill="F1F5F9"/>
          </w:tcPr>
          <w:p>
            <w:pPr>
              <w:spacing w:after="40"/>
            </w:pPr>
            <w:r>
              <w:rPr>
                <w:rFonts w:ascii="Aptos" w:hAnsi="Aptos"/>
                <w:sz w:val="15"/>
              </w:rPr>
              <w:t>See linked GAP-019; verify controlled technical input.</w:t>
            </w:r>
          </w:p>
        </w:tc>
        <w:tc>
          <w:tcPr>
            <w:tcW w:type="dxa" w:w="3277"/>
            <w:vAlign w:val="top"/>
            <w:shd w:fill="F1F5F9"/>
          </w:tcPr>
          <w:p>
            <w:pPr>
              <w:spacing w:after="40"/>
            </w:pPr>
            <w:r>
              <w:rPr>
                <w:rFonts w:ascii="Aptos" w:hAnsi="Aptos"/>
                <w:sz w:val="15"/>
              </w:rPr>
              <w:t>OPEN — no actual verification</w:t>
            </w:r>
          </w:p>
        </w:tc>
      </w:tr>
      <w:tr>
        <w:tc>
          <w:tcPr>
            <w:tcW w:type="dxa" w:w="3277"/>
            <w:vAlign w:val="top"/>
          </w:tcPr>
          <w:p>
            <w:pPr>
              <w:spacing w:after="40"/>
            </w:pPr>
            <w:r>
              <w:rPr>
                <w:rFonts w:ascii="Aptos" w:hAnsi="Aptos"/>
                <w:sz w:val="15"/>
              </w:rPr>
              <w:t>REQ-25 / §7.3</w:t>
            </w:r>
          </w:p>
        </w:tc>
        <w:tc>
          <w:tcPr>
            <w:tcW w:type="dxa" w:w="3277"/>
            <w:vAlign w:val="top"/>
          </w:tcPr>
          <w:p>
            <w:pPr>
              <w:spacing w:after="40"/>
            </w:pPr>
            <w:r>
              <w:rPr>
                <w:rFonts w:ascii="Aptos" w:hAnsi="Aptos"/>
                <w:sz w:val="15"/>
              </w:rPr>
              <w:t>See linked GAP-019; verify controlled technical input.</w:t>
            </w:r>
          </w:p>
        </w:tc>
        <w:tc>
          <w:tcPr>
            <w:tcW w:type="dxa" w:w="3277"/>
            <w:vAlign w:val="top"/>
          </w:tcPr>
          <w:p>
            <w:pPr>
              <w:spacing w:after="40"/>
            </w:pPr>
            <w:r>
              <w:rPr>
                <w:rFonts w:ascii="Aptos" w:hAnsi="Aptos"/>
                <w:sz w:val="15"/>
              </w:rPr>
              <w:t>OPEN — no actual verification</w:t>
            </w:r>
          </w:p>
        </w:tc>
      </w:tr>
    </w:tbl>
    <w:p>
      <w:pPr>
        <w:pStyle w:val="Heading1"/>
      </w:pPr>
      <w:r>
        <w:t>10  QC Manager action plan</w:t>
      </w:r>
    </w:p>
    <w:tbl>
      <w:tblPr>
        <w:tblStyle w:val="TableGrid"/>
        <w:tblW w:type="auto" w:w="0"/>
        <w:jc w:val="center"/>
        <w:tblLook w:firstColumn="1" w:firstRow="1" w:lastColumn="0" w:lastRow="0" w:noHBand="0" w:noVBand="1" w:val="04A0"/>
      </w:tblPr>
      <w:tblGrid>
        <w:gridCol w:w="1639"/>
        <w:gridCol w:w="1639"/>
        <w:gridCol w:w="1639"/>
        <w:gridCol w:w="1639"/>
        <w:gridCol w:w="1639"/>
        <w:gridCol w:w="1639"/>
      </w:tblGrid>
      <w:tr>
        <w:trPr>
          <w:tblHeader w:val="true"/>
        </w:trPr>
        <w:tc>
          <w:tcPr>
            <w:tcW w:type="dxa" w:w="1639"/>
            <w:shd w:fill="17304D"/>
          </w:tcPr>
          <w:p>
            <w:r>
              <w:rPr>
                <w:b/>
                <w:color w:val="FFFFFF"/>
                <w:sz w:val="15"/>
              </w:rPr>
              <w:t>Gap ID</w:t>
            </w:r>
          </w:p>
        </w:tc>
        <w:tc>
          <w:tcPr>
            <w:tcW w:type="dxa" w:w="1639"/>
            <w:shd w:fill="17304D"/>
          </w:tcPr>
          <w:p>
            <w:r>
              <w:rPr>
                <w:b/>
                <w:color w:val="FFFFFF"/>
                <w:sz w:val="15"/>
              </w:rPr>
              <w:t>Priority</w:t>
            </w:r>
          </w:p>
        </w:tc>
        <w:tc>
          <w:tcPr>
            <w:tcW w:type="dxa" w:w="1639"/>
            <w:shd w:fill="17304D"/>
          </w:tcPr>
          <w:p>
            <w:r>
              <w:rPr>
                <w:b/>
                <w:color w:val="FFFFFF"/>
                <w:sz w:val="15"/>
              </w:rPr>
              <w:t>Required action</w:t>
            </w:r>
          </w:p>
        </w:tc>
        <w:tc>
          <w:tcPr>
            <w:tcW w:type="dxa" w:w="1639"/>
            <w:shd w:fill="17304D"/>
          </w:tcPr>
          <w:p>
            <w:r>
              <w:rPr>
                <w:b/>
                <w:color w:val="FFFFFF"/>
                <w:sz w:val="15"/>
              </w:rPr>
              <w:t>Responsible function</w:t>
            </w:r>
          </w:p>
        </w:tc>
        <w:tc>
          <w:tcPr>
            <w:tcW w:type="dxa" w:w="1639"/>
            <w:shd w:fill="17304D"/>
          </w:tcPr>
          <w:p>
            <w:r>
              <w:rPr>
                <w:b/>
                <w:color w:val="FFFFFF"/>
                <w:sz w:val="15"/>
              </w:rPr>
              <w:t>Required evidence</w:t>
            </w:r>
          </w:p>
        </w:tc>
        <w:tc>
          <w:tcPr>
            <w:tcW w:type="dxa" w:w="1639"/>
            <w:shd w:fill="17304D"/>
          </w:tcPr>
          <w:p>
            <w:r>
              <w:rPr>
                <w:b/>
                <w:color w:val="FFFFFF"/>
                <w:sz w:val="15"/>
              </w:rPr>
              <w:t>Closure status</w:t>
            </w:r>
          </w:p>
        </w:tc>
      </w:tr>
      <w:tr>
        <w:tc>
          <w:tcPr>
            <w:tcW w:type="dxa" w:w="1639"/>
            <w:vAlign w:val="top"/>
          </w:tcPr>
          <w:p>
            <w:pPr>
              <w:spacing w:after="40"/>
            </w:pPr>
            <w:r>
              <w:rPr>
                <w:rFonts w:ascii="Aptos" w:hAnsi="Aptos"/>
                <w:sz w:val="15"/>
              </w:rPr>
              <w:t>GAP-001</w:t>
            </w:r>
          </w:p>
        </w:tc>
        <w:tc>
          <w:tcPr>
            <w:tcW w:type="dxa" w:w="1639"/>
            <w:vAlign w:val="top"/>
          </w:tcPr>
          <w:p>
            <w:pPr>
              <w:spacing w:after="40"/>
            </w:pPr>
            <w:r>
              <w:rPr>
                <w:rFonts w:ascii="Aptos" w:hAnsi="Aptos"/>
                <w:sz w:val="15"/>
              </w:rPr>
              <w:t>P2</w:t>
            </w:r>
          </w:p>
        </w:tc>
        <w:tc>
          <w:tcPr>
            <w:tcW w:type="dxa" w:w="1639"/>
            <w:vAlign w:val="top"/>
          </w:tcPr>
          <w:p>
            <w:pPr>
              <w:spacing w:after="40"/>
            </w:pPr>
            <w:r>
              <w:rPr>
                <w:rFonts w:ascii="Aptos" w:hAnsi="Aptos"/>
                <w:sz w:val="15"/>
              </w:rPr>
              <w:t>Unreconciled controlled WI reference — validate and implement proposed controlled wording</w:t>
            </w:r>
          </w:p>
        </w:tc>
        <w:tc>
          <w:tcPr>
            <w:tcW w:type="dxa" w:w="1639"/>
            <w:vAlign w:val="top"/>
          </w:tcPr>
          <w:p>
            <w:pPr>
              <w:spacing w:after="40"/>
            </w:pPr>
            <w:r>
              <w:rPr>
                <w:rFonts w:ascii="Aptos" w:hAnsi="Aptos"/>
                <w:sz w:val="15"/>
              </w:rPr>
              <w:t>Document Control</w:t>
            </w:r>
          </w:p>
        </w:tc>
        <w:tc>
          <w:tcPr>
            <w:tcW w:type="dxa" w:w="1639"/>
            <w:vAlign w:val="top"/>
          </w:tcPr>
          <w:p>
            <w:pPr>
              <w:spacing w:after="40"/>
            </w:pPr>
            <w:r>
              <w:rPr>
                <w:rFonts w:ascii="Aptos" w:hAnsi="Aptos"/>
                <w:sz w:val="15"/>
              </w:rPr>
              <w:t>Approved document master list, supersession history, and controlled WI/form linkage. No evidence sup…</w:t>
            </w:r>
          </w:p>
        </w:tc>
        <w:tc>
          <w:tcPr>
            <w:tcW w:type="dxa" w:w="1639"/>
            <w:vAlign w:val="top"/>
          </w:tcPr>
          <w:p>
            <w:pPr>
              <w:spacing w:after="40"/>
            </w:pPr>
            <w:r>
              <w:rPr>
                <w:rFonts w:ascii="Aptos" w:hAnsi="Aptos"/>
                <w:sz w:val="15"/>
              </w:rPr>
              <w:t>Open — Approval</w:t>
            </w:r>
          </w:p>
        </w:tc>
      </w:tr>
      <w:tr>
        <w:tc>
          <w:tcPr>
            <w:tcW w:type="dxa" w:w="1639"/>
            <w:vAlign w:val="top"/>
            <w:shd w:fill="F1F5F9"/>
          </w:tcPr>
          <w:p>
            <w:pPr>
              <w:spacing w:after="40"/>
            </w:pPr>
            <w:r>
              <w:rPr>
                <w:rFonts w:ascii="Aptos" w:hAnsi="Aptos"/>
                <w:sz w:val="15"/>
              </w:rPr>
              <w:t>GAP-002</w:t>
            </w:r>
          </w:p>
        </w:tc>
        <w:tc>
          <w:tcPr>
            <w:tcW w:type="dxa" w:w="1639"/>
            <w:vAlign w:val="top"/>
            <w:shd w:fill="F1F5F9"/>
          </w:tcPr>
          <w:p>
            <w:pPr>
              <w:spacing w:after="40"/>
            </w:pPr>
            <w:r>
              <w:rPr>
                <w:rFonts w:ascii="Aptos" w:hAnsi="Aptos"/>
                <w:sz w:val="15"/>
              </w:rPr>
              <w:t>P1</w:t>
            </w:r>
          </w:p>
        </w:tc>
        <w:tc>
          <w:tcPr>
            <w:tcW w:type="dxa" w:w="1639"/>
            <w:vAlign w:val="top"/>
            <w:shd w:fill="F1F5F9"/>
          </w:tcPr>
          <w:p>
            <w:pPr>
              <w:spacing w:after="40"/>
            </w:pPr>
            <w:r>
              <w:rPr>
                <w:rFonts w:ascii="Aptos" w:hAnsi="Aptos"/>
                <w:sz w:val="15"/>
              </w:rPr>
              <w:t>Conflicting kit BOM and included instruments — validate and implement proposed controlled wording</w:t>
            </w:r>
          </w:p>
        </w:tc>
        <w:tc>
          <w:tcPr>
            <w:tcW w:type="dxa" w:w="1639"/>
            <w:vAlign w:val="top"/>
            <w:shd w:fill="F1F5F9"/>
          </w:tcPr>
          <w:p>
            <w:pPr>
              <w:spacing w:after="40"/>
            </w:pPr>
            <w:r>
              <w:rPr>
                <w:rFonts w:ascii="Aptos" w:hAnsi="Aptos"/>
                <w:sz w:val="15"/>
              </w:rPr>
              <w:t>Engineering / Production / QC</w:t>
            </w:r>
          </w:p>
        </w:tc>
        <w:tc>
          <w:tcPr>
            <w:tcW w:type="dxa" w:w="1639"/>
            <w:vAlign w:val="top"/>
            <w:shd w:fill="F1F5F9"/>
          </w:tcPr>
          <w:p>
            <w:pPr>
              <w:spacing w:after="40"/>
            </w:pPr>
            <w:r>
              <w:rPr>
                <w:rFonts w:ascii="Aptos" w:hAnsi="Aptos"/>
                <w:sz w:val="15"/>
              </w:rPr>
              <w:t>Signed current product-specific BOM, approved assembly specification, engineering change record, lot…</w:t>
            </w:r>
          </w:p>
        </w:tc>
        <w:tc>
          <w:tcPr>
            <w:tcW w:type="dxa" w:w="1639"/>
            <w:vAlign w:val="top"/>
            <w:shd w:fill="F1F5F9"/>
          </w:tcPr>
          <w:p>
            <w:pPr>
              <w:spacing w:after="40"/>
            </w:pPr>
            <w:r>
              <w:rPr>
                <w:rFonts w:ascii="Aptos" w:hAnsi="Aptos"/>
                <w:sz w:val="15"/>
              </w:rPr>
              <w:t>Open — Technical Input</w:t>
            </w:r>
          </w:p>
        </w:tc>
      </w:tr>
      <w:tr>
        <w:tc>
          <w:tcPr>
            <w:tcW w:type="dxa" w:w="1639"/>
            <w:vAlign w:val="top"/>
          </w:tcPr>
          <w:p>
            <w:pPr>
              <w:spacing w:after="40"/>
            </w:pPr>
            <w:r>
              <w:rPr>
                <w:rFonts w:ascii="Aptos" w:hAnsi="Aptos"/>
                <w:sz w:val="15"/>
              </w:rPr>
              <w:t>GAP-003</w:t>
            </w:r>
          </w:p>
        </w:tc>
        <w:tc>
          <w:tcPr>
            <w:tcW w:type="dxa" w:w="1639"/>
            <w:vAlign w:val="top"/>
          </w:tcPr>
          <w:p>
            <w:pPr>
              <w:spacing w:after="40"/>
            </w:pPr>
            <w:r>
              <w:rPr>
                <w:rFonts w:ascii="Aptos" w:hAnsi="Aptos"/>
                <w:sz w:val="15"/>
              </w:rPr>
              <w:t>P1</w:t>
            </w:r>
          </w:p>
        </w:tc>
        <w:tc>
          <w:tcPr>
            <w:tcW w:type="dxa" w:w="1639"/>
            <w:vAlign w:val="top"/>
          </w:tcPr>
          <w:p>
            <w:pPr>
              <w:spacing w:after="40"/>
            </w:pPr>
            <w:r>
              <w:rPr>
                <w:rFonts w:ascii="Aptos" w:hAnsi="Aptos"/>
                <w:sz w:val="15"/>
              </w:rPr>
              <w:t>Latex material contradiction — validate and implement proposed controlled wording</w:t>
            </w:r>
          </w:p>
        </w:tc>
        <w:tc>
          <w:tcPr>
            <w:tcW w:type="dxa" w:w="1639"/>
            <w:vAlign w:val="top"/>
          </w:tcPr>
          <w:p>
            <w:pPr>
              <w:spacing w:after="40"/>
            </w:pPr>
            <w:r>
              <w:rPr>
                <w:rFonts w:ascii="Aptos" w:hAnsi="Aptos"/>
                <w:sz w:val="15"/>
              </w:rPr>
              <w:t>Engineering / QA / Supplier Quality</w:t>
            </w:r>
          </w:p>
        </w:tc>
        <w:tc>
          <w:tcPr>
            <w:tcW w:type="dxa" w:w="1639"/>
            <w:vAlign w:val="top"/>
          </w:tcPr>
          <w:p>
            <w:pPr>
              <w:spacing w:after="40"/>
            </w:pPr>
            <w:r>
              <w:rPr>
                <w:rFonts w:ascii="Aptos" w:hAnsi="Aptos"/>
                <w:sz w:val="15"/>
              </w:rPr>
              <w:t>Approved component spec, supplier certificate and assessed labeling/risk file; reconciled WI/Form/BO…</w:t>
            </w:r>
          </w:p>
        </w:tc>
        <w:tc>
          <w:tcPr>
            <w:tcW w:type="dxa" w:w="1639"/>
            <w:vAlign w:val="top"/>
          </w:tcPr>
          <w:p>
            <w:pPr>
              <w:spacing w:after="40"/>
            </w:pPr>
            <w:r>
              <w:rPr>
                <w:rFonts w:ascii="Aptos" w:hAnsi="Aptos"/>
                <w:sz w:val="15"/>
              </w:rPr>
              <w:t>Open — Technical Input</w:t>
            </w:r>
          </w:p>
        </w:tc>
      </w:tr>
      <w:tr>
        <w:tc>
          <w:tcPr>
            <w:tcW w:type="dxa" w:w="1639"/>
            <w:vAlign w:val="top"/>
            <w:shd w:fill="F1F5F9"/>
          </w:tcPr>
          <w:p>
            <w:pPr>
              <w:spacing w:after="40"/>
            </w:pPr>
            <w:r>
              <w:rPr>
                <w:rFonts w:ascii="Aptos" w:hAnsi="Aptos"/>
                <w:sz w:val="15"/>
              </w:rPr>
              <w:t>GAP-004</w:t>
            </w:r>
          </w:p>
        </w:tc>
        <w:tc>
          <w:tcPr>
            <w:tcW w:type="dxa" w:w="1639"/>
            <w:vAlign w:val="top"/>
            <w:shd w:fill="F1F5F9"/>
          </w:tcPr>
          <w:p>
            <w:pPr>
              <w:spacing w:after="40"/>
            </w:pPr>
            <w:r>
              <w:rPr>
                <w:rFonts w:ascii="Aptos" w:hAnsi="Aptos"/>
                <w:sz w:val="15"/>
              </w:rPr>
              <w:t>P1</w:t>
            </w:r>
          </w:p>
        </w:tc>
        <w:tc>
          <w:tcPr>
            <w:tcW w:type="dxa" w:w="1639"/>
            <w:vAlign w:val="top"/>
            <w:shd w:fill="F1F5F9"/>
          </w:tcPr>
          <w:p>
            <w:pPr>
              <w:spacing w:after="40"/>
            </w:pPr>
            <w:r>
              <w:rPr>
                <w:rFonts w:ascii="Aptos" w:hAnsi="Aptos"/>
                <w:sz w:val="15"/>
              </w:rPr>
              <w:t>Lidocaine pack description, quantity and expiry — validate and implement proposed controlled wording</w:t>
            </w:r>
          </w:p>
        </w:tc>
        <w:tc>
          <w:tcPr>
            <w:tcW w:type="dxa" w:w="1639"/>
            <w:vAlign w:val="top"/>
            <w:shd w:fill="F1F5F9"/>
          </w:tcPr>
          <w:p>
            <w:pPr>
              <w:spacing w:after="40"/>
            </w:pPr>
            <w:r>
              <w:rPr>
                <w:rFonts w:ascii="Aptos" w:hAnsi="Aptos"/>
                <w:sz w:val="15"/>
              </w:rPr>
              <w:t>QA / Production / Supplier Quality</w:t>
            </w:r>
          </w:p>
        </w:tc>
        <w:tc>
          <w:tcPr>
            <w:tcW w:type="dxa" w:w="1639"/>
            <w:vAlign w:val="top"/>
            <w:shd w:fill="F1F5F9"/>
          </w:tcPr>
          <w:p>
            <w:pPr>
              <w:spacing w:after="40"/>
            </w:pPr>
            <w:r>
              <w:rPr>
                <w:rFonts w:ascii="Aptos" w:hAnsi="Aptos"/>
                <w:sz w:val="15"/>
              </w:rPr>
              <w:t>Approved BOM, product label/authorization, supplier documentation and component traceability; quanti…</w:t>
            </w:r>
          </w:p>
        </w:tc>
        <w:tc>
          <w:tcPr>
            <w:tcW w:type="dxa" w:w="1639"/>
            <w:vAlign w:val="top"/>
            <w:shd w:fill="F1F5F9"/>
          </w:tcPr>
          <w:p>
            <w:pPr>
              <w:spacing w:after="40"/>
            </w:pPr>
            <w:r>
              <w:rPr>
                <w:rFonts w:ascii="Aptos" w:hAnsi="Aptos"/>
                <w:sz w:val="15"/>
              </w:rPr>
              <w:t>Open — Technical Input</w:t>
            </w:r>
          </w:p>
        </w:tc>
      </w:tr>
      <w:tr>
        <w:tc>
          <w:tcPr>
            <w:tcW w:type="dxa" w:w="1639"/>
            <w:vAlign w:val="top"/>
          </w:tcPr>
          <w:p>
            <w:pPr>
              <w:spacing w:after="40"/>
            </w:pPr>
            <w:r>
              <w:rPr>
                <w:rFonts w:ascii="Aptos" w:hAnsi="Aptos"/>
                <w:sz w:val="15"/>
              </w:rPr>
              <w:t>GAP-005</w:t>
            </w:r>
          </w:p>
        </w:tc>
        <w:tc>
          <w:tcPr>
            <w:tcW w:type="dxa" w:w="1639"/>
            <w:vAlign w:val="top"/>
          </w:tcPr>
          <w:p>
            <w:pPr>
              <w:spacing w:after="40"/>
            </w:pPr>
            <w:r>
              <w:rPr>
                <w:rFonts w:ascii="Aptos" w:hAnsi="Aptos"/>
                <w:sz w:val="15"/>
              </w:rPr>
              <w:t>P2</w:t>
            </w:r>
          </w:p>
        </w:tc>
        <w:tc>
          <w:tcPr>
            <w:tcW w:type="dxa" w:w="1639"/>
            <w:vAlign w:val="top"/>
          </w:tcPr>
          <w:p>
            <w:pPr>
              <w:spacing w:after="40"/>
            </w:pPr>
            <w:r>
              <w:rPr>
                <w:rFonts w:ascii="Aptos" w:hAnsi="Aptos"/>
                <w:sz w:val="15"/>
              </w:rPr>
              <w:t>Suture length / unit inconsistency — validate and implement proposed controlled wording</w:t>
            </w:r>
          </w:p>
        </w:tc>
        <w:tc>
          <w:tcPr>
            <w:tcW w:type="dxa" w:w="1639"/>
            <w:vAlign w:val="top"/>
          </w:tcPr>
          <w:p>
            <w:pPr>
              <w:spacing w:after="40"/>
            </w:pPr>
            <w:r>
              <w:rPr>
                <w:rFonts w:ascii="Aptos" w:hAnsi="Aptos"/>
                <w:sz w:val="15"/>
              </w:rPr>
              <w:t>Engineering / QA</w:t>
            </w:r>
          </w:p>
        </w:tc>
        <w:tc>
          <w:tcPr>
            <w:tcW w:type="dxa" w:w="1639"/>
            <w:vAlign w:val="top"/>
          </w:tcPr>
          <w:p>
            <w:pPr>
              <w:spacing w:after="40"/>
            </w:pPr>
            <w:r>
              <w:rPr>
                <w:rFonts w:ascii="Aptos" w:hAnsi="Aptos"/>
                <w:sz w:val="15"/>
              </w:rPr>
              <w:t>Approved suture specification and supplier package label clarifying unit and size; revision approval…</w:t>
            </w:r>
          </w:p>
        </w:tc>
        <w:tc>
          <w:tcPr>
            <w:tcW w:type="dxa" w:w="1639"/>
            <w:vAlign w:val="top"/>
          </w:tcPr>
          <w:p>
            <w:pPr>
              <w:spacing w:after="40"/>
            </w:pPr>
            <w:r>
              <w:rPr>
                <w:rFonts w:ascii="Aptos" w:hAnsi="Aptos"/>
                <w:sz w:val="15"/>
              </w:rPr>
              <w:t>Open — Technical Input</w:t>
            </w:r>
          </w:p>
        </w:tc>
      </w:tr>
      <w:tr>
        <w:tc>
          <w:tcPr>
            <w:tcW w:type="dxa" w:w="1639"/>
            <w:vAlign w:val="top"/>
            <w:shd w:fill="F1F5F9"/>
          </w:tcPr>
          <w:p>
            <w:pPr>
              <w:spacing w:after="40"/>
            </w:pPr>
            <w:r>
              <w:rPr>
                <w:rFonts w:ascii="Aptos" w:hAnsi="Aptos"/>
                <w:sz w:val="15"/>
              </w:rPr>
              <w:t>GAP-006</w:t>
            </w:r>
          </w:p>
        </w:tc>
        <w:tc>
          <w:tcPr>
            <w:tcW w:type="dxa" w:w="1639"/>
            <w:vAlign w:val="top"/>
            <w:shd w:fill="F1F5F9"/>
          </w:tcPr>
          <w:p>
            <w:pPr>
              <w:spacing w:after="40"/>
            </w:pPr>
            <w:r>
              <w:rPr>
                <w:rFonts w:ascii="Aptos" w:hAnsi="Aptos"/>
                <w:sz w:val="15"/>
              </w:rPr>
              <w:t>P2</w:t>
            </w:r>
          </w:p>
        </w:tc>
        <w:tc>
          <w:tcPr>
            <w:tcW w:type="dxa" w:w="1639"/>
            <w:vAlign w:val="top"/>
            <w:shd w:fill="F1F5F9"/>
          </w:tcPr>
          <w:p>
            <w:pPr>
              <w:spacing w:after="40"/>
            </w:pPr>
            <w:r>
              <w:rPr>
                <w:rFonts w:ascii="Aptos" w:hAnsi="Aptos"/>
                <w:sz w:val="15"/>
              </w:rPr>
              <w:t>Gauze description / dimensional inconsistency — validate and implement proposed controlled wording</w:t>
            </w:r>
          </w:p>
        </w:tc>
        <w:tc>
          <w:tcPr>
            <w:tcW w:type="dxa" w:w="1639"/>
            <w:vAlign w:val="top"/>
            <w:shd w:fill="F1F5F9"/>
          </w:tcPr>
          <w:p>
            <w:pPr>
              <w:spacing w:after="40"/>
            </w:pPr>
            <w:r>
              <w:rPr>
                <w:rFonts w:ascii="Aptos" w:hAnsi="Aptos"/>
                <w:sz w:val="15"/>
              </w:rPr>
              <w:t>Engineering / QC</w:t>
            </w:r>
          </w:p>
        </w:tc>
        <w:tc>
          <w:tcPr>
            <w:tcW w:type="dxa" w:w="1639"/>
            <w:vAlign w:val="top"/>
            <w:shd w:fill="F1F5F9"/>
          </w:tcPr>
          <w:p>
            <w:pPr>
              <w:spacing w:after="40"/>
            </w:pPr>
            <w:r>
              <w:rPr>
                <w:rFonts w:ascii="Aptos" w:hAnsi="Aptos"/>
                <w:sz w:val="15"/>
              </w:rPr>
              <w:t>Approved gauze component specification, approved dimensional drawing, supplier evidence, verified up…</w:t>
            </w:r>
          </w:p>
        </w:tc>
        <w:tc>
          <w:tcPr>
            <w:tcW w:type="dxa" w:w="1639"/>
            <w:vAlign w:val="top"/>
            <w:shd w:fill="F1F5F9"/>
          </w:tcPr>
          <w:p>
            <w:pPr>
              <w:spacing w:after="40"/>
            </w:pPr>
            <w:r>
              <w:rPr>
                <w:rFonts w:ascii="Aptos" w:hAnsi="Aptos"/>
                <w:sz w:val="15"/>
              </w:rPr>
              <w:t>Open — Technical Input</w:t>
            </w:r>
          </w:p>
        </w:tc>
      </w:tr>
      <w:tr>
        <w:tc>
          <w:tcPr>
            <w:tcW w:type="dxa" w:w="1639"/>
            <w:vAlign w:val="top"/>
          </w:tcPr>
          <w:p>
            <w:pPr>
              <w:spacing w:after="40"/>
            </w:pPr>
            <w:r>
              <w:rPr>
                <w:rFonts w:ascii="Aptos" w:hAnsi="Aptos"/>
                <w:sz w:val="15"/>
              </w:rPr>
              <w:t>GAP-007</w:t>
            </w:r>
          </w:p>
        </w:tc>
        <w:tc>
          <w:tcPr>
            <w:tcW w:type="dxa" w:w="1639"/>
            <w:vAlign w:val="top"/>
          </w:tcPr>
          <w:p>
            <w:pPr>
              <w:spacing w:after="40"/>
            </w:pPr>
            <w:r>
              <w:rPr>
                <w:rFonts w:ascii="Aptos" w:hAnsi="Aptos"/>
                <w:sz w:val="15"/>
              </w:rPr>
              <w:t>P1</w:t>
            </w:r>
          </w:p>
        </w:tc>
        <w:tc>
          <w:tcPr>
            <w:tcW w:type="dxa" w:w="1639"/>
            <w:vAlign w:val="top"/>
          </w:tcPr>
          <w:p>
            <w:pPr>
              <w:spacing w:after="40"/>
            </w:pPr>
            <w:r>
              <w:rPr>
                <w:rFonts w:ascii="Aptos" w:hAnsi="Aptos"/>
                <w:sz w:val="15"/>
              </w:rPr>
              <w:t>Catheter size / visibility / surface criteria incomplete — validate and implement proposed controlled wording</w:t>
            </w:r>
          </w:p>
        </w:tc>
        <w:tc>
          <w:tcPr>
            <w:tcW w:type="dxa" w:w="1639"/>
            <w:vAlign w:val="top"/>
          </w:tcPr>
          <w:p>
            <w:pPr>
              <w:spacing w:after="40"/>
            </w:pPr>
            <w:r>
              <w:rPr>
                <w:rFonts w:ascii="Aptos" w:hAnsi="Aptos"/>
                <w:sz w:val="15"/>
              </w:rPr>
              <w:t>Engineering / QC / QA</w:t>
            </w:r>
          </w:p>
        </w:tc>
        <w:tc>
          <w:tcPr>
            <w:tcW w:type="dxa" w:w="1639"/>
            <w:vAlign w:val="top"/>
          </w:tcPr>
          <w:p>
            <w:pPr>
              <w:spacing w:after="40"/>
            </w:pPr>
            <w:r>
              <w:rPr>
                <w:rFonts w:ascii="Aptos" w:hAnsi="Aptos"/>
                <w:sz w:val="15"/>
              </w:rPr>
              <w:t>Approved product drawing and gauges, calibration IDs, completed dimensional records, radiopacity ris…</w:t>
            </w:r>
          </w:p>
        </w:tc>
        <w:tc>
          <w:tcPr>
            <w:tcW w:type="dxa" w:w="1639"/>
            <w:vAlign w:val="top"/>
          </w:tcPr>
          <w:p>
            <w:pPr>
              <w:spacing w:after="40"/>
            </w:pPr>
            <w:r>
              <w:rPr>
                <w:rFonts w:ascii="Aptos" w:hAnsi="Aptos"/>
                <w:sz w:val="15"/>
              </w:rPr>
              <w:t>Open — Technical Input</w:t>
            </w:r>
          </w:p>
        </w:tc>
      </w:tr>
      <w:tr>
        <w:tc>
          <w:tcPr>
            <w:tcW w:type="dxa" w:w="1639"/>
            <w:vAlign w:val="top"/>
            <w:shd w:fill="F1F5F9"/>
          </w:tcPr>
          <w:p>
            <w:pPr>
              <w:spacing w:after="40"/>
            </w:pPr>
            <w:r>
              <w:rPr>
                <w:rFonts w:ascii="Aptos" w:hAnsi="Aptos"/>
                <w:sz w:val="15"/>
              </w:rPr>
              <w:t>GAP-008</w:t>
            </w:r>
          </w:p>
        </w:tc>
        <w:tc>
          <w:tcPr>
            <w:tcW w:type="dxa" w:w="1639"/>
            <w:vAlign w:val="top"/>
            <w:shd w:fill="F1F5F9"/>
          </w:tcPr>
          <w:p>
            <w:pPr>
              <w:spacing w:after="40"/>
            </w:pPr>
            <w:r>
              <w:rPr>
                <w:rFonts w:ascii="Aptos" w:hAnsi="Aptos"/>
                <w:sz w:val="15"/>
              </w:rPr>
              <w:t>P2</w:t>
            </w:r>
          </w:p>
        </w:tc>
        <w:tc>
          <w:tcPr>
            <w:tcW w:type="dxa" w:w="1639"/>
            <w:vAlign w:val="top"/>
            <w:shd w:fill="F1F5F9"/>
          </w:tcPr>
          <w:p>
            <w:pPr>
              <w:spacing w:after="40"/>
            </w:pPr>
            <w:r>
              <w:rPr>
                <w:rFonts w:ascii="Aptos" w:hAnsi="Aptos"/>
                <w:sz w:val="15"/>
              </w:rPr>
              <w:t>Missing in-process result codes, time accountability and samples — validate and implement proposed controlled wording</w:t>
            </w:r>
          </w:p>
        </w:tc>
        <w:tc>
          <w:tcPr>
            <w:tcW w:type="dxa" w:w="1639"/>
            <w:vAlign w:val="top"/>
            <w:shd w:fill="F1F5F9"/>
          </w:tcPr>
          <w:p>
            <w:pPr>
              <w:spacing w:after="40"/>
            </w:pPr>
            <w:r>
              <w:rPr>
                <w:rFonts w:ascii="Aptos" w:hAnsi="Aptos"/>
                <w:sz w:val="15"/>
              </w:rPr>
              <w:t>QC / Production / QA</w:t>
            </w:r>
          </w:p>
        </w:tc>
        <w:tc>
          <w:tcPr>
            <w:tcW w:type="dxa" w:w="1639"/>
            <w:vAlign w:val="top"/>
            <w:shd w:fill="F1F5F9"/>
          </w:tcPr>
          <w:p>
            <w:pPr>
              <w:spacing w:after="40"/>
            </w:pPr>
            <w:r>
              <w:rPr>
                <w:rFonts w:ascii="Aptos" w:hAnsi="Aptos"/>
                <w:sz w:val="15"/>
              </w:rPr>
              <w:t>Approved risk-based control plan, completed signed first-piece and shift records, deviation investig…</w:t>
            </w:r>
          </w:p>
        </w:tc>
        <w:tc>
          <w:tcPr>
            <w:tcW w:type="dxa" w:w="1639"/>
            <w:vAlign w:val="top"/>
            <w:shd w:fill="F1F5F9"/>
          </w:tcPr>
          <w:p>
            <w:pPr>
              <w:spacing w:after="40"/>
            </w:pPr>
            <w:r>
              <w:rPr>
                <w:rFonts w:ascii="Aptos" w:hAnsi="Aptos"/>
                <w:sz w:val="15"/>
              </w:rPr>
              <w:t>Open — Technical Input</w:t>
            </w:r>
          </w:p>
        </w:tc>
      </w:tr>
      <w:tr>
        <w:tc>
          <w:tcPr>
            <w:tcW w:type="dxa" w:w="1639"/>
            <w:vAlign w:val="top"/>
          </w:tcPr>
          <w:p>
            <w:pPr>
              <w:spacing w:after="40"/>
            </w:pPr>
            <w:r>
              <w:rPr>
                <w:rFonts w:ascii="Aptos" w:hAnsi="Aptos"/>
                <w:sz w:val="15"/>
              </w:rPr>
              <w:t>GAP-009</w:t>
            </w:r>
          </w:p>
        </w:tc>
        <w:tc>
          <w:tcPr>
            <w:tcW w:type="dxa" w:w="1639"/>
            <w:vAlign w:val="top"/>
          </w:tcPr>
          <w:p>
            <w:pPr>
              <w:spacing w:after="40"/>
            </w:pPr>
            <w:r>
              <w:rPr>
                <w:rFonts w:ascii="Aptos" w:hAnsi="Aptos"/>
                <w:sz w:val="15"/>
              </w:rPr>
              <w:t>P2</w:t>
            </w:r>
          </w:p>
        </w:tc>
        <w:tc>
          <w:tcPr>
            <w:tcW w:type="dxa" w:w="1639"/>
            <w:vAlign w:val="top"/>
          </w:tcPr>
          <w:p>
            <w:pPr>
              <w:spacing w:after="40"/>
            </w:pPr>
            <w:r>
              <w:rPr>
                <w:rFonts w:ascii="Aptos" w:hAnsi="Aptos"/>
                <w:sz w:val="15"/>
              </w:rPr>
              <w:t>Incoming release and supplier-to-kit traceability — validate and implement proposed controlled wording</w:t>
            </w:r>
          </w:p>
        </w:tc>
        <w:tc>
          <w:tcPr>
            <w:tcW w:type="dxa" w:w="1639"/>
            <w:vAlign w:val="top"/>
          </w:tcPr>
          <w:p>
            <w:pPr>
              <w:spacing w:after="40"/>
            </w:pPr>
            <w:r>
              <w:rPr>
                <w:rFonts w:ascii="Aptos" w:hAnsi="Aptos"/>
                <w:sz w:val="15"/>
              </w:rPr>
              <w:t>Warehouse / QC / Production</w:t>
            </w:r>
          </w:p>
        </w:tc>
        <w:tc>
          <w:tcPr>
            <w:tcW w:type="dxa" w:w="1639"/>
            <w:vAlign w:val="top"/>
          </w:tcPr>
          <w:p>
            <w:pPr>
              <w:spacing w:after="40"/>
            </w:pPr>
            <w:r>
              <w:rPr>
                <w:rFonts w:ascii="Aptos" w:hAnsi="Aptos"/>
                <w:sz w:val="15"/>
              </w:rPr>
              <w:t>Approved receiving records/OBM inspection, lot traceability, completed issue slip and approved contr…</w:t>
            </w:r>
          </w:p>
        </w:tc>
        <w:tc>
          <w:tcPr>
            <w:tcW w:type="dxa" w:w="1639"/>
            <w:vAlign w:val="top"/>
          </w:tcPr>
          <w:p>
            <w:pPr>
              <w:spacing w:after="40"/>
            </w:pPr>
            <w:r>
              <w:rPr>
                <w:rFonts w:ascii="Aptos" w:hAnsi="Aptos"/>
                <w:sz w:val="15"/>
              </w:rPr>
              <w:t>Open — Evidence</w:t>
            </w:r>
          </w:p>
        </w:tc>
      </w:tr>
      <w:tr>
        <w:tc>
          <w:tcPr>
            <w:tcW w:type="dxa" w:w="1639"/>
            <w:vAlign w:val="top"/>
            <w:shd w:fill="F1F5F9"/>
          </w:tcPr>
          <w:p>
            <w:pPr>
              <w:spacing w:after="40"/>
            </w:pPr>
            <w:r>
              <w:rPr>
                <w:rFonts w:ascii="Aptos" w:hAnsi="Aptos"/>
                <w:sz w:val="15"/>
              </w:rPr>
              <w:t>GAP-010</w:t>
            </w:r>
          </w:p>
        </w:tc>
        <w:tc>
          <w:tcPr>
            <w:tcW w:type="dxa" w:w="1639"/>
            <w:vAlign w:val="top"/>
            <w:shd w:fill="F1F5F9"/>
          </w:tcPr>
          <w:p>
            <w:pPr>
              <w:spacing w:after="40"/>
            </w:pPr>
            <w:r>
              <w:rPr>
                <w:rFonts w:ascii="Aptos" w:hAnsi="Aptos"/>
                <w:sz w:val="15"/>
              </w:rPr>
              <w:t>P2</w:t>
            </w:r>
          </w:p>
        </w:tc>
        <w:tc>
          <w:tcPr>
            <w:tcW w:type="dxa" w:w="1639"/>
            <w:vAlign w:val="top"/>
            <w:shd w:fill="F1F5F9"/>
          </w:tcPr>
          <w:p>
            <w:pPr>
              <w:spacing w:after="40"/>
            </w:pPr>
            <w:r>
              <w:rPr>
                <w:rFonts w:ascii="Aptos" w:hAnsi="Aptos"/>
                <w:sz w:val="15"/>
              </w:rPr>
              <w:t>Surgical instrument / protective items not reconciled — validate and implement proposed controlled wording</w:t>
            </w:r>
          </w:p>
        </w:tc>
        <w:tc>
          <w:tcPr>
            <w:tcW w:type="dxa" w:w="1639"/>
            <w:vAlign w:val="top"/>
            <w:shd w:fill="F1F5F9"/>
          </w:tcPr>
          <w:p>
            <w:pPr>
              <w:spacing w:after="40"/>
            </w:pPr>
            <w:r>
              <w:rPr>
                <w:rFonts w:ascii="Aptos" w:hAnsi="Aptos"/>
                <w:sz w:val="15"/>
              </w:rPr>
              <w:t>Engineering / Production / QC</w:t>
            </w:r>
          </w:p>
        </w:tc>
        <w:tc>
          <w:tcPr>
            <w:tcW w:type="dxa" w:w="1639"/>
            <w:vAlign w:val="top"/>
            <w:shd w:fill="F1F5F9"/>
          </w:tcPr>
          <w:p>
            <w:pPr>
              <w:spacing w:after="40"/>
            </w:pPr>
            <w:r>
              <w:rPr>
                <w:rFonts w:ascii="Aptos" w:hAnsi="Aptos"/>
                <w:sz w:val="15"/>
              </w:rPr>
              <w:t>Current signed BOM and supplier component acceptance evidence; reconciled part names; completed asse…</w:t>
            </w:r>
          </w:p>
        </w:tc>
        <w:tc>
          <w:tcPr>
            <w:tcW w:type="dxa" w:w="1639"/>
            <w:vAlign w:val="top"/>
            <w:shd w:fill="F1F5F9"/>
          </w:tcPr>
          <w:p>
            <w:pPr>
              <w:spacing w:after="40"/>
            </w:pPr>
            <w:r>
              <w:rPr>
                <w:rFonts w:ascii="Aptos" w:hAnsi="Aptos"/>
                <w:sz w:val="15"/>
              </w:rPr>
              <w:t>Open — Technical Input</w:t>
            </w:r>
          </w:p>
        </w:tc>
      </w:tr>
      <w:tr>
        <w:tc>
          <w:tcPr>
            <w:tcW w:type="dxa" w:w="1639"/>
            <w:vAlign w:val="top"/>
          </w:tcPr>
          <w:p>
            <w:pPr>
              <w:spacing w:after="40"/>
            </w:pPr>
            <w:r>
              <w:rPr>
                <w:rFonts w:ascii="Aptos" w:hAnsi="Aptos"/>
                <w:sz w:val="15"/>
              </w:rPr>
              <w:t>GAP-011</w:t>
            </w:r>
          </w:p>
        </w:tc>
        <w:tc>
          <w:tcPr>
            <w:tcW w:type="dxa" w:w="1639"/>
            <w:vAlign w:val="top"/>
          </w:tcPr>
          <w:p>
            <w:pPr>
              <w:spacing w:after="40"/>
            </w:pPr>
            <w:r>
              <w:rPr>
                <w:rFonts w:ascii="Aptos" w:hAnsi="Aptos"/>
                <w:sz w:val="15"/>
              </w:rPr>
              <w:t>P1</w:t>
            </w:r>
          </w:p>
        </w:tc>
        <w:tc>
          <w:tcPr>
            <w:tcW w:type="dxa" w:w="1639"/>
            <w:vAlign w:val="top"/>
          </w:tcPr>
          <w:p>
            <w:pPr>
              <w:spacing w:after="40"/>
            </w:pPr>
            <w:r>
              <w:rPr>
                <w:rFonts w:ascii="Aptos" w:hAnsi="Aptos"/>
                <w:sz w:val="15"/>
              </w:rPr>
              <w:t>Qualification evidence for safe access, kink and drainage performance — validate and implement proposed controlled wording</w:t>
            </w:r>
          </w:p>
        </w:tc>
        <w:tc>
          <w:tcPr>
            <w:tcW w:type="dxa" w:w="1639"/>
            <w:vAlign w:val="top"/>
          </w:tcPr>
          <w:p>
            <w:pPr>
              <w:spacing w:after="40"/>
            </w:pPr>
            <w:r>
              <w:rPr>
                <w:rFonts w:ascii="Aptos" w:hAnsi="Aptos"/>
                <w:sz w:val="15"/>
              </w:rPr>
              <w:t>Engineering / QA</w:t>
            </w:r>
          </w:p>
        </w:tc>
        <w:tc>
          <w:tcPr>
            <w:tcW w:type="dxa" w:w="1639"/>
            <w:vAlign w:val="top"/>
          </w:tcPr>
          <w:p>
            <w:pPr>
              <w:spacing w:after="40"/>
            </w:pPr>
            <w:r>
              <w:rPr>
                <w:rFonts w:ascii="Aptos" w:hAnsi="Aptos"/>
                <w:sz w:val="15"/>
              </w:rPr>
              <w:t>Approved risk file, engineering verification and/or clinical performance evidence, configuration bri…</w:t>
            </w:r>
          </w:p>
        </w:tc>
        <w:tc>
          <w:tcPr>
            <w:tcW w:type="dxa" w:w="1639"/>
            <w:vAlign w:val="top"/>
          </w:tcPr>
          <w:p>
            <w:pPr>
              <w:spacing w:after="40"/>
            </w:pPr>
            <w:r>
              <w:rPr>
                <w:rFonts w:ascii="Aptos" w:hAnsi="Aptos"/>
                <w:sz w:val="15"/>
              </w:rPr>
              <w:t>Open — Evidence</w:t>
            </w:r>
          </w:p>
        </w:tc>
      </w:tr>
      <w:tr>
        <w:tc>
          <w:tcPr>
            <w:tcW w:type="dxa" w:w="1639"/>
            <w:vAlign w:val="top"/>
            <w:shd w:fill="F1F5F9"/>
          </w:tcPr>
          <w:p>
            <w:pPr>
              <w:spacing w:after="40"/>
            </w:pPr>
            <w:r>
              <w:rPr>
                <w:rFonts w:ascii="Aptos" w:hAnsi="Aptos"/>
                <w:sz w:val="15"/>
              </w:rPr>
              <w:t>GAP-012</w:t>
            </w:r>
          </w:p>
        </w:tc>
        <w:tc>
          <w:tcPr>
            <w:tcW w:type="dxa" w:w="1639"/>
            <w:vAlign w:val="top"/>
            <w:shd w:fill="F1F5F9"/>
          </w:tcPr>
          <w:p>
            <w:pPr>
              <w:spacing w:after="40"/>
            </w:pPr>
            <w:r>
              <w:rPr>
                <w:rFonts w:ascii="Aptos" w:hAnsi="Aptos"/>
                <w:sz w:val="15"/>
              </w:rPr>
              <w:t>P1</w:t>
            </w:r>
          </w:p>
        </w:tc>
        <w:tc>
          <w:tcPr>
            <w:tcW w:type="dxa" w:w="1639"/>
            <w:vAlign w:val="top"/>
            <w:shd w:fill="F1F5F9"/>
          </w:tcPr>
          <w:p>
            <w:pPr>
              <w:spacing w:after="40"/>
            </w:pPr>
            <w:r>
              <w:rPr>
                <w:rFonts w:ascii="Aptos" w:hAnsi="Aptos"/>
                <w:sz w:val="15"/>
              </w:rPr>
              <w:t>Unverified risk management and biological evaluation — validate and implement proposed controlled wording</w:t>
            </w:r>
          </w:p>
        </w:tc>
        <w:tc>
          <w:tcPr>
            <w:tcW w:type="dxa" w:w="1639"/>
            <w:vAlign w:val="top"/>
            <w:shd w:fill="F1F5F9"/>
          </w:tcPr>
          <w:p>
            <w:pPr>
              <w:spacing w:after="40"/>
            </w:pPr>
            <w:r>
              <w:rPr>
                <w:rFonts w:ascii="Aptos" w:hAnsi="Aptos"/>
                <w:sz w:val="15"/>
              </w:rPr>
              <w:t>QA / Regulatory / Engineering</w:t>
            </w:r>
          </w:p>
        </w:tc>
        <w:tc>
          <w:tcPr>
            <w:tcW w:type="dxa" w:w="1639"/>
            <w:vAlign w:val="top"/>
            <w:shd w:fill="F1F5F9"/>
          </w:tcPr>
          <w:p>
            <w:pPr>
              <w:spacing w:after="40"/>
            </w:pPr>
            <w:r>
              <w:rPr>
                <w:rFonts w:ascii="Aptos" w:hAnsi="Aptos"/>
                <w:sz w:val="15"/>
              </w:rPr>
              <w:t>Approved product-specific risk management, ISO 10993-1-based evaluation and any required supporting …</w:t>
            </w:r>
          </w:p>
        </w:tc>
        <w:tc>
          <w:tcPr>
            <w:tcW w:type="dxa" w:w="1639"/>
            <w:vAlign w:val="top"/>
            <w:shd w:fill="F1F5F9"/>
          </w:tcPr>
          <w:p>
            <w:pPr>
              <w:spacing w:after="40"/>
            </w:pPr>
            <w:r>
              <w:rPr>
                <w:rFonts w:ascii="Aptos" w:hAnsi="Aptos"/>
                <w:sz w:val="15"/>
              </w:rPr>
              <w:t>Open — Evidence</w:t>
            </w:r>
          </w:p>
        </w:tc>
      </w:tr>
      <w:tr>
        <w:tc>
          <w:tcPr>
            <w:tcW w:type="dxa" w:w="1639"/>
            <w:vAlign w:val="top"/>
          </w:tcPr>
          <w:p>
            <w:pPr>
              <w:spacing w:after="40"/>
            </w:pPr>
            <w:r>
              <w:rPr>
                <w:rFonts w:ascii="Aptos" w:hAnsi="Aptos"/>
                <w:sz w:val="15"/>
              </w:rPr>
              <w:t>GAP-013</w:t>
            </w:r>
          </w:p>
        </w:tc>
        <w:tc>
          <w:tcPr>
            <w:tcW w:type="dxa" w:w="1639"/>
            <w:vAlign w:val="top"/>
          </w:tcPr>
          <w:p>
            <w:pPr>
              <w:spacing w:after="40"/>
            </w:pPr>
            <w:r>
              <w:rPr>
                <w:rFonts w:ascii="Aptos" w:hAnsi="Aptos"/>
                <w:sz w:val="15"/>
              </w:rPr>
              <w:t>P1</w:t>
            </w:r>
          </w:p>
        </w:tc>
        <w:tc>
          <w:tcPr>
            <w:tcW w:type="dxa" w:w="1639"/>
            <w:vAlign w:val="top"/>
          </w:tcPr>
          <w:p>
            <w:pPr>
              <w:spacing w:after="40"/>
            </w:pPr>
            <w:r>
              <w:rPr>
                <w:rFonts w:ascii="Aptos" w:hAnsi="Aptos"/>
                <w:sz w:val="15"/>
              </w:rPr>
              <w:t>Negative-pressure integrity verification not linked — validate and implement proposed controlled wording</w:t>
            </w:r>
          </w:p>
        </w:tc>
        <w:tc>
          <w:tcPr>
            <w:tcW w:type="dxa" w:w="1639"/>
            <w:vAlign w:val="top"/>
          </w:tcPr>
          <w:p>
            <w:pPr>
              <w:spacing w:after="40"/>
            </w:pPr>
            <w:r>
              <w:rPr>
                <w:rFonts w:ascii="Aptos" w:hAnsi="Aptos"/>
                <w:sz w:val="15"/>
              </w:rPr>
              <w:t>Engineering / QA</w:t>
            </w:r>
          </w:p>
        </w:tc>
        <w:tc>
          <w:tcPr>
            <w:tcW w:type="dxa" w:w="1639"/>
            <w:vAlign w:val="top"/>
          </w:tcPr>
          <w:p>
            <w:pPr>
              <w:spacing w:after="40"/>
            </w:pPr>
            <w:r>
              <w:rPr>
                <w:rFonts w:ascii="Aptos" w:hAnsi="Aptos"/>
                <w:sz w:val="15"/>
              </w:rPr>
              <w:t>Authorized intended-use/label, signed max suction, completed Annex C/M report or approved alternativ…</w:t>
            </w:r>
          </w:p>
        </w:tc>
        <w:tc>
          <w:tcPr>
            <w:tcW w:type="dxa" w:w="1639"/>
            <w:vAlign w:val="top"/>
          </w:tcPr>
          <w:p>
            <w:pPr>
              <w:spacing w:after="40"/>
            </w:pPr>
            <w:r>
              <w:rPr>
                <w:rFonts w:ascii="Aptos" w:hAnsi="Aptos"/>
                <w:sz w:val="15"/>
              </w:rPr>
              <w:t>Open — Technical Input</w:t>
            </w:r>
          </w:p>
        </w:tc>
      </w:tr>
      <w:tr>
        <w:tc>
          <w:tcPr>
            <w:tcW w:type="dxa" w:w="1639"/>
            <w:vAlign w:val="top"/>
            <w:shd w:fill="F1F5F9"/>
          </w:tcPr>
          <w:p>
            <w:pPr>
              <w:spacing w:after="40"/>
            </w:pPr>
            <w:r>
              <w:rPr>
                <w:rFonts w:ascii="Aptos" w:hAnsi="Aptos"/>
                <w:sz w:val="15"/>
              </w:rPr>
              <w:t>GAP-014</w:t>
            </w:r>
          </w:p>
        </w:tc>
        <w:tc>
          <w:tcPr>
            <w:tcW w:type="dxa" w:w="1639"/>
            <w:vAlign w:val="top"/>
            <w:shd w:fill="F1F5F9"/>
          </w:tcPr>
          <w:p>
            <w:pPr>
              <w:spacing w:after="40"/>
            </w:pPr>
            <w:r>
              <w:rPr>
                <w:rFonts w:ascii="Aptos" w:hAnsi="Aptos"/>
                <w:sz w:val="15"/>
              </w:rPr>
              <w:t>P1</w:t>
            </w:r>
          </w:p>
        </w:tc>
        <w:tc>
          <w:tcPr>
            <w:tcW w:type="dxa" w:w="1639"/>
            <w:vAlign w:val="top"/>
            <w:shd w:fill="F1F5F9"/>
          </w:tcPr>
          <w:p>
            <w:pPr>
              <w:spacing w:after="40"/>
            </w:pPr>
            <w:r>
              <w:rPr>
                <w:rFonts w:ascii="Aptos" w:hAnsi="Aptos"/>
                <w:sz w:val="15"/>
              </w:rPr>
              <w:t>Connection and catheter tensile force evidence not linked — validate and implement proposed controlled wording</w:t>
            </w:r>
          </w:p>
        </w:tc>
        <w:tc>
          <w:tcPr>
            <w:tcW w:type="dxa" w:w="1639"/>
            <w:vAlign w:val="top"/>
            <w:shd w:fill="F1F5F9"/>
          </w:tcPr>
          <w:p>
            <w:pPr>
              <w:spacing w:after="40"/>
            </w:pPr>
            <w:r>
              <w:rPr>
                <w:rFonts w:ascii="Aptos" w:hAnsi="Aptos"/>
                <w:sz w:val="15"/>
              </w:rPr>
              <w:t>Engineering / QA</w:t>
            </w:r>
          </w:p>
        </w:tc>
        <w:tc>
          <w:tcPr>
            <w:tcW w:type="dxa" w:w="1639"/>
            <w:vAlign w:val="top"/>
            <w:shd w:fill="F1F5F9"/>
          </w:tcPr>
          <w:p>
            <w:pPr>
              <w:spacing w:after="40"/>
            </w:pPr>
            <w:r>
              <w:rPr>
                <w:rFonts w:ascii="Aptos" w:hAnsi="Aptos"/>
                <w:sz w:val="15"/>
              </w:rPr>
              <w:t>Signed design verification plan and Annex D/E measurement worksheets with gauge length/diameter; tes…</w:t>
            </w:r>
          </w:p>
        </w:tc>
        <w:tc>
          <w:tcPr>
            <w:tcW w:type="dxa" w:w="1639"/>
            <w:vAlign w:val="top"/>
            <w:shd w:fill="F1F5F9"/>
          </w:tcPr>
          <w:p>
            <w:pPr>
              <w:spacing w:after="40"/>
            </w:pPr>
            <w:r>
              <w:rPr>
                <w:rFonts w:ascii="Aptos" w:hAnsi="Aptos"/>
                <w:sz w:val="15"/>
              </w:rPr>
              <w:t>Open — Technical Input</w:t>
            </w:r>
          </w:p>
        </w:tc>
      </w:tr>
      <w:tr>
        <w:tc>
          <w:tcPr>
            <w:tcW w:type="dxa" w:w="1639"/>
            <w:vAlign w:val="top"/>
          </w:tcPr>
          <w:p>
            <w:pPr>
              <w:spacing w:after="40"/>
            </w:pPr>
            <w:r>
              <w:rPr>
                <w:rFonts w:ascii="Aptos" w:hAnsi="Aptos"/>
                <w:sz w:val="15"/>
              </w:rPr>
              <w:t>GAP-015</w:t>
            </w:r>
          </w:p>
        </w:tc>
        <w:tc>
          <w:tcPr>
            <w:tcW w:type="dxa" w:w="1639"/>
            <w:vAlign w:val="top"/>
          </w:tcPr>
          <w:p>
            <w:pPr>
              <w:spacing w:after="40"/>
            </w:pPr>
            <w:r>
              <w:rPr>
                <w:rFonts w:ascii="Aptos" w:hAnsi="Aptos"/>
                <w:sz w:val="15"/>
              </w:rPr>
              <w:t>P1</w:t>
            </w:r>
          </w:p>
        </w:tc>
        <w:tc>
          <w:tcPr>
            <w:tcW w:type="dxa" w:w="1639"/>
            <w:vAlign w:val="top"/>
          </w:tcPr>
          <w:p>
            <w:pPr>
              <w:spacing w:after="40"/>
            </w:pPr>
            <w:r>
              <w:rPr>
                <w:rFonts w:ascii="Aptos" w:hAnsi="Aptos"/>
                <w:sz w:val="15"/>
              </w:rPr>
              <w:t>Declared catheter flow performance not verified — validate and implement proposed controlled wording</w:t>
            </w:r>
          </w:p>
        </w:tc>
        <w:tc>
          <w:tcPr>
            <w:tcW w:type="dxa" w:w="1639"/>
            <w:vAlign w:val="top"/>
          </w:tcPr>
          <w:p>
            <w:pPr>
              <w:spacing w:after="40"/>
            </w:pPr>
            <w:r>
              <w:rPr>
                <w:rFonts w:ascii="Aptos" w:hAnsi="Aptos"/>
                <w:sz w:val="15"/>
              </w:rPr>
              <w:t>Engineering / QA</w:t>
            </w:r>
          </w:p>
        </w:tc>
        <w:tc>
          <w:tcPr>
            <w:tcW w:type="dxa" w:w="1639"/>
            <w:vAlign w:val="top"/>
          </w:tcPr>
          <w:p>
            <w:pPr>
              <w:spacing w:after="40"/>
            </w:pPr>
            <w:r>
              <w:rPr>
                <w:rFonts w:ascii="Aptos" w:hAnsi="Aptos"/>
                <w:sz w:val="15"/>
              </w:rPr>
              <w:t>Approved product claims, completed Annex G report, dimensional specs, risk review and QA authorizati…</w:t>
            </w:r>
          </w:p>
        </w:tc>
        <w:tc>
          <w:tcPr>
            <w:tcW w:type="dxa" w:w="1639"/>
            <w:vAlign w:val="top"/>
          </w:tcPr>
          <w:p>
            <w:pPr>
              <w:spacing w:after="40"/>
            </w:pPr>
            <w:r>
              <w:rPr>
                <w:rFonts w:ascii="Aptos" w:hAnsi="Aptos"/>
                <w:sz w:val="15"/>
              </w:rPr>
              <w:t>Open — Technical Input</w:t>
            </w:r>
          </w:p>
        </w:tc>
      </w:tr>
      <w:tr>
        <w:tc>
          <w:tcPr>
            <w:tcW w:type="dxa" w:w="1639"/>
            <w:vAlign w:val="top"/>
            <w:shd w:fill="F1F5F9"/>
          </w:tcPr>
          <w:p>
            <w:pPr>
              <w:spacing w:after="40"/>
            </w:pPr>
            <w:r>
              <w:rPr>
                <w:rFonts w:ascii="Aptos" w:hAnsi="Aptos"/>
                <w:sz w:val="15"/>
              </w:rPr>
              <w:t>GAP-016</w:t>
            </w:r>
          </w:p>
        </w:tc>
        <w:tc>
          <w:tcPr>
            <w:tcW w:type="dxa" w:w="1639"/>
            <w:vAlign w:val="top"/>
            <w:shd w:fill="F1F5F9"/>
          </w:tcPr>
          <w:p>
            <w:pPr>
              <w:spacing w:after="40"/>
            </w:pPr>
            <w:r>
              <w:rPr>
                <w:rFonts w:ascii="Aptos" w:hAnsi="Aptos"/>
                <w:sz w:val="15"/>
              </w:rPr>
              <w:t>P2</w:t>
            </w:r>
          </w:p>
        </w:tc>
        <w:tc>
          <w:tcPr>
            <w:tcW w:type="dxa" w:w="1639"/>
            <w:vAlign w:val="top"/>
            <w:shd w:fill="F1F5F9"/>
          </w:tcPr>
          <w:p>
            <w:pPr>
              <w:spacing w:after="40"/>
            </w:pPr>
            <w:r>
              <w:rPr>
                <w:rFonts w:ascii="Aptos" w:hAnsi="Aptos"/>
                <w:sz w:val="15"/>
              </w:rPr>
              <w:t>Metallic catheter components / corrosion applicability unresolved — validate and implement proposed controlled wording</w:t>
            </w:r>
          </w:p>
        </w:tc>
        <w:tc>
          <w:tcPr>
            <w:tcW w:type="dxa" w:w="1639"/>
            <w:vAlign w:val="top"/>
            <w:shd w:fill="F1F5F9"/>
          </w:tcPr>
          <w:p>
            <w:pPr>
              <w:spacing w:after="40"/>
            </w:pPr>
            <w:r>
              <w:rPr>
                <w:rFonts w:ascii="Aptos" w:hAnsi="Aptos"/>
                <w:sz w:val="15"/>
              </w:rPr>
              <w:t>Engineering / QA</w:t>
            </w:r>
          </w:p>
        </w:tc>
        <w:tc>
          <w:tcPr>
            <w:tcW w:type="dxa" w:w="1639"/>
            <w:vAlign w:val="top"/>
            <w:shd w:fill="F1F5F9"/>
          </w:tcPr>
          <w:p>
            <w:pPr>
              <w:spacing w:after="40"/>
            </w:pPr>
            <w:r>
              <w:rPr>
                <w:rFonts w:ascii="Aptos" w:hAnsi="Aptos"/>
                <w:sz w:val="15"/>
              </w:rPr>
              <w:t>Risk review, approved materials, Annex B test if applicable, instrument incoming inspection and supp…</w:t>
            </w:r>
          </w:p>
        </w:tc>
        <w:tc>
          <w:tcPr>
            <w:tcW w:type="dxa" w:w="1639"/>
            <w:vAlign w:val="top"/>
            <w:shd w:fill="F1F5F9"/>
          </w:tcPr>
          <w:p>
            <w:pPr>
              <w:spacing w:after="40"/>
            </w:pPr>
            <w:r>
              <w:rPr>
                <w:rFonts w:ascii="Aptos" w:hAnsi="Aptos"/>
                <w:sz w:val="15"/>
              </w:rPr>
              <w:t>Open — Technical Input</w:t>
            </w:r>
          </w:p>
        </w:tc>
      </w:tr>
      <w:tr>
        <w:tc>
          <w:tcPr>
            <w:tcW w:type="dxa" w:w="1639"/>
            <w:vAlign w:val="top"/>
          </w:tcPr>
          <w:p>
            <w:pPr>
              <w:spacing w:after="40"/>
            </w:pPr>
            <w:r>
              <w:rPr>
                <w:rFonts w:ascii="Aptos" w:hAnsi="Aptos"/>
                <w:sz w:val="15"/>
              </w:rPr>
              <w:t>GAP-017</w:t>
            </w:r>
          </w:p>
        </w:tc>
        <w:tc>
          <w:tcPr>
            <w:tcW w:type="dxa" w:w="1639"/>
            <w:vAlign w:val="top"/>
          </w:tcPr>
          <w:p>
            <w:pPr>
              <w:spacing w:after="40"/>
            </w:pPr>
            <w:r>
              <w:rPr>
                <w:rFonts w:ascii="Aptos" w:hAnsi="Aptos"/>
                <w:sz w:val="15"/>
              </w:rPr>
              <w:t>P1</w:t>
            </w:r>
          </w:p>
        </w:tc>
        <w:tc>
          <w:tcPr>
            <w:tcW w:type="dxa" w:w="1639"/>
            <w:vAlign w:val="top"/>
          </w:tcPr>
          <w:p>
            <w:pPr>
              <w:spacing w:after="40"/>
            </w:pPr>
            <w:r>
              <w:rPr>
                <w:rFonts w:ascii="Aptos" w:hAnsi="Aptos"/>
                <w:sz w:val="15"/>
              </w:rPr>
              <w:t>Sterile barrier / seal validation linkage and checks incomplete — validate and implement proposed controlled wording</w:t>
            </w:r>
          </w:p>
        </w:tc>
        <w:tc>
          <w:tcPr>
            <w:tcW w:type="dxa" w:w="1639"/>
            <w:vAlign w:val="top"/>
          </w:tcPr>
          <w:p>
            <w:pPr>
              <w:spacing w:after="40"/>
            </w:pPr>
            <w:r>
              <w:rPr>
                <w:rFonts w:ascii="Aptos" w:hAnsi="Aptos"/>
                <w:sz w:val="15"/>
              </w:rPr>
              <w:t>Production / QA / QC</w:t>
            </w:r>
          </w:p>
        </w:tc>
        <w:tc>
          <w:tcPr>
            <w:tcW w:type="dxa" w:w="1639"/>
            <w:vAlign w:val="top"/>
          </w:tcPr>
          <w:p>
            <w:pPr>
              <w:spacing w:after="40"/>
            </w:pPr>
            <w:r>
              <w:rPr>
                <w:rFonts w:ascii="Aptos" w:hAnsi="Aptos"/>
                <w:sz w:val="15"/>
              </w:rPr>
              <w:t>Approved pouch specification, seal validation, sealer maintenance/calibration, actual packaging in-p…</w:t>
            </w:r>
          </w:p>
        </w:tc>
        <w:tc>
          <w:tcPr>
            <w:tcW w:type="dxa" w:w="1639"/>
            <w:vAlign w:val="top"/>
          </w:tcPr>
          <w:p>
            <w:pPr>
              <w:spacing w:after="40"/>
            </w:pPr>
            <w:r>
              <w:rPr>
                <w:rFonts w:ascii="Aptos" w:hAnsi="Aptos"/>
                <w:sz w:val="15"/>
              </w:rPr>
              <w:t>Open — Evidence</w:t>
            </w:r>
          </w:p>
        </w:tc>
      </w:tr>
      <w:tr>
        <w:tc>
          <w:tcPr>
            <w:tcW w:type="dxa" w:w="1639"/>
            <w:vAlign w:val="top"/>
            <w:shd w:fill="F1F5F9"/>
          </w:tcPr>
          <w:p>
            <w:pPr>
              <w:spacing w:after="40"/>
            </w:pPr>
            <w:r>
              <w:rPr>
                <w:rFonts w:ascii="Aptos" w:hAnsi="Aptos"/>
                <w:sz w:val="15"/>
              </w:rPr>
              <w:t>GAP-018</w:t>
            </w:r>
          </w:p>
        </w:tc>
        <w:tc>
          <w:tcPr>
            <w:tcW w:type="dxa" w:w="1639"/>
            <w:vAlign w:val="top"/>
            <w:shd w:fill="F1F5F9"/>
          </w:tcPr>
          <w:p>
            <w:pPr>
              <w:spacing w:after="40"/>
            </w:pPr>
            <w:r>
              <w:rPr>
                <w:rFonts w:ascii="Aptos" w:hAnsi="Aptos"/>
                <w:sz w:val="15"/>
              </w:rPr>
              <w:t>P1</w:t>
            </w:r>
          </w:p>
        </w:tc>
        <w:tc>
          <w:tcPr>
            <w:tcW w:type="dxa" w:w="1639"/>
            <w:vAlign w:val="top"/>
            <w:shd w:fill="F1F5F9"/>
          </w:tcPr>
          <w:p>
            <w:pPr>
              <w:spacing w:after="40"/>
            </w:pPr>
            <w:r>
              <w:rPr>
                <w:rFonts w:ascii="Aptos" w:hAnsi="Aptos"/>
                <w:sz w:val="15"/>
              </w:rPr>
              <w:t>Sterilization and final release evidence not traceable — validate and implement proposed controlled wording</w:t>
            </w:r>
          </w:p>
        </w:tc>
        <w:tc>
          <w:tcPr>
            <w:tcW w:type="dxa" w:w="1639"/>
            <w:vAlign w:val="top"/>
            <w:shd w:fill="F1F5F9"/>
          </w:tcPr>
          <w:p>
            <w:pPr>
              <w:spacing w:after="40"/>
            </w:pPr>
            <w:r>
              <w:rPr>
                <w:rFonts w:ascii="Aptos" w:hAnsi="Aptos"/>
                <w:sz w:val="15"/>
              </w:rPr>
              <w:t>QA / QCM</w:t>
            </w:r>
          </w:p>
        </w:tc>
        <w:tc>
          <w:tcPr>
            <w:tcW w:type="dxa" w:w="1639"/>
            <w:vAlign w:val="top"/>
            <w:shd w:fill="F1F5F9"/>
          </w:tcPr>
          <w:p>
            <w:pPr>
              <w:spacing w:after="40"/>
            </w:pPr>
            <w:r>
              <w:rPr>
                <w:rFonts w:ascii="Aptos" w:hAnsi="Aptos"/>
                <w:sz w:val="15"/>
              </w:rPr>
              <w:t>Validated sterilization process, actual batch-cycle and lab results, authorized review, F-8-2-4 sign…</w:t>
            </w:r>
          </w:p>
        </w:tc>
        <w:tc>
          <w:tcPr>
            <w:tcW w:type="dxa" w:w="1639"/>
            <w:vAlign w:val="top"/>
            <w:shd w:fill="F1F5F9"/>
          </w:tcPr>
          <w:p>
            <w:pPr>
              <w:spacing w:after="40"/>
            </w:pPr>
            <w:r>
              <w:rPr>
                <w:rFonts w:ascii="Aptos" w:hAnsi="Aptos"/>
                <w:sz w:val="15"/>
              </w:rPr>
              <w:t>Open — Evidence</w:t>
            </w:r>
          </w:p>
        </w:tc>
      </w:tr>
      <w:tr>
        <w:tc>
          <w:tcPr>
            <w:tcW w:type="dxa" w:w="1639"/>
            <w:vAlign w:val="top"/>
          </w:tcPr>
          <w:p>
            <w:pPr>
              <w:spacing w:after="40"/>
            </w:pPr>
            <w:r>
              <w:rPr>
                <w:rFonts w:ascii="Aptos" w:hAnsi="Aptos"/>
                <w:sz w:val="15"/>
              </w:rPr>
              <w:t>GAP-019</w:t>
            </w:r>
          </w:p>
        </w:tc>
        <w:tc>
          <w:tcPr>
            <w:tcW w:type="dxa" w:w="1639"/>
            <w:vAlign w:val="top"/>
          </w:tcPr>
          <w:p>
            <w:pPr>
              <w:spacing w:after="40"/>
            </w:pPr>
            <w:r>
              <w:rPr>
                <w:rFonts w:ascii="Aptos" w:hAnsi="Aptos"/>
                <w:sz w:val="15"/>
              </w:rPr>
              <w:t>P2</w:t>
            </w:r>
          </w:p>
        </w:tc>
        <w:tc>
          <w:tcPr>
            <w:tcW w:type="dxa" w:w="1639"/>
            <w:vAlign w:val="top"/>
          </w:tcPr>
          <w:p>
            <w:pPr>
              <w:spacing w:after="40"/>
            </w:pPr>
            <w:r>
              <w:rPr>
                <w:rFonts w:ascii="Aptos" w:hAnsi="Aptos"/>
                <w:sz w:val="15"/>
              </w:rPr>
              <w:t>Label/IFU acceptance and variant traceability incomplete — validate and implement proposed controlled wording</w:t>
            </w:r>
          </w:p>
        </w:tc>
        <w:tc>
          <w:tcPr>
            <w:tcW w:type="dxa" w:w="1639"/>
            <w:vAlign w:val="top"/>
          </w:tcPr>
          <w:p>
            <w:pPr>
              <w:spacing w:after="40"/>
            </w:pPr>
            <w:r>
              <w:rPr>
                <w:rFonts w:ascii="Aptos" w:hAnsi="Aptos"/>
                <w:sz w:val="15"/>
              </w:rPr>
              <w:t>Regulatory / QA / QC</w:t>
            </w:r>
          </w:p>
        </w:tc>
        <w:tc>
          <w:tcPr>
            <w:tcW w:type="dxa" w:w="1639"/>
            <w:vAlign w:val="top"/>
          </w:tcPr>
          <w:p>
            <w:pPr>
              <w:spacing w:after="40"/>
            </w:pPr>
            <w:r>
              <w:rPr>
                <w:rFonts w:ascii="Aptos" w:hAnsi="Aptos"/>
                <w:sz w:val="15"/>
              </w:rPr>
              <w:t>Approved finished-label artwork, IFU, translation/regulatory review, executed packaging/label inspec…</w:t>
            </w:r>
          </w:p>
        </w:tc>
        <w:tc>
          <w:tcPr>
            <w:tcW w:type="dxa" w:w="1639"/>
            <w:vAlign w:val="top"/>
          </w:tcPr>
          <w:p>
            <w:pPr>
              <w:spacing w:after="40"/>
            </w:pPr>
            <w:r>
              <w:rPr>
                <w:rFonts w:ascii="Aptos" w:hAnsi="Aptos"/>
                <w:sz w:val="15"/>
              </w:rPr>
              <w:t>Open — Evidence</w:t>
            </w:r>
          </w:p>
        </w:tc>
      </w:tr>
      <w:tr>
        <w:tc>
          <w:tcPr>
            <w:tcW w:type="dxa" w:w="1639"/>
            <w:vAlign w:val="top"/>
            <w:shd w:fill="F1F5F9"/>
          </w:tcPr>
          <w:p>
            <w:pPr>
              <w:spacing w:after="40"/>
            </w:pPr>
            <w:r>
              <w:rPr>
                <w:rFonts w:ascii="Aptos" w:hAnsi="Aptos"/>
                <w:sz w:val="15"/>
              </w:rPr>
              <w:t>GAP-020</w:t>
            </w:r>
          </w:p>
        </w:tc>
        <w:tc>
          <w:tcPr>
            <w:tcW w:type="dxa" w:w="1639"/>
            <w:vAlign w:val="top"/>
            <w:shd w:fill="F1F5F9"/>
          </w:tcPr>
          <w:p>
            <w:pPr>
              <w:spacing w:after="40"/>
            </w:pPr>
            <w:r>
              <w:rPr>
                <w:rFonts w:ascii="Aptos" w:hAnsi="Aptos"/>
                <w:sz w:val="15"/>
              </w:rPr>
              <w:t>P2</w:t>
            </w:r>
          </w:p>
        </w:tc>
        <w:tc>
          <w:tcPr>
            <w:tcW w:type="dxa" w:w="1639"/>
            <w:vAlign w:val="top"/>
            <w:shd w:fill="F1F5F9"/>
          </w:tcPr>
          <w:p>
            <w:pPr>
              <w:spacing w:after="40"/>
            </w:pPr>
            <w:r>
              <w:rPr>
                <w:rFonts w:ascii="Aptos" w:hAnsi="Aptos"/>
                <w:sz w:val="15"/>
              </w:rPr>
              <w:t>Unresolved design applicability: balloon, retention, collection device — validate and implement proposed controlled wording</w:t>
            </w:r>
          </w:p>
        </w:tc>
        <w:tc>
          <w:tcPr>
            <w:tcW w:type="dxa" w:w="1639"/>
            <w:vAlign w:val="top"/>
            <w:shd w:fill="F1F5F9"/>
          </w:tcPr>
          <w:p>
            <w:pPr>
              <w:spacing w:after="40"/>
            </w:pPr>
            <w:r>
              <w:rPr>
                <w:rFonts w:ascii="Aptos" w:hAnsi="Aptos"/>
                <w:sz w:val="15"/>
              </w:rPr>
              <w:t>Engineering / QA / Regulatory</w:t>
            </w:r>
          </w:p>
        </w:tc>
        <w:tc>
          <w:tcPr>
            <w:tcW w:type="dxa" w:w="1639"/>
            <w:vAlign w:val="top"/>
            <w:shd w:fill="F1F5F9"/>
          </w:tcPr>
          <w:p>
            <w:pPr>
              <w:spacing w:after="40"/>
            </w:pPr>
            <w:r>
              <w:rPr>
                <w:rFonts w:ascii="Aptos" w:hAnsi="Aptos"/>
                <w:sz w:val="15"/>
              </w:rPr>
              <w:t>Approved product specification/BOM, signed risk-based applicability matrix and tests if feature exis…</w:t>
            </w:r>
          </w:p>
        </w:tc>
        <w:tc>
          <w:tcPr>
            <w:tcW w:type="dxa" w:w="1639"/>
            <w:vAlign w:val="top"/>
            <w:shd w:fill="F1F5F9"/>
          </w:tcPr>
          <w:p>
            <w:pPr>
              <w:spacing w:after="40"/>
            </w:pPr>
            <w:r>
              <w:rPr>
                <w:rFonts w:ascii="Aptos" w:hAnsi="Aptos"/>
                <w:sz w:val="15"/>
              </w:rPr>
              <w:t>Open — Technical Input</w:t>
            </w:r>
          </w:p>
        </w:tc>
      </w:tr>
      <w:tr>
        <w:tc>
          <w:tcPr>
            <w:tcW w:type="dxa" w:w="1639"/>
            <w:vAlign w:val="top"/>
          </w:tcPr>
          <w:p>
            <w:pPr>
              <w:spacing w:after="40"/>
            </w:pPr>
            <w:r>
              <w:rPr>
                <w:rFonts w:ascii="Aptos" w:hAnsi="Aptos"/>
                <w:sz w:val="15"/>
              </w:rPr>
              <w:t>GAP-021</w:t>
            </w:r>
          </w:p>
        </w:tc>
        <w:tc>
          <w:tcPr>
            <w:tcW w:type="dxa" w:w="1639"/>
            <w:vAlign w:val="top"/>
          </w:tcPr>
          <w:p>
            <w:pPr>
              <w:spacing w:after="40"/>
            </w:pPr>
            <w:r>
              <w:rPr>
                <w:rFonts w:ascii="Aptos" w:hAnsi="Aptos"/>
                <w:sz w:val="15"/>
              </w:rPr>
              <w:t>P2</w:t>
            </w:r>
          </w:p>
        </w:tc>
        <w:tc>
          <w:tcPr>
            <w:tcW w:type="dxa" w:w="1639"/>
            <w:vAlign w:val="top"/>
          </w:tcPr>
          <w:p>
            <w:pPr>
              <w:spacing w:after="40"/>
            </w:pPr>
            <w:r>
              <w:rPr>
                <w:rFonts w:ascii="Aptos" w:hAnsi="Aptos"/>
                <w:sz w:val="15"/>
              </w:rPr>
              <w:t>Nonconforming product hold &amp; process disposition missing — validate and implement proposed controlled wording</w:t>
            </w:r>
          </w:p>
        </w:tc>
        <w:tc>
          <w:tcPr>
            <w:tcW w:type="dxa" w:w="1639"/>
            <w:vAlign w:val="top"/>
          </w:tcPr>
          <w:p>
            <w:pPr>
              <w:spacing w:after="40"/>
            </w:pPr>
            <w:r>
              <w:rPr>
                <w:rFonts w:ascii="Aptos" w:hAnsi="Aptos"/>
                <w:sz w:val="15"/>
              </w:rPr>
              <w:t>QC / QA / Production</w:t>
            </w:r>
          </w:p>
        </w:tc>
        <w:tc>
          <w:tcPr>
            <w:tcW w:type="dxa" w:w="1639"/>
            <w:vAlign w:val="top"/>
          </w:tcPr>
          <w:p>
            <w:pPr>
              <w:spacing w:after="40"/>
            </w:pPr>
            <w:r>
              <w:rPr>
                <w:rFonts w:ascii="Aptos" w:hAnsi="Aptos"/>
                <w:sz w:val="15"/>
              </w:rPr>
              <w:t>Executed NCR/reject/segregation records, documented disposition and approved re-verification; none s…</w:t>
            </w:r>
          </w:p>
        </w:tc>
        <w:tc>
          <w:tcPr>
            <w:tcW w:type="dxa" w:w="1639"/>
            <w:vAlign w:val="top"/>
          </w:tcPr>
          <w:p>
            <w:pPr>
              <w:spacing w:after="40"/>
            </w:pPr>
            <w:r>
              <w:rPr>
                <w:rFonts w:ascii="Aptos" w:hAnsi="Aptos"/>
                <w:sz w:val="15"/>
              </w:rPr>
              <w:t>Open — Approval</w:t>
            </w:r>
          </w:p>
        </w:tc>
      </w:tr>
    </w:tbl>
    <w:p>
      <w:pPr>
        <w:pStyle w:val="Heading1"/>
      </w:pPr>
      <w:r>
        <w:t>11  Management decisions &amp; conclusion</w:t>
      </w:r>
    </w:p>
    <w:p>
      <w:pPr>
        <w:pStyle w:val="ListBullet"/>
      </w:pPr>
      <w:r>
        <w:t>Confirm controlled master WI ID and approved variant BOM before production use.</w:t>
      </w:r>
    </w:p>
    <w:p>
      <w:pPr>
        <w:pStyle w:val="ListBullet"/>
      </w:pPr>
      <w:r>
        <w:t>Approve corrected constituent specifications (latex, lidocaine, suture, gauze and all tray components).</w:t>
      </w:r>
    </w:p>
    <w:p>
      <w:pPr>
        <w:pStyle w:val="ListBullet"/>
      </w:pPr>
      <w:r>
        <w:t>Assign Engineering/QA owners for ISO 20697 design/qualification applicability and evidence matrix.</w:t>
      </w:r>
    </w:p>
    <w:p>
      <w:pPr>
        <w:pStyle w:val="ListBullet"/>
      </w:pPr>
      <w:r>
        <w:t>Confirm routine in-process sampling and manufacturer-approved acceptance values; no invented AQL.</w:t>
      </w:r>
    </w:p>
    <w:p>
      <w:pPr>
        <w:pStyle w:val="ListBullet"/>
      </w:pPr>
      <w:r>
        <w:t>Approve revised WI and in-process form only after technical reconciliation; validate all external referenced records.</w:t>
      </w:r>
    </w:p>
    <w:p>
      <w:pPr>
        <w:pStyle w:val="ListBullet"/>
      </w:pPr>
      <w:r>
        <w:t>Actual product/ISO conformity: NOT VERIFIED by this evidence set; no closure can be declared.</w:t>
      </w:r>
    </w:p>
    <w:p>
      <w:pPr>
        <w:pStyle w:val="Heading1"/>
      </w:pPr>
      <w:r>
        <w:t>12  Source traceability</w:t>
      </w:r>
    </w:p>
    <w:p>
      <w:pPr>
        <w:pStyle w:val="Heading1"/>
      </w:pPr>
      <w:r>
        <w:t>Source / evidence rules</w:t>
      </w:r>
    </w:p>
    <w:p>
      <w:r>
        <w:t>Uploaded WI: WI-8-2-2-64 Rev.01, date 15.12.2022, pages 1–4. Read directly from the supplied .doc; section/page links refer to document printed pages.</w:t>
      </w:r>
    </w:p>
    <w:p>
      <w:r>
        <w:t>Uploaded assembly record: F-823-i133 Rev.04, date 10.10.2025, sheet F-823-i133 (Rev 4), one printed page, exact Excel row references indicated.</w:t>
      </w:r>
    </w:p>
    <w:p>
      <w:r>
        <w:t>ISO 20697:2018 (published edition), verified via publicly accessible published-text rendering; printed pages verified from contents. Official final-edition PDF not supplied; PDF page offsets remain UNVERIFIED. The accessible sample PDF is ISO/DIS 20697:2017 (draft), not an approved substitute.</w:t>
      </w:r>
    </w:p>
    <w:p>
      <w:r>
        <w:t>Referenced but NOT supplied: TF-64-PS, TF-64-PDBM, approved product BOM, WI-7-5-1-1, F-823-i4-2, F-8-2-4, component reports and qualification / biocompatibility / packaging validation evidence.</w:t>
      </w:r>
    </w:p>
    <w:p>
      <w:r>
        <w:t>The 7-column master table preserves the required titles. “Inspection Text” columns refer only to the supplied IN-PROCESS CONTROL record in this assignment. An ISO test not suitable for routine inspection is linked to a separate controlled qualification record.</w:t>
      </w:r>
    </w:p>
    <w:p>
      <w:pPr/>
      <w:r>
        <w:rPr>
          <w:b/>
        </w:rPr>
        <w:t xml:space="preserve">Published ISO text: </w:t>
      </w:r>
      <w:r>
        <w:t>ISO 20697:2018 — https://www.theiteh.com/catalog/standards/iso/6aeb145d-52d7-4f24-866e-f2320e7f7646/iso-20697-2018</w:t>
      </w:r>
    </w:p>
    <w:p>
      <w:pPr/>
      <w:r>
        <w:rPr>
          <w:b/>
        </w:rPr>
        <w:t xml:space="preserve">Official ISO scope/edition: </w:t>
      </w:r>
      <w:r>
        <w:t>https://www.iso.org/standard/68855.html</w:t>
      </w:r>
    </w:p>
    <w:sectPr w:rsidR="00FC693F" w:rsidRPr="0006063C" w:rsidSect="00034616">
      <w:pgSz w:w="11906" w:h="16838"/>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CONTROLLED DRAFT — NOT EFFECTIVE UNTIL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SAUDI MAIS  |  QUALITY CONTROL  •  DOCUMENT REVIEW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227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74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2274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7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