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CHEST TUBE KIT</w:t>
      </w:r>
    </w:p>
    <w:p>
      <w:pPr>
        <w:pStyle w:val="Heading1"/>
      </w:pPr>
      <w:r>
        <w:t>PROPOSED COMPLETE REVISED WORK INSTRUCTION</w:t>
      </w:r>
    </w:p>
    <w:p>
      <w:pPr>
        <w:pStyle w:val="Subtitle"/>
      </w:pPr>
      <w:r>
        <w:t>Production &amp; In-process Control • Supersession NOT approved</w:t>
      </w:r>
    </w:p>
    <w:p>
      <w:r>
        <w:t>Prepared for: QC Manager | Prepared: 19 October 2026</w:t>
      </w:r>
    </w:p>
    <w:p>
      <w:r>
        <w:t>Status: TECHNICAL REVIEW DRAFT — approval and operational evidence pending</w:t>
      </w:r>
    </w:p>
    <w:p>
      <w:r>
        <w:t>Product specification TF-64-PS / TF-64-PDBM not supplied; do not operationalize provisional limits.</w:t>
      </w:r>
    </w:p>
    <w:p>
      <w:pPr/>
      <w:r>
        <w:t>Assessment boundary: the source form F-823-i133 is IN-PROCESS ASSEMBLY CONTROL, not a finished-product Inspection &amp; Test Report. Other test methods use linked controlled records.</w:t>
      </w:r>
    </w:p>
    <w:p>
      <w:pPr/>
      <w:r>
        <w:t>ISO citation note: printed ISO pages below are derived from the published 2018 text. Official PDF page numbers have NOT been checked; the 2017 DIS preview is a draft and is not used to establish conformity.</w:t>
      </w:r>
    </w:p>
    <w:p>
      <w:r>
        <w:br w:type="page"/>
      </w:r>
    </w:p>
    <w:p>
      <w:pPr>
        <w:pStyle w:val="Heading1"/>
      </w:pPr>
      <w:r>
        <w:t>1  Purpose</w:t>
      </w:r>
    </w:p>
    <w:p>
      <w:r>
        <w:t>Define incoming component review, tray assembly, in-process controls, labeling, sterilization interface, nonconforming-product handling and final-release routing for Chest Tube Kit; preserve traceability to approved product specifications and applicable ISO 20697 requirements.</w:t>
      </w:r>
    </w:p>
    <w:p>
      <w:pPr>
        <w:pStyle w:val="Heading1"/>
      </w:pPr>
      <w:r>
        <w:t>2  Scope</w:t>
      </w:r>
    </w:p>
    <w:p>
      <w:r>
        <w:t>Applies to the Chest Tube Kit production/tray assembly process described in WI-8-2-2-64 Rev.01. The exact product code, sizes, catheter configuration, supplied accessories and intended sterile condition remain subject to approved TF-64-PS/TF-64-PDBM and BOM. External component qualification, packaging validation and sterilization release are linked controlled processes, not substitutes for in-process checks. [GAP-021]</w:t>
      </w:r>
    </w:p>
    <w:p>
      <w:pPr>
        <w:pStyle w:val="Heading1"/>
      </w:pPr>
      <w:r>
        <w:t>3  References and controlled source status</w:t>
      </w:r>
    </w:p>
    <w:p>
      <w:r>
        <w:t>Existing baseline: WI-8-2-2-64 Rev.01 (15.12.2022). In-process form: F-823-i133 Rev.04 (10.10.2025), citing WI-8-2-2-64-1; resolve code conflict before approval. Reference ISO 20697:2018 subject to applicability and final PDF verification; TF-64-PS/TF-64-PDBM; controlled BOM; supplier/component inspection F-823-T15, T17-1, T37, T61, T90, T114, T117 (as applicable); F-823-i4-2 packaging control (unverified); WI-7-5-1-1 sterilization (unverified); F-8-2-4 final release (unverified). Do not imply these missing documents were examined. [GAP-001]</w:t>
      </w:r>
    </w:p>
    <w:p>
      <w:pPr>
        <w:pStyle w:val="Heading1"/>
      </w:pPr>
      <w:r>
        <w:t>4  Definitions</w:t>
      </w:r>
    </w:p>
    <w:p>
      <w:r>
        <w:t>BOM = approved bill of materials. First-piece = first sample of a controlled production setup sent to QC before full assembly. In-process = assembly checks during manufacture, NOT lot-release inspection. HOLD = material segregated pending authorized disposition. Qualification = approved evidence for device design/performance characteristics not routinely re-tested each production hour.</w:t>
      </w:r>
    </w:p>
    <w:p>
      <w:pPr>
        <w:pStyle w:val="Heading1"/>
      </w:pPr>
      <w:r>
        <w:t>5  Roles and responsibilities</w:t>
      </w:r>
    </w:p>
    <w:p>
      <w:r>
        <w:t>Production Controller issues approved production order, component lots and trays; responsible operators assemble to the approved BOM. QC performs the approved first-piece and sampling controls and records actual results. QC Supervisor/QCM verifies and approves applicable in-process records under approved authority. QA/Engineering control specs, applicability matrix and nonroutine qualifications. QCM/authorized approver performs final release according to approved procedures. [GAP-008, GAP-021]</w:t>
      </w:r>
    </w:p>
    <w:p>
      <w:pPr>
        <w:pStyle w:val="Heading1"/>
      </w:pPr>
      <w:r>
        <w:t>6  Incoming acceptance and BOM issuance</w:t>
      </w:r>
    </w:p>
    <w:p>
      <w:r>
        <w:t>Receive against supplier slip, purchase order and accepted component master; check cartons and damage. Use the company-approved incoming inspection/AQL plan and OBM record as WI §5.1 baseline. Record supplier lot, approved status, product code, counts and expiry. Confirm every issued component against current approved variant BOM including all 19 form checkpoints plus any omitted approved item (e.g. surgical tape). Reject/hold undocumented substitutes; do not impose unsourced lot sample size or AQL. [GAP-002, GAP-009]</w:t>
      </w:r>
    </w:p>
    <w:p>
      <w:pPr>
        <w:pStyle w:val="Heading1"/>
      </w:pPr>
      <w:r>
        <w:t>7  Materials &amp; component verification matrix</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458"/>
            <w:shd w:fill="17304D"/>
          </w:tcPr>
          <w:p>
            <w:r>
              <w:rPr>
                <w:b/>
                <w:color w:val="FFFFFF"/>
                <w:sz w:val="14"/>
              </w:rPr>
              <w:t>Component</w:t>
            </w:r>
          </w:p>
        </w:tc>
        <w:tc>
          <w:tcPr>
            <w:tcW w:type="dxa" w:w="2458"/>
            <w:shd w:fill="17304D"/>
          </w:tcPr>
          <w:p>
            <w:r>
              <w:rPr>
                <w:b/>
                <w:color w:val="FFFFFF"/>
                <w:sz w:val="14"/>
              </w:rPr>
              <w:t>Existing WI / In-process source</w:t>
            </w:r>
          </w:p>
        </w:tc>
        <w:tc>
          <w:tcPr>
            <w:tcW w:type="dxa" w:w="2458"/>
            <w:shd w:fill="17304D"/>
          </w:tcPr>
          <w:p>
            <w:r>
              <w:rPr>
                <w:b/>
                <w:color w:val="FFFFFF"/>
                <w:sz w:val="14"/>
              </w:rPr>
              <w:t>Proposed controlled requirement</w:t>
            </w:r>
          </w:p>
        </w:tc>
        <w:tc>
          <w:tcPr>
            <w:tcW w:type="dxa" w:w="2458"/>
            <w:shd w:fill="17304D"/>
          </w:tcPr>
          <w:p>
            <w:r>
              <w:rPr>
                <w:b/>
                <w:color w:val="FFFFFF"/>
                <w:sz w:val="14"/>
              </w:rPr>
              <w:t>Gap</w:t>
            </w:r>
          </w:p>
        </w:tc>
      </w:tr>
      <w:tr>
        <w:tc>
          <w:tcPr>
            <w:tcW w:type="dxa" w:w="2458"/>
            <w:vAlign w:val="top"/>
          </w:tcPr>
          <w:p>
            <w:pPr>
              <w:spacing w:after="40"/>
            </w:pPr>
            <w:r>
              <w:rPr>
                <w:rFonts w:ascii="Aptos" w:hAnsi="Aptos"/>
                <w:sz w:val="14"/>
              </w:rPr>
              <w:t>Chest drainage catheter and trocar</w:t>
            </w:r>
          </w:p>
        </w:tc>
        <w:tc>
          <w:tcPr>
            <w:tcW w:type="dxa" w:w="2458"/>
            <w:vAlign w:val="top"/>
          </w:tcPr>
          <w:p>
            <w:pPr>
              <w:spacing w:after="40"/>
            </w:pPr>
            <w:r>
              <w:rPr>
                <w:rFonts w:ascii="Aptos" w:hAnsi="Aptos"/>
                <w:sz w:val="14"/>
              </w:rPr>
              <w:t>WI §5.2.1 p.1 / Form row 11</w:t>
            </w:r>
          </w:p>
        </w:tc>
        <w:tc>
          <w:tcPr>
            <w:tcW w:type="dxa" w:w="2458"/>
            <w:vAlign w:val="top"/>
          </w:tcPr>
          <w:p>
            <w:pPr>
              <w:spacing w:after="40"/>
            </w:pPr>
            <w:r>
              <w:rPr>
                <w:rFonts w:ascii="Aptos" w:hAnsi="Aptos"/>
                <w:sz w:val="14"/>
              </w:rPr>
              <w:t>Appearance, dimensions/scale and radiopaque marker; manufacturer-controlled variant and qualified risks.</w:t>
            </w:r>
          </w:p>
        </w:tc>
        <w:tc>
          <w:tcPr>
            <w:tcW w:type="dxa" w:w="2458"/>
            <w:vAlign w:val="top"/>
          </w:tcPr>
          <w:p>
            <w:pPr>
              <w:spacing w:after="40"/>
            </w:pPr>
            <w:r>
              <w:rPr>
                <w:rFonts w:ascii="Aptos" w:hAnsi="Aptos"/>
                <w:sz w:val="14"/>
              </w:rPr>
              <w:t>GAP-007, GAP-011, GAP-013–015</w:t>
            </w:r>
          </w:p>
        </w:tc>
      </w:tr>
      <w:tr>
        <w:tc>
          <w:tcPr>
            <w:tcW w:type="dxa" w:w="2458"/>
            <w:vAlign w:val="top"/>
            <w:shd w:fill="F1F5F9"/>
          </w:tcPr>
          <w:p>
            <w:pPr>
              <w:spacing w:after="40"/>
            </w:pPr>
            <w:r>
              <w:rPr>
                <w:rFonts w:ascii="Aptos" w:hAnsi="Aptos"/>
                <w:sz w:val="14"/>
              </w:rPr>
              <w:t>Large examination gloves</w:t>
            </w:r>
          </w:p>
        </w:tc>
        <w:tc>
          <w:tcPr>
            <w:tcW w:type="dxa" w:w="2458"/>
            <w:vAlign w:val="top"/>
            <w:shd w:fill="F1F5F9"/>
          </w:tcPr>
          <w:p>
            <w:pPr>
              <w:spacing w:after="40"/>
            </w:pPr>
            <w:r>
              <w:rPr>
                <w:rFonts w:ascii="Aptos" w:hAnsi="Aptos"/>
                <w:sz w:val="14"/>
              </w:rPr>
              <w:t>WI §5.3.1 p.1 / Form row 12</w:t>
            </w:r>
          </w:p>
        </w:tc>
        <w:tc>
          <w:tcPr>
            <w:tcW w:type="dxa" w:w="2458"/>
            <w:vAlign w:val="top"/>
            <w:shd w:fill="F1F5F9"/>
          </w:tcPr>
          <w:p>
            <w:pPr>
              <w:spacing w:after="40"/>
            </w:pPr>
            <w:r>
              <w:rPr>
                <w:rFonts w:ascii="Aptos" w:hAnsi="Aptos"/>
                <w:sz w:val="14"/>
              </w:rPr>
              <w:t>Powder-free, material contradiction (LATEX STATUS OPEN), count and supplier trace.</w:t>
            </w:r>
          </w:p>
        </w:tc>
        <w:tc>
          <w:tcPr>
            <w:tcW w:type="dxa" w:w="2458"/>
            <w:vAlign w:val="top"/>
            <w:shd w:fill="F1F5F9"/>
          </w:tcPr>
          <w:p>
            <w:pPr>
              <w:spacing w:after="40"/>
            </w:pPr>
            <w:r>
              <w:rPr>
                <w:rFonts w:ascii="Aptos" w:hAnsi="Aptos"/>
                <w:sz w:val="14"/>
              </w:rPr>
              <w:t>GAP-003</w:t>
            </w:r>
          </w:p>
        </w:tc>
      </w:tr>
      <w:tr>
        <w:tc>
          <w:tcPr>
            <w:tcW w:type="dxa" w:w="2458"/>
            <w:vAlign w:val="top"/>
          </w:tcPr>
          <w:p>
            <w:pPr>
              <w:spacing w:after="40"/>
            </w:pPr>
            <w:r>
              <w:rPr>
                <w:rFonts w:ascii="Aptos" w:hAnsi="Aptos"/>
                <w:sz w:val="14"/>
              </w:rPr>
              <w:t>Lidocaine HCl 1%</w:t>
            </w:r>
          </w:p>
        </w:tc>
        <w:tc>
          <w:tcPr>
            <w:tcW w:type="dxa" w:w="2458"/>
            <w:vAlign w:val="top"/>
          </w:tcPr>
          <w:p>
            <w:pPr>
              <w:spacing w:after="40"/>
            </w:pPr>
            <w:r>
              <w:rPr>
                <w:rFonts w:ascii="Aptos" w:hAnsi="Aptos"/>
                <w:sz w:val="14"/>
              </w:rPr>
              <w:t>WI §5.4.1 p.2 / Form row 13</w:t>
            </w:r>
          </w:p>
        </w:tc>
        <w:tc>
          <w:tcPr>
            <w:tcW w:type="dxa" w:w="2458"/>
            <w:vAlign w:val="top"/>
          </w:tcPr>
          <w:p>
            <w:pPr>
              <w:spacing w:after="40"/>
            </w:pPr>
            <w:r>
              <w:rPr>
                <w:rFonts w:ascii="Aptos" w:hAnsi="Aptos"/>
                <w:sz w:val="14"/>
              </w:rPr>
              <w:t>Identity, approved count and mL per ampoule, expiry, pack integrity; conflict unresolved.</w:t>
            </w:r>
          </w:p>
        </w:tc>
        <w:tc>
          <w:tcPr>
            <w:tcW w:type="dxa" w:w="2458"/>
            <w:vAlign w:val="top"/>
          </w:tcPr>
          <w:p>
            <w:pPr>
              <w:spacing w:after="40"/>
            </w:pPr>
            <w:r>
              <w:rPr>
                <w:rFonts w:ascii="Aptos" w:hAnsi="Aptos"/>
                <w:sz w:val="14"/>
              </w:rPr>
              <w:t>GAP-004</w:t>
            </w:r>
          </w:p>
        </w:tc>
      </w:tr>
      <w:tr>
        <w:tc>
          <w:tcPr>
            <w:tcW w:type="dxa" w:w="2458"/>
            <w:vAlign w:val="top"/>
            <w:shd w:fill="F1F5F9"/>
          </w:tcPr>
          <w:p>
            <w:pPr>
              <w:spacing w:after="40"/>
            </w:pPr>
            <w:r>
              <w:rPr>
                <w:rFonts w:ascii="Aptos" w:hAnsi="Aptos"/>
                <w:sz w:val="14"/>
              </w:rPr>
              <w:t>Hypodermic needles</w:t>
            </w:r>
          </w:p>
        </w:tc>
        <w:tc>
          <w:tcPr>
            <w:tcW w:type="dxa" w:w="2458"/>
            <w:vAlign w:val="top"/>
            <w:shd w:fill="F1F5F9"/>
          </w:tcPr>
          <w:p>
            <w:pPr>
              <w:spacing w:after="40"/>
            </w:pPr>
            <w:r>
              <w:rPr>
                <w:rFonts w:ascii="Aptos" w:hAnsi="Aptos"/>
                <w:sz w:val="14"/>
              </w:rPr>
              <w:t>WI §5.5.1 p.2 / Form row 14</w:t>
            </w:r>
          </w:p>
        </w:tc>
        <w:tc>
          <w:tcPr>
            <w:tcW w:type="dxa" w:w="2458"/>
            <w:vAlign w:val="top"/>
            <w:shd w:fill="F1F5F9"/>
          </w:tcPr>
          <w:p>
            <w:pPr>
              <w:spacing w:after="40"/>
            </w:pPr>
            <w:r>
              <w:rPr>
                <w:rFonts w:ascii="Aptos" w:hAnsi="Aptos"/>
                <w:sz w:val="14"/>
              </w:rPr>
              <w:t>Approved gauge, tip, leakage/blockage and integrity; match approved kit.</w:t>
            </w:r>
          </w:p>
        </w:tc>
        <w:tc>
          <w:tcPr>
            <w:tcW w:type="dxa" w:w="2458"/>
            <w:vAlign w:val="top"/>
            <w:shd w:fill="F1F5F9"/>
          </w:tcPr>
          <w:p>
            <w:pPr>
              <w:spacing w:after="40"/>
            </w:pPr>
            <w:r>
              <w:rPr>
                <w:rFonts w:ascii="Aptos" w:hAnsi="Aptos"/>
                <w:sz w:val="14"/>
              </w:rPr>
              <w:t>GAP-002, GAP-010</w:t>
            </w:r>
          </w:p>
        </w:tc>
      </w:tr>
      <w:tr>
        <w:tc>
          <w:tcPr>
            <w:tcW w:type="dxa" w:w="2458"/>
            <w:vAlign w:val="top"/>
          </w:tcPr>
          <w:p>
            <w:pPr>
              <w:spacing w:after="40"/>
            </w:pPr>
            <w:r>
              <w:rPr>
                <w:rFonts w:ascii="Aptos" w:hAnsi="Aptos"/>
                <w:sz w:val="14"/>
              </w:rPr>
              <w:t>Scissors / instruments / scalpel</w:t>
            </w:r>
          </w:p>
        </w:tc>
        <w:tc>
          <w:tcPr>
            <w:tcW w:type="dxa" w:w="2458"/>
            <w:vAlign w:val="top"/>
          </w:tcPr>
          <w:p>
            <w:pPr>
              <w:spacing w:after="40"/>
            </w:pPr>
            <w:r>
              <w:rPr>
                <w:rFonts w:ascii="Aptos" w:hAnsi="Aptos"/>
                <w:sz w:val="14"/>
              </w:rPr>
              <w:t>WI §§5.6.1,5.12.1 pp.2 / Form rows 15,16,19,23,24</w:t>
            </w:r>
          </w:p>
        </w:tc>
        <w:tc>
          <w:tcPr>
            <w:tcW w:type="dxa" w:w="2458"/>
            <w:vAlign w:val="top"/>
          </w:tcPr>
          <w:p>
            <w:pPr>
              <w:spacing w:after="40"/>
            </w:pPr>
            <w:r>
              <w:rPr>
                <w:rFonts w:ascii="Aptos" w:hAnsi="Aptos"/>
                <w:sz w:val="14"/>
              </w:rPr>
              <w:t>Approved surgical instrument types, correct sizes/quantities, function, cleanliness and supplier records.</w:t>
            </w:r>
          </w:p>
        </w:tc>
        <w:tc>
          <w:tcPr>
            <w:tcW w:type="dxa" w:w="2458"/>
            <w:vAlign w:val="top"/>
          </w:tcPr>
          <w:p>
            <w:pPr>
              <w:spacing w:after="40"/>
            </w:pPr>
            <w:r>
              <w:rPr>
                <w:rFonts w:ascii="Aptos" w:hAnsi="Aptos"/>
                <w:sz w:val="14"/>
              </w:rPr>
              <w:t>GAP-010, GAP-016</w:t>
            </w:r>
          </w:p>
        </w:tc>
      </w:tr>
      <w:tr>
        <w:tc>
          <w:tcPr>
            <w:tcW w:type="dxa" w:w="2458"/>
            <w:vAlign w:val="top"/>
            <w:shd w:fill="F1F5F9"/>
          </w:tcPr>
          <w:p>
            <w:pPr>
              <w:spacing w:after="40"/>
            </w:pPr>
            <w:r>
              <w:rPr>
                <w:rFonts w:ascii="Aptos" w:hAnsi="Aptos"/>
                <w:sz w:val="14"/>
              </w:rPr>
              <w:t>Suture and curved needle</w:t>
            </w:r>
          </w:p>
        </w:tc>
        <w:tc>
          <w:tcPr>
            <w:tcW w:type="dxa" w:w="2458"/>
            <w:vAlign w:val="top"/>
            <w:shd w:fill="F1F5F9"/>
          </w:tcPr>
          <w:p>
            <w:pPr>
              <w:spacing w:after="40"/>
            </w:pPr>
            <w:r>
              <w:rPr>
                <w:rFonts w:ascii="Aptos" w:hAnsi="Aptos"/>
                <w:sz w:val="14"/>
              </w:rPr>
              <w:t>WI §5.7.1 p.2 / Form row 17</w:t>
            </w:r>
          </w:p>
        </w:tc>
        <w:tc>
          <w:tcPr>
            <w:tcW w:type="dxa" w:w="2458"/>
            <w:vAlign w:val="top"/>
            <w:shd w:fill="F1F5F9"/>
          </w:tcPr>
          <w:p>
            <w:pPr>
              <w:spacing w:after="40"/>
            </w:pPr>
            <w:r>
              <w:rPr>
                <w:rFonts w:ascii="Aptos" w:hAnsi="Aptos"/>
                <w:sz w:val="14"/>
              </w:rPr>
              <w:t>Nonabsorbable, intact pouch, expiry and corrected size/length; current “0.30 inches (75 cm)” disputed.</w:t>
            </w:r>
          </w:p>
        </w:tc>
        <w:tc>
          <w:tcPr>
            <w:tcW w:type="dxa" w:w="2458"/>
            <w:vAlign w:val="top"/>
            <w:shd w:fill="F1F5F9"/>
          </w:tcPr>
          <w:p>
            <w:pPr>
              <w:spacing w:after="40"/>
            </w:pPr>
            <w:r>
              <w:rPr>
                <w:rFonts w:ascii="Aptos" w:hAnsi="Aptos"/>
                <w:sz w:val="14"/>
              </w:rPr>
              <w:t>GAP-005</w:t>
            </w:r>
          </w:p>
        </w:tc>
      </w:tr>
      <w:tr>
        <w:tc>
          <w:tcPr>
            <w:tcW w:type="dxa" w:w="2458"/>
            <w:vAlign w:val="top"/>
          </w:tcPr>
          <w:p>
            <w:pPr>
              <w:spacing w:after="40"/>
            </w:pPr>
            <w:r>
              <w:rPr>
                <w:rFonts w:ascii="Aptos" w:hAnsi="Aptos"/>
                <w:sz w:val="14"/>
              </w:rPr>
              <w:t>Gauze pads</w:t>
            </w:r>
          </w:p>
        </w:tc>
        <w:tc>
          <w:tcPr>
            <w:tcW w:type="dxa" w:w="2458"/>
            <w:vAlign w:val="top"/>
          </w:tcPr>
          <w:p>
            <w:pPr>
              <w:spacing w:after="40"/>
            </w:pPr>
            <w:r>
              <w:rPr>
                <w:rFonts w:ascii="Aptos" w:hAnsi="Aptos"/>
                <w:sz w:val="14"/>
              </w:rPr>
              <w:t>WI §5.8.1 p.2 / Form row 18</w:t>
            </w:r>
          </w:p>
        </w:tc>
        <w:tc>
          <w:tcPr>
            <w:tcW w:type="dxa" w:w="2458"/>
            <w:vAlign w:val="top"/>
          </w:tcPr>
          <w:p>
            <w:pPr>
              <w:spacing w:after="40"/>
            </w:pPr>
            <w:r>
              <w:rPr>
                <w:rFonts w:ascii="Aptos" w:hAnsi="Aptos"/>
                <w:sz w:val="14"/>
              </w:rPr>
              <w:t>Dimensional states (packed/unfolded), size, count and particulate protection to controlled spec.</w:t>
            </w:r>
          </w:p>
        </w:tc>
        <w:tc>
          <w:tcPr>
            <w:tcW w:type="dxa" w:w="2458"/>
            <w:vAlign w:val="top"/>
          </w:tcPr>
          <w:p>
            <w:pPr>
              <w:spacing w:after="40"/>
            </w:pPr>
            <w:r>
              <w:rPr>
                <w:rFonts w:ascii="Aptos" w:hAnsi="Aptos"/>
                <w:sz w:val="14"/>
              </w:rPr>
              <w:t>GAP-006</w:t>
            </w:r>
          </w:p>
        </w:tc>
      </w:tr>
      <w:tr>
        <w:tc>
          <w:tcPr>
            <w:tcW w:type="dxa" w:w="2458"/>
            <w:vAlign w:val="top"/>
            <w:shd w:fill="F1F5F9"/>
          </w:tcPr>
          <w:p>
            <w:pPr>
              <w:spacing w:after="40"/>
            </w:pPr>
            <w:r>
              <w:rPr>
                <w:rFonts w:ascii="Aptos" w:hAnsi="Aptos"/>
                <w:sz w:val="14"/>
              </w:rPr>
              <w:t>Surgical tape</w:t>
            </w:r>
          </w:p>
        </w:tc>
        <w:tc>
          <w:tcPr>
            <w:tcW w:type="dxa" w:w="2458"/>
            <w:vAlign w:val="top"/>
            <w:shd w:fill="F1F5F9"/>
          </w:tcPr>
          <w:p>
            <w:pPr>
              <w:spacing w:after="40"/>
            </w:pPr>
            <w:r>
              <w:rPr>
                <w:rFonts w:ascii="Aptos" w:hAnsi="Aptos"/>
                <w:sz w:val="14"/>
              </w:rPr>
              <w:t>WI §5.9.1 p.2 / missing from form rows 10–28</w:t>
            </w:r>
          </w:p>
        </w:tc>
        <w:tc>
          <w:tcPr>
            <w:tcW w:type="dxa" w:w="2458"/>
            <w:vAlign w:val="top"/>
            <w:shd w:fill="F1F5F9"/>
          </w:tcPr>
          <w:p>
            <w:pPr>
              <w:spacing w:after="40"/>
            </w:pPr>
            <w:r>
              <w:rPr>
                <w:rFonts w:ascii="Aptos" w:hAnsi="Aptos"/>
                <w:sz w:val="14"/>
              </w:rPr>
              <w:t>Identity, adhesive type, size and approved quantity; require BOM decision.</w:t>
            </w:r>
          </w:p>
        </w:tc>
        <w:tc>
          <w:tcPr>
            <w:tcW w:type="dxa" w:w="2458"/>
            <w:vAlign w:val="top"/>
            <w:shd w:fill="F1F5F9"/>
          </w:tcPr>
          <w:p>
            <w:pPr>
              <w:spacing w:after="40"/>
            </w:pPr>
            <w:r>
              <w:rPr>
                <w:rFonts w:ascii="Aptos" w:hAnsi="Aptos"/>
                <w:sz w:val="14"/>
              </w:rPr>
              <w:t>GAP-002</w:t>
            </w:r>
          </w:p>
        </w:tc>
      </w:tr>
      <w:tr>
        <w:tc>
          <w:tcPr>
            <w:tcW w:type="dxa" w:w="2458"/>
            <w:vAlign w:val="top"/>
          </w:tcPr>
          <w:p>
            <w:pPr>
              <w:spacing w:after="40"/>
            </w:pPr>
            <w:r>
              <w:rPr>
                <w:rFonts w:ascii="Aptos" w:hAnsi="Aptos"/>
                <w:sz w:val="14"/>
              </w:rPr>
              <w:t>Skin marker</w:t>
            </w:r>
          </w:p>
        </w:tc>
        <w:tc>
          <w:tcPr>
            <w:tcW w:type="dxa" w:w="2458"/>
            <w:vAlign w:val="top"/>
          </w:tcPr>
          <w:p>
            <w:pPr>
              <w:spacing w:after="40"/>
            </w:pPr>
            <w:r>
              <w:rPr>
                <w:rFonts w:ascii="Aptos" w:hAnsi="Aptos"/>
                <w:sz w:val="14"/>
              </w:rPr>
              <w:t>WI §5.10.1 p.2 / Form row 20</w:t>
            </w:r>
          </w:p>
        </w:tc>
        <w:tc>
          <w:tcPr>
            <w:tcW w:type="dxa" w:w="2458"/>
            <w:vAlign w:val="top"/>
          </w:tcPr>
          <w:p>
            <w:pPr>
              <w:spacing w:after="40"/>
            </w:pPr>
            <w:r>
              <w:rPr>
                <w:rFonts w:ascii="Aptos" w:hAnsi="Aptos"/>
                <w:sz w:val="14"/>
              </w:rPr>
              <w:t>Blue ink, clean tip and legible function as applicable.</w:t>
            </w:r>
          </w:p>
        </w:tc>
        <w:tc>
          <w:tcPr>
            <w:tcW w:type="dxa" w:w="2458"/>
            <w:vAlign w:val="top"/>
          </w:tcPr>
          <w:p>
            <w:pPr>
              <w:spacing w:after="40"/>
            </w:pPr>
            <w:r>
              <w:rPr>
                <w:rFonts w:ascii="Aptos" w:hAnsi="Aptos"/>
                <w:sz w:val="14"/>
              </w:rPr>
              <w:t>GAP-010</w:t>
            </w:r>
          </w:p>
        </w:tc>
      </w:tr>
      <w:tr>
        <w:tc>
          <w:tcPr>
            <w:tcW w:type="dxa" w:w="2458"/>
            <w:vAlign w:val="top"/>
            <w:shd w:fill="F1F5F9"/>
          </w:tcPr>
          <w:p>
            <w:pPr>
              <w:spacing w:after="40"/>
            </w:pPr>
            <w:r>
              <w:rPr>
                <w:rFonts w:ascii="Aptos" w:hAnsi="Aptos"/>
                <w:sz w:val="14"/>
              </w:rPr>
              <w:t>Petroleum/Vaseline gauze</w:t>
            </w:r>
          </w:p>
        </w:tc>
        <w:tc>
          <w:tcPr>
            <w:tcW w:type="dxa" w:w="2458"/>
            <w:vAlign w:val="top"/>
            <w:shd w:fill="F1F5F9"/>
          </w:tcPr>
          <w:p>
            <w:pPr>
              <w:spacing w:after="40"/>
            </w:pPr>
            <w:r>
              <w:rPr>
                <w:rFonts w:ascii="Aptos" w:hAnsi="Aptos"/>
                <w:sz w:val="14"/>
              </w:rPr>
              <w:t>WI §5.11.1 p.2 / Form row 22</w:t>
            </w:r>
          </w:p>
        </w:tc>
        <w:tc>
          <w:tcPr>
            <w:tcW w:type="dxa" w:w="2458"/>
            <w:vAlign w:val="top"/>
            <w:shd w:fill="F1F5F9"/>
          </w:tcPr>
          <w:p>
            <w:pPr>
              <w:spacing w:after="40"/>
            </w:pPr>
            <w:r>
              <w:rPr>
                <w:rFonts w:ascii="Aptos" w:hAnsi="Aptos"/>
                <w:sz w:val="14"/>
              </w:rPr>
              <w:t>Approved seal/pouch, labels, expiry and surface condition.</w:t>
            </w:r>
          </w:p>
        </w:tc>
        <w:tc>
          <w:tcPr>
            <w:tcW w:type="dxa" w:w="2458"/>
            <w:vAlign w:val="top"/>
            <w:shd w:fill="F1F5F9"/>
          </w:tcPr>
          <w:p>
            <w:pPr>
              <w:spacing w:after="40"/>
            </w:pPr>
            <w:r>
              <w:rPr>
                <w:rFonts w:ascii="Aptos" w:hAnsi="Aptos"/>
                <w:sz w:val="14"/>
              </w:rPr>
              <w:t>GAP-010</w:t>
            </w:r>
          </w:p>
        </w:tc>
      </w:tr>
      <w:tr>
        <w:tc>
          <w:tcPr>
            <w:tcW w:type="dxa" w:w="2458"/>
            <w:vAlign w:val="top"/>
          </w:tcPr>
          <w:p>
            <w:pPr>
              <w:spacing w:after="40"/>
            </w:pPr>
            <w:r>
              <w:rPr>
                <w:rFonts w:ascii="Aptos" w:hAnsi="Aptos"/>
                <w:sz w:val="14"/>
              </w:rPr>
              <w:t>Luer-lock syringe / needle</w:t>
            </w:r>
          </w:p>
        </w:tc>
        <w:tc>
          <w:tcPr>
            <w:tcW w:type="dxa" w:w="2458"/>
            <w:vAlign w:val="top"/>
          </w:tcPr>
          <w:p>
            <w:pPr>
              <w:spacing w:after="40"/>
            </w:pPr>
            <w:r>
              <w:rPr>
                <w:rFonts w:ascii="Aptos" w:hAnsi="Aptos"/>
                <w:sz w:val="14"/>
              </w:rPr>
              <w:t>WI §5.13.1 p.2 / Form row 25</w:t>
            </w:r>
          </w:p>
        </w:tc>
        <w:tc>
          <w:tcPr>
            <w:tcW w:type="dxa" w:w="2458"/>
            <w:vAlign w:val="top"/>
          </w:tcPr>
          <w:p>
            <w:pPr>
              <w:spacing w:after="40"/>
            </w:pPr>
            <w:r>
              <w:rPr>
                <w:rFonts w:ascii="Aptos" w:hAnsi="Aptos"/>
                <w:sz w:val="14"/>
              </w:rPr>
              <w:t>Form describes 10 mL + G23 needle; verify against approved BOM, integrity and fit.</w:t>
            </w:r>
          </w:p>
        </w:tc>
        <w:tc>
          <w:tcPr>
            <w:tcW w:type="dxa" w:w="2458"/>
            <w:vAlign w:val="top"/>
          </w:tcPr>
          <w:p>
            <w:pPr>
              <w:spacing w:after="40"/>
            </w:pPr>
            <w:r>
              <w:rPr>
                <w:rFonts w:ascii="Aptos" w:hAnsi="Aptos"/>
                <w:sz w:val="14"/>
              </w:rPr>
              <w:t>GAP-002</w:t>
            </w:r>
          </w:p>
        </w:tc>
      </w:tr>
      <w:tr>
        <w:tc>
          <w:tcPr>
            <w:tcW w:type="dxa" w:w="2458"/>
            <w:vAlign w:val="top"/>
            <w:shd w:fill="F1F5F9"/>
          </w:tcPr>
          <w:p>
            <w:pPr>
              <w:spacing w:after="40"/>
            </w:pPr>
            <w:r>
              <w:rPr>
                <w:rFonts w:ascii="Aptos" w:hAnsi="Aptos"/>
                <w:sz w:val="14"/>
              </w:rPr>
              <w:t>15 cm ruler</w:t>
            </w:r>
          </w:p>
        </w:tc>
        <w:tc>
          <w:tcPr>
            <w:tcW w:type="dxa" w:w="2458"/>
            <w:vAlign w:val="top"/>
            <w:shd w:fill="F1F5F9"/>
          </w:tcPr>
          <w:p>
            <w:pPr>
              <w:spacing w:after="40"/>
            </w:pPr>
            <w:r>
              <w:rPr>
                <w:rFonts w:ascii="Aptos" w:hAnsi="Aptos"/>
                <w:sz w:val="14"/>
              </w:rPr>
              <w:t>WI §5.14.1 p.2 / Form row 21</w:t>
            </w:r>
          </w:p>
        </w:tc>
        <w:tc>
          <w:tcPr>
            <w:tcW w:type="dxa" w:w="2458"/>
            <w:vAlign w:val="top"/>
            <w:shd w:fill="F1F5F9"/>
          </w:tcPr>
          <w:p>
            <w:pPr>
              <w:spacing w:after="40"/>
            </w:pPr>
            <w:r>
              <w:rPr>
                <w:rFonts w:ascii="Aptos" w:hAnsi="Aptos"/>
                <w:sz w:val="14"/>
              </w:rPr>
              <w:t>Size, accurate scale and safe edges per approved component specification.</w:t>
            </w:r>
          </w:p>
        </w:tc>
        <w:tc>
          <w:tcPr>
            <w:tcW w:type="dxa" w:w="2458"/>
            <w:vAlign w:val="top"/>
            <w:shd w:fill="F1F5F9"/>
          </w:tcPr>
          <w:p>
            <w:pPr>
              <w:spacing w:after="40"/>
            </w:pPr>
            <w:r>
              <w:rPr>
                <w:rFonts w:ascii="Aptos" w:hAnsi="Aptos"/>
                <w:sz w:val="14"/>
              </w:rPr>
              <w:t>GAP-010</w:t>
            </w:r>
          </w:p>
        </w:tc>
      </w:tr>
      <w:tr>
        <w:tc>
          <w:tcPr>
            <w:tcW w:type="dxa" w:w="2458"/>
            <w:vAlign w:val="top"/>
          </w:tcPr>
          <w:p>
            <w:pPr>
              <w:spacing w:after="40"/>
            </w:pPr>
            <w:r>
              <w:rPr>
                <w:rFonts w:ascii="Aptos" w:hAnsi="Aptos"/>
                <w:sz w:val="14"/>
              </w:rPr>
              <w:t>Fenestrated drape</w:t>
            </w:r>
          </w:p>
        </w:tc>
        <w:tc>
          <w:tcPr>
            <w:tcW w:type="dxa" w:w="2458"/>
            <w:vAlign w:val="top"/>
          </w:tcPr>
          <w:p>
            <w:pPr>
              <w:spacing w:after="40"/>
            </w:pPr>
            <w:r>
              <w:rPr>
                <w:rFonts w:ascii="Aptos" w:hAnsi="Aptos"/>
                <w:sz w:val="14"/>
              </w:rPr>
              <w:t>WI §5.15.1 p.3 / Form row 26</w:t>
            </w:r>
          </w:p>
        </w:tc>
        <w:tc>
          <w:tcPr>
            <w:tcW w:type="dxa" w:w="2458"/>
            <w:vAlign w:val="top"/>
          </w:tcPr>
          <w:p>
            <w:pPr>
              <w:spacing w:after="40"/>
            </w:pPr>
            <w:r>
              <w:rPr>
                <w:rFonts w:ascii="Aptos" w:hAnsi="Aptos"/>
                <w:sz w:val="14"/>
              </w:rPr>
              <w:t>Form specifies adhesive 60×60 cm; verify approved BOM/dimensions and cleanliness.</w:t>
            </w:r>
          </w:p>
        </w:tc>
        <w:tc>
          <w:tcPr>
            <w:tcW w:type="dxa" w:w="2458"/>
            <w:vAlign w:val="top"/>
          </w:tcPr>
          <w:p>
            <w:pPr>
              <w:spacing w:after="40"/>
            </w:pPr>
            <w:r>
              <w:rPr>
                <w:rFonts w:ascii="Aptos" w:hAnsi="Aptos"/>
                <w:sz w:val="14"/>
              </w:rPr>
              <w:t>GAP-002</w:t>
            </w:r>
          </w:p>
        </w:tc>
      </w:tr>
      <w:tr>
        <w:tc>
          <w:tcPr>
            <w:tcW w:type="dxa" w:w="2458"/>
            <w:vAlign w:val="top"/>
            <w:shd w:fill="F1F5F9"/>
          </w:tcPr>
          <w:p>
            <w:pPr>
              <w:spacing w:after="40"/>
            </w:pPr>
            <w:r>
              <w:rPr>
                <w:rFonts w:ascii="Aptos" w:hAnsi="Aptos"/>
                <w:sz w:val="14"/>
              </w:rPr>
              <w:t>Compartment tray / hospital wrap</w:t>
            </w:r>
          </w:p>
        </w:tc>
        <w:tc>
          <w:tcPr>
            <w:tcW w:type="dxa" w:w="2458"/>
            <w:vAlign w:val="top"/>
            <w:shd w:fill="F1F5F9"/>
          </w:tcPr>
          <w:p>
            <w:pPr>
              <w:spacing w:after="40"/>
            </w:pPr>
            <w:r>
              <w:rPr>
                <w:rFonts w:ascii="Aptos" w:hAnsi="Aptos"/>
                <w:sz w:val="14"/>
              </w:rPr>
              <w:t>Form rows 27–28 / WI §6.3 p.3 refers to tray</w:t>
            </w:r>
          </w:p>
        </w:tc>
        <w:tc>
          <w:tcPr>
            <w:tcW w:type="dxa" w:w="2458"/>
            <w:vAlign w:val="top"/>
            <w:shd w:fill="F1F5F9"/>
          </w:tcPr>
          <w:p>
            <w:pPr>
              <w:spacing w:after="40"/>
            </w:pPr>
            <w:r>
              <w:rPr>
                <w:rFonts w:ascii="Aptos" w:hAnsi="Aptos"/>
                <w:sz w:val="14"/>
              </w:rPr>
              <w:t>Document approved design, qty, visual acceptance and release state; Hospital Wrap is not explicitly enumerated in WI §6.1.</w:t>
            </w:r>
          </w:p>
        </w:tc>
        <w:tc>
          <w:tcPr>
            <w:tcW w:type="dxa" w:w="2458"/>
            <w:vAlign w:val="top"/>
            <w:shd w:fill="F1F5F9"/>
          </w:tcPr>
          <w:p>
            <w:pPr>
              <w:spacing w:after="40"/>
            </w:pPr>
            <w:r>
              <w:rPr>
                <w:rFonts w:ascii="Aptos" w:hAnsi="Aptos"/>
                <w:sz w:val="14"/>
              </w:rPr>
              <w:t>GAP-002</w:t>
            </w:r>
          </w:p>
        </w:tc>
      </w:tr>
    </w:tbl>
    <w:p>
      <w:pPr>
        <w:pStyle w:val="Heading1"/>
      </w:pPr>
      <w:r>
        <w:t>8  First-piece and assembly procedure</w:t>
      </w:r>
    </w:p>
    <w:p>
      <w:r>
        <w:t>8.1  Production Controller verifies accepted incoming lots and releases components against current BOM and production order.</w:t>
      </w:r>
    </w:p>
    <w:p>
      <w:r>
        <w:t>8.2  Operators arrange specified components in their labelled tray in accordance with approved TF-64-PS and TF-64-PDBM; quantities/positions are OPEN TECHNICAL INPUT REQUIRED where the approved specification is missing.</w:t>
      </w:r>
    </w:p>
    <w:p>
      <w:r>
        <w:t>8.3  Production submits initial complete tray for QC first-piece check, per existing WI §6.4; QC confirms each approved part, qty, allowed condition, expiry and configuration against product specification.</w:t>
      </w:r>
    </w:p>
    <w:p>
      <w:r>
        <w:t>8.4  QC records inspected sample identification, actual observation/value, P/F/H decision, instrument ID, date/time and initials on F-823-i133 controlled successor.</w:t>
      </w:r>
    </w:p>
    <w:p>
      <w:r>
        <w:t>8.5  After QC authorization of first-piece, continue the defined controlled sequence. In-process frequency, sample quantity, shift times and escalation triggers must be approved in a product-specific control plan; the old form’s 7–6 time slots are only a template, not evidence of approved hourly sampling.</w:t>
      </w:r>
    </w:p>
    <w:p>
      <w:r>
        <w:t>8.6  If a discrepancy occurs, HOLD affected product, record NCR/Reject reference, quantity and authorized restart. Product transferred to packaging only if controlled acceptance status permits it.</w:t>
      </w:r>
    </w:p>
    <w:p>
      <w:pPr>
        <w:pStyle w:val="Heading1"/>
      </w:pPr>
      <w:r>
        <w:t>9  Product performance / evidence-based qualification control</w:t>
      </w:r>
    </w:p>
    <w:p>
      <w:r>
        <w:t>This section defines DOCUMENTED VERIFICATION ROUTES, not automatic per-lot tests. Engineering and QA shall establish one approved ISO 20697:2018 product-applicability matrix. Only applicable requirements are executed or bridged by objective evidence; N/A decisions require approval. [GAP-011–016, GAP-020]</w:t>
      </w:r>
    </w:p>
    <w:tbl>
      <w:tblPr>
        <w:tblStyle w:val="TableGrid"/>
        <w:tblW w:type="auto" w:w="0"/>
        <w:jc w:val="center"/>
        <w:tblLook w:firstColumn="1" w:firstRow="1" w:lastColumn="0" w:lastRow="0" w:noHBand="0" w:noVBand="1" w:val="04A0"/>
      </w:tblPr>
      <w:tblGrid>
        <w:gridCol w:w="1966"/>
        <w:gridCol w:w="1966"/>
        <w:gridCol w:w="1966"/>
        <w:gridCol w:w="1966"/>
        <w:gridCol w:w="1966"/>
      </w:tblGrid>
      <w:tr>
        <w:trPr>
          <w:tblHeader w:val="true"/>
        </w:trPr>
        <w:tc>
          <w:tcPr>
            <w:tcW w:type="dxa" w:w="1966"/>
            <w:shd w:fill="17304D"/>
          </w:tcPr>
          <w:p>
            <w:r>
              <w:rPr>
                <w:b/>
                <w:color w:val="FFFFFF"/>
                <w:sz w:val="14"/>
              </w:rPr>
              <w:t>ISO ref</w:t>
            </w:r>
          </w:p>
        </w:tc>
        <w:tc>
          <w:tcPr>
            <w:tcW w:type="dxa" w:w="1966"/>
            <w:shd w:fill="17304D"/>
          </w:tcPr>
          <w:p>
            <w:r>
              <w:rPr>
                <w:b/>
                <w:color w:val="FFFFFF"/>
                <w:sz w:val="14"/>
              </w:rPr>
              <w:t>Requirement / method</w:t>
            </w:r>
          </w:p>
        </w:tc>
        <w:tc>
          <w:tcPr>
            <w:tcW w:type="dxa" w:w="1966"/>
            <w:shd w:fill="17304D"/>
          </w:tcPr>
          <w:p>
            <w:r>
              <w:rPr>
                <w:b/>
                <w:color w:val="FFFFFF"/>
                <w:sz w:val="14"/>
              </w:rPr>
              <w:t>Applicability</w:t>
            </w:r>
          </w:p>
        </w:tc>
        <w:tc>
          <w:tcPr>
            <w:tcW w:type="dxa" w:w="1966"/>
            <w:shd w:fill="17304D"/>
          </w:tcPr>
          <w:p>
            <w:r>
              <w:rPr>
                <w:b/>
                <w:color w:val="FFFFFF"/>
                <w:sz w:val="14"/>
              </w:rPr>
              <w:t>Required record route</w:t>
            </w:r>
          </w:p>
        </w:tc>
        <w:tc>
          <w:tcPr>
            <w:tcW w:type="dxa" w:w="1966"/>
            <w:shd w:fill="17304D"/>
          </w:tcPr>
          <w:p>
            <w:r>
              <w:rPr>
                <w:b/>
                <w:color w:val="FFFFFF"/>
                <w:sz w:val="14"/>
              </w:rPr>
              <w:t>Gap</w:t>
            </w:r>
          </w:p>
        </w:tc>
      </w:tr>
      <w:tr>
        <w:tc>
          <w:tcPr>
            <w:tcW w:type="dxa" w:w="1966"/>
            <w:vAlign w:val="top"/>
          </w:tcPr>
          <w:p>
            <w:pPr>
              <w:spacing w:after="40"/>
            </w:pPr>
            <w:r>
              <w:rPr>
                <w:rFonts w:ascii="Aptos" w:hAnsi="Aptos"/>
                <w:sz w:val="14"/>
              </w:rPr>
              <w:t>REQ-01 §4</w:t>
            </w:r>
          </w:p>
        </w:tc>
        <w:tc>
          <w:tcPr>
            <w:tcW w:type="dxa" w:w="1966"/>
            <w:vAlign w:val="top"/>
          </w:tcPr>
          <w:p>
            <w:pPr>
              <w:spacing w:after="40"/>
            </w:pPr>
            <w:r>
              <w:rPr>
                <w:rFonts w:ascii="Aptos" w:hAnsi="Aptos"/>
                <w:sz w:val="14"/>
              </w:rPr>
              <w:t>Safe access, maintenance of drainage; retention only when present</w:t>
            </w:r>
          </w:p>
        </w:tc>
        <w:tc>
          <w:tcPr>
            <w:tcW w:type="dxa" w:w="1966"/>
            <w:vAlign w:val="top"/>
          </w:tcPr>
          <w:p>
            <w:pPr>
              <w:spacing w:after="40"/>
            </w:pPr>
            <w:r>
              <w:rPr>
                <w:rFonts w:ascii="Aptos" w:hAnsi="Aptos"/>
                <w:sz w:val="14"/>
              </w:rPr>
              <w:t>Applicable catheter; retention conditional</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GAP-011</w:t>
            </w:r>
          </w:p>
        </w:tc>
      </w:tr>
      <w:tr>
        <w:tc>
          <w:tcPr>
            <w:tcW w:type="dxa" w:w="1966"/>
            <w:vAlign w:val="top"/>
            <w:shd w:fill="F1F5F9"/>
          </w:tcPr>
          <w:p>
            <w:pPr>
              <w:spacing w:after="40"/>
            </w:pPr>
            <w:r>
              <w:rPr>
                <w:rFonts w:ascii="Aptos" w:hAnsi="Aptos"/>
                <w:sz w:val="14"/>
              </w:rPr>
              <w:t>REQ-02 §5.1</w:t>
            </w:r>
          </w:p>
        </w:tc>
        <w:tc>
          <w:tcPr>
            <w:tcW w:type="dxa" w:w="1966"/>
            <w:vAlign w:val="top"/>
            <w:shd w:fill="F1F5F9"/>
          </w:tcPr>
          <w:p>
            <w:pPr>
              <w:spacing w:after="40"/>
            </w:pPr>
            <w:r>
              <w:rPr>
                <w:rFonts w:ascii="Aptos" w:hAnsi="Aptos"/>
                <w:sz w:val="14"/>
              </w:rPr>
              <w:t>Documented risk-management analysis and supporting file</w:t>
            </w:r>
          </w:p>
        </w:tc>
        <w:tc>
          <w:tcPr>
            <w:tcW w:type="dxa" w:w="1966"/>
            <w:vAlign w:val="top"/>
            <w:shd w:fill="F1F5F9"/>
          </w:tcPr>
          <w:p>
            <w:pPr>
              <w:spacing w:after="40"/>
            </w:pPr>
            <w:r>
              <w:rPr>
                <w:rFonts w:ascii="Aptos" w:hAnsi="Aptos"/>
                <w:sz w:val="14"/>
              </w:rPr>
              <w:t>Applicable</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GAP-012</w:t>
            </w:r>
          </w:p>
        </w:tc>
      </w:tr>
      <w:tr>
        <w:tc>
          <w:tcPr>
            <w:tcW w:type="dxa" w:w="1966"/>
            <w:vAlign w:val="top"/>
          </w:tcPr>
          <w:p>
            <w:pPr>
              <w:spacing w:after="40"/>
            </w:pPr>
            <w:r>
              <w:rPr>
                <w:rFonts w:ascii="Aptos" w:hAnsi="Aptos"/>
                <w:sz w:val="14"/>
              </w:rPr>
              <w:t>REQ-03 §5.2</w:t>
            </w:r>
          </w:p>
        </w:tc>
        <w:tc>
          <w:tcPr>
            <w:tcW w:type="dxa" w:w="1966"/>
            <w:vAlign w:val="top"/>
          </w:tcPr>
          <w:p>
            <w:pPr>
              <w:spacing w:after="40"/>
            </w:pPr>
            <w:r>
              <w:rPr>
                <w:rFonts w:ascii="Aptos" w:hAnsi="Aptos"/>
                <w:sz w:val="14"/>
              </w:rPr>
              <w:t>Risk-appropriate biological safety evaluation</w:t>
            </w:r>
          </w:p>
        </w:tc>
        <w:tc>
          <w:tcPr>
            <w:tcW w:type="dxa" w:w="1966"/>
            <w:vAlign w:val="top"/>
          </w:tcPr>
          <w:p>
            <w:pPr>
              <w:spacing w:after="40"/>
            </w:pPr>
            <w:r>
              <w:rPr>
                <w:rFonts w:ascii="Aptos" w:hAnsi="Aptos"/>
                <w:sz w:val="14"/>
              </w:rPr>
              <w:t>Applicable patient-contact components</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GAP-012</w:t>
            </w:r>
          </w:p>
        </w:tc>
      </w:tr>
      <w:tr>
        <w:tc>
          <w:tcPr>
            <w:tcW w:type="dxa" w:w="1966"/>
            <w:vAlign w:val="top"/>
            <w:shd w:fill="F1F5F9"/>
          </w:tcPr>
          <w:p>
            <w:pPr>
              <w:spacing w:after="40"/>
            </w:pPr>
            <w:r>
              <w:rPr>
                <w:rFonts w:ascii="Aptos" w:hAnsi="Aptos"/>
                <w:sz w:val="14"/>
              </w:rPr>
              <w:t>REQ-04 §5.3</w:t>
            </w:r>
          </w:p>
        </w:tc>
        <w:tc>
          <w:tcPr>
            <w:tcW w:type="dxa" w:w="1966"/>
            <w:vAlign w:val="top"/>
            <w:shd w:fill="F1F5F9"/>
          </w:tcPr>
          <w:p>
            <w:pPr>
              <w:spacing w:after="40"/>
            </w:pPr>
            <w:r>
              <w:rPr>
                <w:rFonts w:ascii="Aptos" w:hAnsi="Aptos"/>
                <w:sz w:val="14"/>
              </w:rPr>
              <w:t>Detectability when required by risk assessment</w:t>
            </w:r>
          </w:p>
        </w:tc>
        <w:tc>
          <w:tcPr>
            <w:tcW w:type="dxa" w:w="1966"/>
            <w:vAlign w:val="top"/>
            <w:shd w:fill="F1F5F9"/>
          </w:tcPr>
          <w:p>
            <w:pPr>
              <w:spacing w:after="40"/>
            </w:pPr>
            <w:r>
              <w:rPr>
                <w:rFonts w:ascii="Aptos" w:hAnsi="Aptos"/>
                <w:sz w:val="14"/>
              </w:rPr>
              <w:t>Risk/claim conditional</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GAP-007</w:t>
            </w:r>
          </w:p>
        </w:tc>
      </w:tr>
      <w:tr>
        <w:tc>
          <w:tcPr>
            <w:tcW w:type="dxa" w:w="1966"/>
            <w:vAlign w:val="top"/>
          </w:tcPr>
          <w:p>
            <w:pPr>
              <w:spacing w:after="40"/>
            </w:pPr>
            <w:r>
              <w:rPr>
                <w:rFonts w:ascii="Aptos" w:hAnsi="Aptos"/>
                <w:sz w:val="14"/>
              </w:rPr>
              <w:t>REQ-06 §5.5.1–5.5.3</w:t>
            </w:r>
          </w:p>
        </w:tc>
        <w:tc>
          <w:tcPr>
            <w:tcW w:type="dxa" w:w="1966"/>
            <w:vAlign w:val="top"/>
          </w:tcPr>
          <w:p>
            <w:pPr>
              <w:spacing w:after="40"/>
            </w:pPr>
            <w:r>
              <w:rPr>
                <w:rFonts w:ascii="Aptos" w:hAnsi="Aptos"/>
                <w:sz w:val="14"/>
              </w:rPr>
              <w:t>OD nominal designation (±1 Fr) and effective-length unit; no standard length tolerance</w:t>
            </w:r>
          </w:p>
        </w:tc>
        <w:tc>
          <w:tcPr>
            <w:tcW w:type="dxa" w:w="1966"/>
            <w:vAlign w:val="top"/>
          </w:tcPr>
          <w:p>
            <w:pPr>
              <w:spacing w:after="40"/>
            </w:pPr>
            <w:r>
              <w:rPr>
                <w:rFonts w:ascii="Aptos" w:hAnsi="Aptos"/>
                <w:sz w:val="14"/>
              </w:rPr>
              <w:t>Applicable catheter</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GAP-007</w:t>
            </w:r>
          </w:p>
        </w:tc>
      </w:tr>
      <w:tr>
        <w:tc>
          <w:tcPr>
            <w:tcW w:type="dxa" w:w="1966"/>
            <w:vAlign w:val="top"/>
            <w:shd w:fill="F1F5F9"/>
          </w:tcPr>
          <w:p>
            <w:pPr>
              <w:spacing w:after="40"/>
            </w:pPr>
            <w:r>
              <w:rPr>
                <w:rFonts w:ascii="Aptos" w:hAnsi="Aptos"/>
                <w:sz w:val="14"/>
              </w:rPr>
              <w:t>REQ-08 §5.6</w:t>
            </w:r>
          </w:p>
        </w:tc>
        <w:tc>
          <w:tcPr>
            <w:tcW w:type="dxa" w:w="1966"/>
            <w:vAlign w:val="top"/>
            <w:shd w:fill="F1F5F9"/>
          </w:tcPr>
          <w:p>
            <w:pPr>
              <w:spacing w:after="40"/>
            </w:pPr>
            <w:r>
              <w:rPr>
                <w:rFonts w:ascii="Aptos" w:hAnsi="Aptos"/>
                <w:sz w:val="14"/>
              </w:rPr>
              <w:t>Avoid misconnection by appropriate risk assessment</w:t>
            </w:r>
          </w:p>
        </w:tc>
        <w:tc>
          <w:tcPr>
            <w:tcW w:type="dxa" w:w="1966"/>
            <w:vAlign w:val="top"/>
            <w:shd w:fill="F1F5F9"/>
          </w:tcPr>
          <w:p>
            <w:pPr>
              <w:spacing w:after="40"/>
            </w:pPr>
            <w:r>
              <w:rPr>
                <w:rFonts w:ascii="Aptos" w:hAnsi="Aptos"/>
                <w:sz w:val="14"/>
              </w:rPr>
              <w:t>Applicable if interfaces/connectors</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GAP-011</w:t>
            </w:r>
          </w:p>
        </w:tc>
      </w:tr>
      <w:tr>
        <w:tc>
          <w:tcPr>
            <w:tcW w:type="dxa" w:w="1966"/>
            <w:vAlign w:val="top"/>
          </w:tcPr>
          <w:p>
            <w:pPr>
              <w:spacing w:after="40"/>
            </w:pPr>
            <w:r>
              <w:rPr>
                <w:rFonts w:ascii="Aptos" w:hAnsi="Aptos"/>
                <w:sz w:val="14"/>
              </w:rPr>
              <w:t>REQ-09 §5.7</w:t>
            </w:r>
          </w:p>
        </w:tc>
        <w:tc>
          <w:tcPr>
            <w:tcW w:type="dxa" w:w="1966"/>
            <w:vAlign w:val="top"/>
          </w:tcPr>
          <w:p>
            <w:pPr>
              <w:spacing w:after="40"/>
            </w:pPr>
            <w:r>
              <w:rPr>
                <w:rFonts w:ascii="Aptos" w:hAnsi="Aptos"/>
                <w:sz w:val="14"/>
              </w:rPr>
              <w:t>MRI hazard evaluation if applicable</w:t>
            </w:r>
          </w:p>
        </w:tc>
        <w:tc>
          <w:tcPr>
            <w:tcW w:type="dxa" w:w="1966"/>
            <w:vAlign w:val="top"/>
          </w:tcPr>
          <w:p>
            <w:pPr>
              <w:spacing w:after="40"/>
            </w:pPr>
            <w:r>
              <w:rPr>
                <w:rFonts w:ascii="Aptos" w:hAnsi="Aptos"/>
                <w:sz w:val="14"/>
              </w:rPr>
              <w:t>Conditional — environment/claims</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GAP-020</w:t>
            </w:r>
          </w:p>
        </w:tc>
      </w:tr>
      <w:tr>
        <w:tc>
          <w:tcPr>
            <w:tcW w:type="dxa" w:w="1966"/>
            <w:vAlign w:val="top"/>
            <w:shd w:fill="F1F5F9"/>
          </w:tcPr>
          <w:p>
            <w:pPr>
              <w:spacing w:after="40"/>
            </w:pPr>
            <w:r>
              <w:rPr>
                <w:rFonts w:ascii="Aptos" w:hAnsi="Aptos"/>
                <w:sz w:val="14"/>
              </w:rPr>
              <w:t>REQ-11 §6.1 / Annex A informative</w:t>
            </w:r>
          </w:p>
        </w:tc>
        <w:tc>
          <w:tcPr>
            <w:tcW w:type="dxa" w:w="1966"/>
            <w:vAlign w:val="top"/>
            <w:shd w:fill="F1F5F9"/>
          </w:tcPr>
          <w:p>
            <w:pPr>
              <w:spacing w:after="40"/>
            </w:pPr>
            <w:r>
              <w:rPr>
                <w:rFonts w:ascii="Aptos" w:hAnsi="Aptos"/>
                <w:sz w:val="14"/>
              </w:rPr>
              <w:t>Risk-based catheter kink performance; no default fixed kink threshold</w:t>
            </w:r>
          </w:p>
        </w:tc>
        <w:tc>
          <w:tcPr>
            <w:tcW w:type="dxa" w:w="1966"/>
            <w:vAlign w:val="top"/>
            <w:shd w:fill="F1F5F9"/>
          </w:tcPr>
          <w:p>
            <w:pPr>
              <w:spacing w:after="40"/>
            </w:pPr>
            <w:r>
              <w:rPr>
                <w:rFonts w:ascii="Aptos" w:hAnsi="Aptos"/>
                <w:sz w:val="14"/>
              </w:rPr>
              <w:t>Applicable placement performance</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GAP-011</w:t>
            </w:r>
          </w:p>
        </w:tc>
      </w:tr>
      <w:tr>
        <w:tc>
          <w:tcPr>
            <w:tcW w:type="dxa" w:w="1966"/>
            <w:vAlign w:val="top"/>
          </w:tcPr>
          <w:p>
            <w:pPr>
              <w:spacing w:after="40"/>
            </w:pPr>
            <w:r>
              <w:rPr>
                <w:rFonts w:ascii="Aptos" w:hAnsi="Aptos"/>
                <w:sz w:val="14"/>
              </w:rPr>
              <w:t>REQ-12 §6.2 / Annex B</w:t>
            </w:r>
          </w:p>
        </w:tc>
        <w:tc>
          <w:tcPr>
            <w:tcW w:type="dxa" w:w="1966"/>
            <w:vAlign w:val="top"/>
          </w:tcPr>
          <w:p>
            <w:pPr>
              <w:spacing w:after="40"/>
            </w:pPr>
            <w:r>
              <w:rPr>
                <w:rFonts w:ascii="Aptos" w:hAnsi="Aptos"/>
                <w:sz w:val="14"/>
              </w:rPr>
              <w:t>Corrosion evaluation for exposed metallic catheter components when relevant</w:t>
            </w:r>
          </w:p>
        </w:tc>
        <w:tc>
          <w:tcPr>
            <w:tcW w:type="dxa" w:w="1966"/>
            <w:vAlign w:val="top"/>
          </w:tcPr>
          <w:p>
            <w:pPr>
              <w:spacing w:after="40"/>
            </w:pPr>
            <w:r>
              <w:rPr>
                <w:rFonts w:ascii="Aptos" w:hAnsi="Aptos"/>
                <w:sz w:val="14"/>
              </w:rPr>
              <w:t>Conditional — catheter metal</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GAP-016</w:t>
            </w:r>
          </w:p>
        </w:tc>
      </w:tr>
      <w:tr>
        <w:tc>
          <w:tcPr>
            <w:tcW w:type="dxa" w:w="1966"/>
            <w:vAlign w:val="top"/>
            <w:shd w:fill="F1F5F9"/>
          </w:tcPr>
          <w:p>
            <w:pPr>
              <w:spacing w:after="40"/>
            </w:pPr>
            <w:r>
              <w:rPr>
                <w:rFonts w:ascii="Aptos" w:hAnsi="Aptos"/>
                <w:sz w:val="14"/>
              </w:rPr>
              <w:t>REQ-13 §6.3 / Annex C</w:t>
            </w:r>
          </w:p>
        </w:tc>
        <w:tc>
          <w:tcPr>
            <w:tcW w:type="dxa" w:w="1966"/>
            <w:vAlign w:val="top"/>
            <w:shd w:fill="F1F5F9"/>
          </w:tcPr>
          <w:p>
            <w:pPr>
              <w:spacing w:after="40"/>
            </w:pPr>
            <w:r>
              <w:rPr>
                <w:rFonts w:ascii="Aptos" w:hAnsi="Aptos"/>
                <w:sz w:val="14"/>
              </w:rPr>
              <w:t>Function-preserving deformation resistance under maximum specified suction</w:t>
            </w:r>
          </w:p>
        </w:tc>
        <w:tc>
          <w:tcPr>
            <w:tcW w:type="dxa" w:w="1966"/>
            <w:vAlign w:val="top"/>
            <w:shd w:fill="F1F5F9"/>
          </w:tcPr>
          <w:p>
            <w:pPr>
              <w:spacing w:after="40"/>
            </w:pPr>
            <w:r>
              <w:rPr>
                <w:rFonts w:ascii="Aptos" w:hAnsi="Aptos"/>
                <w:sz w:val="14"/>
              </w:rPr>
              <w:t>Conditional — negative pressure</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GAP-013</w:t>
            </w:r>
          </w:p>
        </w:tc>
      </w:tr>
      <w:tr>
        <w:tc>
          <w:tcPr>
            <w:tcW w:type="dxa" w:w="1966"/>
            <w:vAlign w:val="top"/>
          </w:tcPr>
          <w:p>
            <w:pPr>
              <w:spacing w:after="40"/>
            </w:pPr>
            <w:r>
              <w:rPr>
                <w:rFonts w:ascii="Aptos" w:hAnsi="Aptos"/>
                <w:sz w:val="14"/>
              </w:rPr>
              <w:t>REQ-14 §6.4.1 / Table 1 / Annex D</w:t>
            </w:r>
          </w:p>
        </w:tc>
        <w:tc>
          <w:tcPr>
            <w:tcW w:type="dxa" w:w="1966"/>
            <w:vAlign w:val="top"/>
          </w:tcPr>
          <w:p>
            <w:pPr>
              <w:spacing w:after="40"/>
            </w:pPr>
            <w:r>
              <w:rPr>
                <w:rFonts w:ascii="Aptos" w:hAnsi="Aptos"/>
                <w:sz w:val="14"/>
              </w:rPr>
              <w:t>External connection tensile force by OD band: 5 N or 15 N</w:t>
            </w:r>
          </w:p>
        </w:tc>
        <w:tc>
          <w:tcPr>
            <w:tcW w:type="dxa" w:w="1966"/>
            <w:vAlign w:val="top"/>
          </w:tcPr>
          <w:p>
            <w:pPr>
              <w:spacing w:after="40"/>
            </w:pPr>
            <w:r>
              <w:rPr>
                <w:rFonts w:ascii="Aptos" w:hAnsi="Aptos"/>
                <w:sz w:val="14"/>
              </w:rPr>
              <w:t>Applicable connection existence/OD</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GAP-014</w:t>
            </w:r>
          </w:p>
        </w:tc>
      </w:tr>
      <w:tr>
        <w:tc>
          <w:tcPr>
            <w:tcW w:type="dxa" w:w="1966"/>
            <w:vAlign w:val="top"/>
            <w:shd w:fill="F1F5F9"/>
          </w:tcPr>
          <w:p>
            <w:pPr>
              <w:spacing w:after="40"/>
            </w:pPr>
            <w:r>
              <w:rPr>
                <w:rFonts w:ascii="Aptos" w:hAnsi="Aptos"/>
                <w:sz w:val="14"/>
              </w:rPr>
              <w:t>REQ-15 §6.4.2 / Table 2 / Annex E</w:t>
            </w:r>
          </w:p>
        </w:tc>
        <w:tc>
          <w:tcPr>
            <w:tcW w:type="dxa" w:w="1966"/>
            <w:vAlign w:val="top"/>
            <w:shd w:fill="F1F5F9"/>
          </w:tcPr>
          <w:p>
            <w:pPr>
              <w:spacing w:after="40"/>
            </w:pPr>
            <w:r>
              <w:rPr>
                <w:rFonts w:ascii="Aptos" w:hAnsi="Aptos"/>
                <w:sz w:val="14"/>
              </w:rPr>
              <w:t>Catheter/junction tensile force by OD band: 10 N or 20 N</w:t>
            </w:r>
          </w:p>
        </w:tc>
        <w:tc>
          <w:tcPr>
            <w:tcW w:type="dxa" w:w="1966"/>
            <w:vAlign w:val="top"/>
            <w:shd w:fill="F1F5F9"/>
          </w:tcPr>
          <w:p>
            <w:pPr>
              <w:spacing w:after="40"/>
            </w:pPr>
            <w:r>
              <w:rPr>
                <w:rFonts w:ascii="Aptos" w:hAnsi="Aptos"/>
                <w:sz w:val="14"/>
              </w:rPr>
              <w:t>Applicable tubing/junction configuration</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GAP-014</w:t>
            </w:r>
          </w:p>
        </w:tc>
      </w:tr>
      <w:tr>
        <w:tc>
          <w:tcPr>
            <w:tcW w:type="dxa" w:w="1966"/>
            <w:vAlign w:val="top"/>
          </w:tcPr>
          <w:p>
            <w:pPr>
              <w:spacing w:after="40"/>
            </w:pPr>
            <w:r>
              <w:rPr>
                <w:rFonts w:ascii="Aptos" w:hAnsi="Aptos"/>
                <w:sz w:val="14"/>
              </w:rPr>
              <w:t>REQ-16 §6.5 / Annex F</w:t>
            </w:r>
          </w:p>
        </w:tc>
        <w:tc>
          <w:tcPr>
            <w:tcW w:type="dxa" w:w="1966"/>
            <w:vAlign w:val="top"/>
          </w:tcPr>
          <w:p>
            <w:pPr>
              <w:spacing w:after="40"/>
            </w:pPr>
            <w:r>
              <w:rPr>
                <w:rFonts w:ascii="Aptos" w:hAnsi="Aptos"/>
                <w:sz w:val="14"/>
              </w:rPr>
              <w:t>Collection device impact resistance; 2% maximum vacuum loss where suction applies</w:t>
            </w:r>
          </w:p>
        </w:tc>
        <w:tc>
          <w:tcPr>
            <w:tcW w:type="dxa" w:w="1966"/>
            <w:vAlign w:val="top"/>
          </w:tcPr>
          <w:p>
            <w:pPr>
              <w:spacing w:after="40"/>
            </w:pPr>
            <w:r>
              <w:rPr>
                <w:rFonts w:ascii="Aptos" w:hAnsi="Aptos"/>
                <w:sz w:val="14"/>
              </w:rPr>
              <w:t>Conditional — collecting/suction device</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GAP-020</w:t>
            </w:r>
          </w:p>
        </w:tc>
      </w:tr>
      <w:tr>
        <w:tc>
          <w:tcPr>
            <w:tcW w:type="dxa" w:w="1966"/>
            <w:vAlign w:val="top"/>
            <w:shd w:fill="F1F5F9"/>
          </w:tcPr>
          <w:p>
            <w:pPr>
              <w:spacing w:after="40"/>
            </w:pPr>
            <w:r>
              <w:rPr>
                <w:rFonts w:ascii="Aptos" w:hAnsi="Aptos"/>
                <w:sz w:val="14"/>
              </w:rPr>
              <w:t>REQ-17 §6.6 / Annex G</w:t>
            </w:r>
          </w:p>
        </w:tc>
        <w:tc>
          <w:tcPr>
            <w:tcW w:type="dxa" w:w="1966"/>
            <w:vAlign w:val="top"/>
            <w:shd w:fill="F1F5F9"/>
          </w:tcPr>
          <w:p>
            <w:pPr>
              <w:spacing w:after="40"/>
            </w:pPr>
            <w:r>
              <w:rPr>
                <w:rFonts w:ascii="Aptos" w:hAnsi="Aptos"/>
                <w:sz w:val="14"/>
              </w:rPr>
              <w:t>Flow rate at least 80% or 90% of stated claim when flow claimed</w:t>
            </w:r>
          </w:p>
        </w:tc>
        <w:tc>
          <w:tcPr>
            <w:tcW w:type="dxa" w:w="1966"/>
            <w:vAlign w:val="top"/>
            <w:shd w:fill="F1F5F9"/>
          </w:tcPr>
          <w:p>
            <w:pPr>
              <w:spacing w:after="40"/>
            </w:pPr>
            <w:r>
              <w:rPr>
                <w:rFonts w:ascii="Aptos" w:hAnsi="Aptos"/>
                <w:sz w:val="14"/>
              </w:rPr>
              <w:t>Conditional — flow claimed</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GAP-015</w:t>
            </w:r>
          </w:p>
        </w:tc>
      </w:tr>
      <w:tr>
        <w:tc>
          <w:tcPr>
            <w:tcW w:type="dxa" w:w="1966"/>
            <w:vAlign w:val="top"/>
          </w:tcPr>
          <w:p>
            <w:pPr>
              <w:spacing w:after="40"/>
            </w:pPr>
            <w:r>
              <w:rPr>
                <w:rFonts w:ascii="Aptos" w:hAnsi="Aptos"/>
                <w:sz w:val="14"/>
              </w:rPr>
              <w:t>REQ-18 §6.7 / Annex H informative</w:t>
            </w:r>
          </w:p>
        </w:tc>
        <w:tc>
          <w:tcPr>
            <w:tcW w:type="dxa" w:w="1966"/>
            <w:vAlign w:val="top"/>
          </w:tcPr>
          <w:p>
            <w:pPr>
              <w:spacing w:after="40"/>
            </w:pPr>
            <w:r>
              <w:rPr>
                <w:rFonts w:ascii="Aptos" w:hAnsi="Aptos"/>
                <w:sz w:val="14"/>
              </w:rPr>
              <w:t>Retention strength risk-based for non-balloon retention features</w:t>
            </w:r>
          </w:p>
        </w:tc>
        <w:tc>
          <w:tcPr>
            <w:tcW w:type="dxa" w:w="1966"/>
            <w:vAlign w:val="top"/>
          </w:tcPr>
          <w:p>
            <w:pPr>
              <w:spacing w:after="40"/>
            </w:pPr>
            <w:r>
              <w:rPr>
                <w:rFonts w:ascii="Aptos" w:hAnsi="Aptos"/>
                <w:sz w:val="14"/>
              </w:rPr>
              <w:t>Conditional — feature</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GAP-020</w:t>
            </w:r>
          </w:p>
        </w:tc>
      </w:tr>
      <w:tr>
        <w:tc>
          <w:tcPr>
            <w:tcW w:type="dxa" w:w="1966"/>
            <w:vAlign w:val="top"/>
            <w:shd w:fill="F1F5F9"/>
          </w:tcPr>
          <w:p>
            <w:pPr>
              <w:spacing w:after="40"/>
            </w:pPr>
            <w:r>
              <w:rPr>
                <w:rFonts w:ascii="Aptos" w:hAnsi="Aptos"/>
                <w:sz w:val="14"/>
              </w:rPr>
              <w:t>REQ-19 §6.8 / Annex I</w:t>
            </w:r>
          </w:p>
        </w:tc>
        <w:tc>
          <w:tcPr>
            <w:tcW w:type="dxa" w:w="1966"/>
            <w:vAlign w:val="top"/>
            <w:shd w:fill="F1F5F9"/>
          </w:tcPr>
          <w:p>
            <w:pPr>
              <w:spacing w:after="40"/>
            </w:pPr>
            <w:r>
              <w:rPr>
                <w:rFonts w:ascii="Aptos" w:hAnsi="Aptos"/>
                <w:sz w:val="14"/>
              </w:rPr>
              <w:t>Balloon safety / no leakage or obstructed drainage holes</w:t>
            </w:r>
          </w:p>
        </w:tc>
        <w:tc>
          <w:tcPr>
            <w:tcW w:type="dxa" w:w="1966"/>
            <w:vAlign w:val="top"/>
            <w:shd w:fill="F1F5F9"/>
          </w:tcPr>
          <w:p>
            <w:pPr>
              <w:spacing w:after="40"/>
            </w:pPr>
            <w:r>
              <w:rPr>
                <w:rFonts w:ascii="Aptos" w:hAnsi="Aptos"/>
                <w:sz w:val="14"/>
              </w:rPr>
              <w:t>Conditional — balloon</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GAP-020</w:t>
            </w:r>
          </w:p>
        </w:tc>
      </w:tr>
      <w:tr>
        <w:tc>
          <w:tcPr>
            <w:tcW w:type="dxa" w:w="1966"/>
            <w:vAlign w:val="top"/>
          </w:tcPr>
          <w:p>
            <w:pPr>
              <w:spacing w:after="40"/>
            </w:pPr>
            <w:r>
              <w:rPr>
                <w:rFonts w:ascii="Aptos" w:hAnsi="Aptos"/>
                <w:sz w:val="14"/>
              </w:rPr>
              <w:t>REQ-20 §6.9 / Annex J/K</w:t>
            </w:r>
          </w:p>
        </w:tc>
        <w:tc>
          <w:tcPr>
            <w:tcW w:type="dxa" w:w="1966"/>
            <w:vAlign w:val="top"/>
          </w:tcPr>
          <w:p>
            <w:pPr>
              <w:spacing w:after="40"/>
            </w:pPr>
            <w:r>
              <w:rPr>
                <w:rFonts w:ascii="Aptos" w:hAnsi="Aptos"/>
                <w:sz w:val="14"/>
              </w:rPr>
              <w:t>Balloon integrity / volume maintenance depending on compliant type</w:t>
            </w:r>
          </w:p>
        </w:tc>
        <w:tc>
          <w:tcPr>
            <w:tcW w:type="dxa" w:w="1966"/>
            <w:vAlign w:val="top"/>
          </w:tcPr>
          <w:p>
            <w:pPr>
              <w:spacing w:after="40"/>
            </w:pPr>
            <w:r>
              <w:rPr>
                <w:rFonts w:ascii="Aptos" w:hAnsi="Aptos"/>
                <w:sz w:val="14"/>
              </w:rPr>
              <w:t>Conditional — balloon</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GAP-020</w:t>
            </w:r>
          </w:p>
        </w:tc>
      </w:tr>
      <w:tr>
        <w:tc>
          <w:tcPr>
            <w:tcW w:type="dxa" w:w="1966"/>
            <w:vAlign w:val="top"/>
            <w:shd w:fill="F1F5F9"/>
          </w:tcPr>
          <w:p>
            <w:pPr>
              <w:spacing w:after="40"/>
            </w:pPr>
            <w:r>
              <w:rPr>
                <w:rFonts w:ascii="Aptos" w:hAnsi="Aptos"/>
                <w:sz w:val="14"/>
              </w:rPr>
              <w:t>REQ-21 §6.10 / Annex L</w:t>
            </w:r>
          </w:p>
        </w:tc>
        <w:tc>
          <w:tcPr>
            <w:tcW w:type="dxa" w:w="1966"/>
            <w:vAlign w:val="top"/>
            <w:shd w:fill="F1F5F9"/>
          </w:tcPr>
          <w:p>
            <w:pPr>
              <w:spacing w:after="40"/>
            </w:pPr>
            <w:r>
              <w:rPr>
                <w:rFonts w:ascii="Aptos" w:hAnsi="Aptos"/>
                <w:sz w:val="14"/>
              </w:rPr>
              <w:t>Specified balloon traction resistance if applicable</w:t>
            </w:r>
          </w:p>
        </w:tc>
        <w:tc>
          <w:tcPr>
            <w:tcW w:type="dxa" w:w="1966"/>
            <w:vAlign w:val="top"/>
            <w:shd w:fill="F1F5F9"/>
          </w:tcPr>
          <w:p>
            <w:pPr>
              <w:spacing w:after="40"/>
            </w:pPr>
            <w:r>
              <w:rPr>
                <w:rFonts w:ascii="Aptos" w:hAnsi="Aptos"/>
                <w:sz w:val="14"/>
              </w:rPr>
              <w:t>Conditional — balloon</w:t>
            </w:r>
          </w:p>
        </w:tc>
        <w:tc>
          <w:tcPr>
            <w:tcW w:type="dxa" w:w="1966"/>
            <w:vAlign w:val="top"/>
            <w:shd w:fill="F1F5F9"/>
          </w:tcPr>
          <w:p>
            <w:pPr>
              <w:spacing w:after="40"/>
            </w:pPr>
            <w:r>
              <w:rPr>
                <w:rFonts w:ascii="Aptos" w:hAnsi="Aptos"/>
                <w:sz w:val="14"/>
              </w:rPr>
              <w:t>Approved qualification / validated supplier evidence or signed N/A with documented rationale; evidence ref OPEN.</w:t>
            </w:r>
          </w:p>
        </w:tc>
        <w:tc>
          <w:tcPr>
            <w:tcW w:type="dxa" w:w="1966"/>
            <w:vAlign w:val="top"/>
            <w:shd w:fill="F1F5F9"/>
          </w:tcPr>
          <w:p>
            <w:pPr>
              <w:spacing w:after="40"/>
            </w:pPr>
            <w:r>
              <w:rPr>
                <w:rFonts w:ascii="Aptos" w:hAnsi="Aptos"/>
                <w:sz w:val="14"/>
              </w:rPr>
              <w:t>GAP-020</w:t>
            </w:r>
          </w:p>
        </w:tc>
      </w:tr>
      <w:tr>
        <w:tc>
          <w:tcPr>
            <w:tcW w:type="dxa" w:w="1966"/>
            <w:vAlign w:val="top"/>
          </w:tcPr>
          <w:p>
            <w:pPr>
              <w:spacing w:after="40"/>
            </w:pPr>
            <w:r>
              <w:rPr>
                <w:rFonts w:ascii="Aptos" w:hAnsi="Aptos"/>
                <w:sz w:val="14"/>
              </w:rPr>
              <w:t>REQ-22 §6.11 / Annex M</w:t>
            </w:r>
          </w:p>
        </w:tc>
        <w:tc>
          <w:tcPr>
            <w:tcW w:type="dxa" w:w="1966"/>
            <w:vAlign w:val="top"/>
          </w:tcPr>
          <w:p>
            <w:pPr>
              <w:spacing w:after="40"/>
            </w:pPr>
            <w:r>
              <w:rPr>
                <w:rFonts w:ascii="Aptos" w:hAnsi="Aptos"/>
                <w:sz w:val="14"/>
              </w:rPr>
              <w:t>No air leak under manufacturer-defined maximum suction</w:t>
            </w:r>
          </w:p>
        </w:tc>
        <w:tc>
          <w:tcPr>
            <w:tcW w:type="dxa" w:w="1966"/>
            <w:vAlign w:val="top"/>
          </w:tcPr>
          <w:p>
            <w:pPr>
              <w:spacing w:after="40"/>
            </w:pPr>
            <w:r>
              <w:rPr>
                <w:rFonts w:ascii="Aptos" w:hAnsi="Aptos"/>
                <w:sz w:val="14"/>
              </w:rPr>
              <w:t>Conditional — negative pressure</w:t>
            </w:r>
          </w:p>
        </w:tc>
        <w:tc>
          <w:tcPr>
            <w:tcW w:type="dxa" w:w="1966"/>
            <w:vAlign w:val="top"/>
          </w:tcPr>
          <w:p>
            <w:pPr>
              <w:spacing w:after="40"/>
            </w:pPr>
            <w:r>
              <w:rPr>
                <w:rFonts w:ascii="Aptos" w:hAnsi="Aptos"/>
                <w:sz w:val="14"/>
              </w:rPr>
              <w:t>Approved qualification / validated supplier evidence or signed N/A with documented rationale; evidence ref OPEN.</w:t>
            </w:r>
          </w:p>
        </w:tc>
        <w:tc>
          <w:tcPr>
            <w:tcW w:type="dxa" w:w="1966"/>
            <w:vAlign w:val="top"/>
          </w:tcPr>
          <w:p>
            <w:pPr>
              <w:spacing w:after="40"/>
            </w:pPr>
            <w:r>
              <w:rPr>
                <w:rFonts w:ascii="Aptos" w:hAnsi="Aptos"/>
                <w:sz w:val="14"/>
              </w:rPr>
              <w:t>GAP-013</w:t>
            </w:r>
          </w:p>
        </w:tc>
      </w:tr>
    </w:tbl>
    <w:p>
      <w:r>
        <w:t>IMPORTANT: ISO 20697 §6.4 external connection tensile thresholds: 2–4 mm OD ≥5 N; &gt;4 mm ≥15 N. Catheter/junction tubular portions: 2–4 mm ≥10 N; &gt;4 mm ≥20 N. &lt;2 mm requires approved manufacturer-defined risk criterion. For flow rate IF CLAIMED, accept ≥80% claimed (&lt;1.0 mm OD) or ≥90% (≥1.0 mm OD). For negative-pressure systems, manufacturer maximum pressure must be documented (Pa) and Annex C/M evidence evaluated. These numbers are source-based to ISO 20697:2018, but qualification scope/specification and actual results remain unverified. [GAP-013–015]</w:t>
      </w:r>
    </w:p>
    <w:p>
      <w:pPr>
        <w:pStyle w:val="Heading1"/>
      </w:pPr>
      <w:r>
        <w:t>10  Acceptance criteria and instruments</w:t>
      </w:r>
    </w:p>
    <w:p>
      <w:r>
        <w:t>For routine checks use exact controlled component specifications, dimensional drawings and approved sampling control plan. Record equipment identification and valid calibration status when measuring. Distinguish nominal values from observed values. “Good”, “strong”, “accurate” and “smooth” without a controlled visual defect standard, approved tolerance or referenced master sample must not be treated as independently measurable acceptance criteria. [GAP-007–010]</w:t>
      </w:r>
    </w:p>
    <w:p>
      <w:pPr>
        <w:pStyle w:val="Heading1"/>
      </w:pPr>
      <w:r>
        <w:t>11  Sampling / frequency</w:t>
      </w:r>
    </w:p>
    <w:p>
      <w:r>
        <w:t>Incoming sampling follows approved AQL/OBM plan cited in baseline WI. In-process initial tray verification is required by baseline WI §6.4, followed by the approved frequency and size in the product-specific risk-based control plan. Where the plan is missing, classify as OPEN TECHNICAL INPUT REQUIRED and do not populate invented counts. ISO 20697 design qualification methods shall not be added to every production lot by default. [GAP-008]</w:t>
      </w:r>
    </w:p>
    <w:p>
      <w:pPr>
        <w:pStyle w:val="Heading1"/>
      </w:pPr>
      <w:r>
        <w:t>12  Nonconforming product control</w:t>
      </w:r>
    </w:p>
    <w:p>
      <w:r>
        <w:t>On failed or unverified component, quantity, assembly or packing check: identify sample/time/production lot, stop release of the affected scope, physically/electronically HOLD product, reference approved NCR/Reject process, obtain authorized disposition and re-verification. Final approval may not be stamped while a material discrepancy is open. [GAP-021]</w:t>
      </w:r>
    </w:p>
    <w:p>
      <w:pPr>
        <w:pStyle w:val="Heading1"/>
      </w:pPr>
      <w:r>
        <w:t>13  Packaging, labeling &amp; IFU</w:t>
      </w:r>
    </w:p>
    <w:p>
      <w:r>
        <w:t>Preserve original WI §7 sequence: place each kit in specified pouch, seal through approved manual machine and check pouch cutting, sealing and printed details; repacking checks integrity; arrange in small boxes and outer cartons. Add approved pouch material ID, validated sealing recipe/machine identification, monitored parameters according to linked F-823-i4-2 controlled record, and hold actions. ISO 20697 §7.1–7.3: verify legible/durable markings; appropriate package data (including single-use statement and risk/applicability-dependent details) and IFU/variant linkage. All actual tolerances and validated seal parameters are OPEN TECHNICAL INPUT REQUIRED until approved records are furnished. [GAP-017, GAP-019]</w:t>
      </w:r>
    </w:p>
    <w:p>
      <w:pPr>
        <w:pStyle w:val="Heading1"/>
      </w:pPr>
      <w:r>
        <w:t>14  Sterilization linkage</w:t>
      </w:r>
    </w:p>
    <w:p>
      <w:r>
        <w:t>Preserve WI §8.1 reference to WI-7-5-1-1: finished kit follows the validated, approved sterilization process. For marketed sterile product, ISO 20697 §5.8 establishes applicable sterile process standards and SAL 10^-6. QA shall confirm validated modality, cycle/batch records, deviations and documented batch disposition; no cycle parameters may be invented here. [GAP-018]</w:t>
      </w:r>
    </w:p>
    <w:p>
      <w:pPr>
        <w:pStyle w:val="Heading1"/>
      </w:pPr>
      <w:r>
        <w:t>15  Final inspection and release</w:t>
      </w:r>
    </w:p>
    <w:p>
      <w:r>
        <w:t>Preserve WI §9 QC check of unloaded sterilized goods, independent review of completed cycle parameters and laboratory reports, and final authorized QC Manager review. Record packaging/sterilization lot linkage and F-8-2-4 release decision before transfer to finished goods. QC first-piece stamp and F-823-i133 QCM review are NOT final product release authorization. [GAP-018]</w:t>
      </w:r>
    </w:p>
    <w:p>
      <w:pPr>
        <w:pStyle w:val="Heading1"/>
      </w:pPr>
      <w:r>
        <w:t>16  Required records and retention</w:t>
      </w:r>
    </w:p>
    <w:p>
      <w:pPr>
        <w:pStyle w:val="ListBullet"/>
      </w:pPr>
      <w:r>
        <w:t>Incoming OBM reports / supplier certificate and component lots.</w:t>
      </w:r>
    </w:p>
    <w:p>
      <w:pPr>
        <w:pStyle w:val="ListBullet"/>
      </w:pPr>
      <w:r>
        <w:t>Current controlled BOM/product specification with approved product code and revisions.</w:t>
      </w:r>
    </w:p>
    <w:p>
      <w:pPr>
        <w:pStyle w:val="ListBullet"/>
      </w:pPr>
      <w:r>
        <w:t>F-823-i133 controlled in-process first-piece and shift records; instrument IDs and P/F/H results.</w:t>
      </w:r>
    </w:p>
    <w:p>
      <w:pPr>
        <w:pStyle w:val="ListBullet"/>
      </w:pPr>
      <w:r>
        <w:t>Production order, component issue reconciliation and traceability records.</w:t>
      </w:r>
    </w:p>
    <w:p>
      <w:pPr>
        <w:pStyle w:val="ListBullet"/>
      </w:pPr>
      <w:r>
        <w:t>Conditional ISO 20697 qualification matrix, testing and applicable scientific risk/biological evaluation.</w:t>
      </w:r>
    </w:p>
    <w:p>
      <w:pPr>
        <w:pStyle w:val="ListBullet"/>
      </w:pPr>
      <w:r>
        <w:t>F-823-i4-2 or verified replacement packaging/label form, validation and retained artwork/IFU.</w:t>
      </w:r>
    </w:p>
    <w:p>
      <w:pPr>
        <w:pStyle w:val="ListBullet"/>
      </w:pPr>
      <w:r>
        <w:t>WI-7-5-1-1 sterilization cycle/lab records, completed F-8-2-4 final release.</w:t>
      </w:r>
    </w:p>
    <w:p>
      <w:pPr>
        <w:pStyle w:val="ListBullet"/>
      </w:pPr>
      <w:r>
        <w:t>NCR/Reject/hold reports and authorised disposition records.</w:t>
      </w:r>
    </w:p>
    <w:p>
      <w:pPr>
        <w:pStyle w:val="Heading1"/>
      </w:pPr>
      <w:r>
        <w:t>17  Document control</w:t>
      </w:r>
    </w:p>
    <w:p>
      <w:r>
        <w:t>This WI is PROPOSED only. Document Control shall verify numbering discrepancy WI-8-2-2-64 versus WI-8-2-2-64-1, reconcile ISO source text with licensed official approved edition, verify TF-64-PS/TF-64-PDBM latest signed revisions, approve changes and train assigned personnel prior to effective date. Original file remains untouched. [GAP-001]</w:t>
      </w:r>
    </w:p>
    <w:p>
      <w:pPr>
        <w:pStyle w:val="Heading1"/>
      </w:pPr>
      <w:r>
        <w:t>18  Revision history</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458"/>
            <w:shd w:fill="17304D"/>
          </w:tcPr>
          <w:p>
            <w:r>
              <w:rPr>
                <w:b/>
                <w:color w:val="FFFFFF"/>
                <w:sz w:val="17"/>
              </w:rPr>
              <w:t>Version</w:t>
            </w:r>
          </w:p>
        </w:tc>
        <w:tc>
          <w:tcPr>
            <w:tcW w:type="dxa" w:w="2458"/>
            <w:shd w:fill="17304D"/>
          </w:tcPr>
          <w:p>
            <w:r>
              <w:rPr>
                <w:b/>
                <w:color w:val="FFFFFF"/>
                <w:sz w:val="17"/>
              </w:rPr>
              <w:t>Date</w:t>
            </w:r>
          </w:p>
        </w:tc>
        <w:tc>
          <w:tcPr>
            <w:tcW w:type="dxa" w:w="2458"/>
            <w:shd w:fill="17304D"/>
          </w:tcPr>
          <w:p>
            <w:r>
              <w:rPr>
                <w:b/>
                <w:color w:val="FFFFFF"/>
                <w:sz w:val="17"/>
              </w:rPr>
              <w:t>Description</w:t>
            </w:r>
          </w:p>
        </w:tc>
        <w:tc>
          <w:tcPr>
            <w:tcW w:type="dxa" w:w="2458"/>
            <w:shd w:fill="17304D"/>
          </w:tcPr>
          <w:p>
            <w:r>
              <w:rPr>
                <w:b/>
                <w:color w:val="FFFFFF"/>
                <w:sz w:val="17"/>
              </w:rPr>
              <w:t>Authority</w:t>
            </w:r>
          </w:p>
        </w:tc>
      </w:tr>
      <w:tr>
        <w:tc>
          <w:tcPr>
            <w:tcW w:type="dxa" w:w="2458"/>
            <w:vAlign w:val="top"/>
          </w:tcPr>
          <w:p>
            <w:pPr>
              <w:spacing w:after="40"/>
            </w:pPr>
            <w:r>
              <w:rPr>
                <w:rFonts w:ascii="Aptos" w:hAnsi="Aptos"/>
                <w:sz w:val="17"/>
              </w:rPr>
              <w:t>Existing Rev.01</w:t>
            </w:r>
          </w:p>
        </w:tc>
        <w:tc>
          <w:tcPr>
            <w:tcW w:type="dxa" w:w="2458"/>
            <w:vAlign w:val="top"/>
          </w:tcPr>
          <w:p>
            <w:pPr>
              <w:spacing w:after="40"/>
            </w:pPr>
            <w:r>
              <w:rPr>
                <w:rFonts w:ascii="Aptos" w:hAnsi="Aptos"/>
                <w:sz w:val="17"/>
              </w:rPr>
              <w:t>15.12.2022</w:t>
            </w:r>
          </w:p>
        </w:tc>
        <w:tc>
          <w:tcPr>
            <w:tcW w:type="dxa" w:w="2458"/>
            <w:vAlign w:val="top"/>
          </w:tcPr>
          <w:p>
            <w:pPr>
              <w:spacing w:after="40"/>
            </w:pPr>
            <w:r>
              <w:rPr>
                <w:rFonts w:ascii="Aptos" w:hAnsi="Aptos"/>
                <w:sz w:val="17"/>
              </w:rPr>
              <w:t>Uploaded baseline WI version, not modified.</w:t>
            </w:r>
          </w:p>
        </w:tc>
        <w:tc>
          <w:tcPr>
            <w:tcW w:type="dxa" w:w="2458"/>
            <w:vAlign w:val="top"/>
          </w:tcPr>
          <w:p>
            <w:pPr>
              <w:spacing w:after="40"/>
            </w:pPr>
            <w:r>
              <w:rPr>
                <w:rFonts w:ascii="Aptos" w:hAnsi="Aptos"/>
                <w:sz w:val="17"/>
              </w:rPr>
              <w:t>Per source header</w:t>
            </w:r>
          </w:p>
        </w:tc>
      </w:tr>
      <w:tr>
        <w:tc>
          <w:tcPr>
            <w:tcW w:type="dxa" w:w="2458"/>
            <w:vAlign w:val="top"/>
            <w:shd w:fill="F1F5F9"/>
          </w:tcPr>
          <w:p>
            <w:pPr>
              <w:spacing w:after="40"/>
            </w:pPr>
            <w:r>
              <w:rPr>
                <w:rFonts w:ascii="Aptos" w:hAnsi="Aptos"/>
                <w:sz w:val="17"/>
              </w:rPr>
              <w:t>Proposed revision</w:t>
            </w:r>
          </w:p>
        </w:tc>
        <w:tc>
          <w:tcPr>
            <w:tcW w:type="dxa" w:w="2458"/>
            <w:vAlign w:val="top"/>
            <w:shd w:fill="F1F5F9"/>
          </w:tcPr>
          <w:p>
            <w:pPr>
              <w:spacing w:after="40"/>
            </w:pPr>
            <w:r>
              <w:rPr>
                <w:rFonts w:ascii="Aptos" w:hAnsi="Aptos"/>
                <w:sz w:val="17"/>
              </w:rPr>
              <w:t>19.10.2026</w:t>
            </w:r>
          </w:p>
        </w:tc>
        <w:tc>
          <w:tcPr>
            <w:tcW w:type="dxa" w:w="2458"/>
            <w:vAlign w:val="top"/>
            <w:shd w:fill="F1F5F9"/>
          </w:tcPr>
          <w:p>
            <w:pPr>
              <w:spacing w:after="40"/>
            </w:pPr>
            <w:r>
              <w:rPr>
                <w:rFonts w:ascii="Aptos" w:hAnsi="Aptos"/>
                <w:sz w:val="17"/>
              </w:rPr>
              <w:t>Reconstructed draft for technical reconciliation, GAP-001 to GAP-021.</w:t>
            </w:r>
          </w:p>
        </w:tc>
        <w:tc>
          <w:tcPr>
            <w:tcW w:type="dxa" w:w="2458"/>
            <w:vAlign w:val="top"/>
            <w:shd w:fill="F1F5F9"/>
          </w:tcPr>
          <w:p>
            <w:pPr>
              <w:spacing w:after="40"/>
            </w:pPr>
            <w:r>
              <w:rPr>
                <w:rFonts w:ascii="Aptos" w:hAnsi="Aptos"/>
                <w:sz w:val="17"/>
              </w:rPr>
              <w:t>PENDING approval</w:t>
            </w:r>
          </w:p>
        </w:tc>
      </w:tr>
    </w:tbl>
    <w:p>
      <w:pPr>
        <w:pStyle w:val="Heading1"/>
      </w:pPr>
      <w:r>
        <w:t>Open technical inputs / approval block</w:t>
      </w:r>
    </w:p>
    <w:p>
      <w:r>
        <w:t>Required before effective status: controlled variant BOM, glove latex designation, lidocaine quantity and volume, suture sizing, gauze dimensions, catheter sizes and source drawing, sampling plan, device applicability/risk file, qualification reports, sealing-validation limits, approved document references, final ISO PDF page check. Approval/signature fields intentionally left blank.</w:t>
      </w:r>
    </w:p>
    <w:p>
      <w:r>
        <w:t>Prepared by / date: ____________________</w:t>
      </w:r>
    </w:p>
    <w:p>
      <w:r>
        <w:t>Reviewed by (Engineering / QA / QC) / date: ____________________</w:t>
      </w:r>
    </w:p>
    <w:p>
      <w:r>
        <w:t>Approved by authorized QCM / date: ____________________</w:t>
      </w:r>
    </w:p>
    <w:p>
      <w:r>
        <w:t>Effective revision/date: ____________________</w:t>
      </w:r>
    </w:p>
    <w:sectPr w:rsidR="00FC693F" w:rsidRPr="0006063C" w:rsidSect="00034616">
      <w:headerReference w:type="default" r:id="rId9"/>
      <w:footerReference w:type="default" r:id="rId10"/>
      <w:pgSz w:w="11906" w:h="16838"/>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DRAFT — NOT EFFECTIVE UNTIL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QUALITY CONTROL  •  DOCUMENT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227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7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27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7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