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REVISED WORK INSTRUCTIONS | Clean Cart A + C</w:t>
      </w:r>
    </w:p>
    <w:p>
      <w:pPr>
        <w:pStyle w:val="Subtitle"/>
      </w:pPr>
      <w:r>
        <w:t>Two independent standalone WI drafts (A and C) • original WI contents preserved where supported</w:t>
      </w:r>
    </w:p>
    <w:p>
      <w:r>
        <w:t>These are proposals pending engineering/QA review. They are derived from photographed WI baselines and documented gaps. ISO conformity, chemistry identity, sampling controls and operational product release cannot be verified from the available evidence.</w:t>
      </w:r>
    </w:p>
    <w:p>
      <w:r>
        <w:br w:type="page"/>
      </w:r>
    </w:p>
    <w:p>
      <w:pPr>
        <w:pStyle w:val="Heading1"/>
      </w:pPr>
      <w:r>
        <w:t>RECONSTRUCTED CONTROLLED WI — CLEAN CART A</w:t>
      </w:r>
    </w:p>
    <w:tbl>
      <w:tblPr>
        <w:tblW w:type="auto" w:w="0"/>
        <w:jc w:val="center"/>
        <w:tblLayout w:type="fixed"/>
        <w:tblLook w:firstColumn="1" w:firstRow="1" w:lastColumn="0" w:lastRow="0" w:noHBand="0" w:noVBand="1" w:val="04A0"/>
      </w:tblPr>
      <w:tblGrid>
        <w:gridCol w:w="3168"/>
        <w:gridCol w:w="3744"/>
        <w:gridCol w:w="2880"/>
      </w:tblGrid>
      <w:tr>
        <w:trPr>
          <w:tblHeader w:val="true"/>
        </w:trPr>
        <w:tc>
          <w:tcPr>
            <w:tcW w:type="dxa" w:w="3168"/>
            <w:shd w:fill="12334F"/>
            <w:vAlign w:val="top"/>
            <w:tcBorders>
              <w:top w:val="single" w:sz="4" w:color="D8E0E8"/>
              <w:left w:val="single" w:sz="4" w:color="D8E0E8"/>
              <w:bottom w:val="single" w:sz="4" w:color="D8E0E8"/>
              <w:right w:val="single" w:sz="4" w:color="D8E0E8"/>
            </w:tcBorders>
          </w:tcPr>
          <w:p>
            <w:pPr>
              <w:spacing w:after="0" w:line="254" w:lineRule="auto"/>
            </w:pPr>
            <w:r>
              <w:rPr>
                <w:b/>
                <w:color w:val="FFFFFF"/>
              </w:rPr>
            </w:r>
            <w:r>
              <w:rPr>
                <w:rFonts w:ascii="Aptos" w:hAnsi="Aptos"/>
                <w:b/>
                <w:color w:val="FFFFFF"/>
                <w:sz w:val="16"/>
              </w:rPr>
              <w:t>Document</w:t>
            </w:r>
          </w:p>
        </w:tc>
        <w:tc>
          <w:tcPr>
            <w:tcW w:type="dxa" w:w="3744"/>
            <w:shd w:fill="12334F"/>
            <w:vAlign w:val="top"/>
            <w:tcBorders>
              <w:top w:val="single" w:sz="4" w:color="D8E0E8"/>
              <w:left w:val="single" w:sz="4" w:color="D8E0E8"/>
              <w:bottom w:val="single" w:sz="4" w:color="D8E0E8"/>
              <w:right w:val="single" w:sz="4" w:color="D8E0E8"/>
            </w:tcBorders>
          </w:tcPr>
          <w:p>
            <w:pPr>
              <w:spacing w:after="0" w:line="254" w:lineRule="auto"/>
            </w:pPr>
            <w:r>
              <w:rPr>
                <w:b/>
                <w:color w:val="FFFFFF"/>
              </w:rPr>
            </w:r>
            <w:r>
              <w:rPr>
                <w:rFonts w:ascii="Aptos" w:hAnsi="Aptos"/>
                <w:b/>
                <w:color w:val="FFFFFF"/>
                <w:sz w:val="16"/>
              </w:rPr>
              <w:t>Baseline</w:t>
            </w:r>
          </w:p>
        </w:tc>
        <w:tc>
          <w:tcPr>
            <w:tcW w:type="dxa" w:w="2880"/>
            <w:shd w:fill="12334F"/>
            <w:vAlign w:val="top"/>
            <w:tcBorders>
              <w:top w:val="single" w:sz="4" w:color="D8E0E8"/>
              <w:left w:val="single" w:sz="4" w:color="D8E0E8"/>
              <w:bottom w:val="single" w:sz="4" w:color="D8E0E8"/>
              <w:right w:val="single" w:sz="4" w:color="D8E0E8"/>
            </w:tcBorders>
          </w:tcPr>
          <w:p>
            <w:pPr>
              <w:spacing w:after="0" w:line="254" w:lineRule="auto"/>
            </w:pPr>
            <w:r>
              <w:rPr>
                <w:b/>
                <w:color w:val="FFFFFF"/>
              </w:rPr>
            </w:r>
            <w:r>
              <w:rPr>
                <w:rFonts w:ascii="Aptos" w:hAnsi="Aptos"/>
                <w:b/>
                <w:color w:val="FFFFFF"/>
                <w:sz w:val="16"/>
              </w:rPr>
              <w:t>New status</w:t>
            </w:r>
          </w:p>
        </w:tc>
      </w:tr>
      <w:tr>
        <w:tc>
          <w:tcPr>
            <w:tcW w:type="dxa" w:w="3168"/>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WI-8-2-2-M02</w:t>
            </w:r>
          </w:p>
        </w:tc>
        <w:tc>
          <w:tcPr>
            <w:tcW w:type="dxa" w:w="3744"/>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Rev.1, 10.06.2020, printed pages 1-5</w:t>
            </w:r>
          </w:p>
        </w:tc>
        <w:tc>
          <w:tcPr>
            <w:tcW w:type="dxa" w:w="2880"/>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Proposed successor revision: unassigned, unapproved</w:t>
            </w:r>
          </w:p>
        </w:tc>
      </w:tr>
    </w:tbl>
    <w:p/>
    <w:p>
      <w:pPr>
        <w:pStyle w:val="Heading2"/>
      </w:pPr>
      <w:r>
        <w:t>1. Purpose</w:t>
      </w:r>
    </w:p>
    <w:p>
      <w:r>
        <w:t>To define the controlled receiving, manufacture, assembly, in-process verification, packaging and record requirements for Clean Cart A, while maintaining lot traceability and segregating failed material. This is not a claim of completed conformity or final release.</w:t>
      </w:r>
    </w:p>
    <w:p>
      <w:pPr>
        <w:pStyle w:val="Heading2"/>
      </w:pPr>
      <w:r>
        <w:t>2. Scope</w:t>
      </w:r>
    </w:p>
    <w:p>
      <w:r>
        <w:t>Applies to Clean Cart A components and cartridges manufactured under the approved product technical file. The approved configuration, chemical grade and production order determine applicability. A and C shall not share unchecked nominal-mass limits. [GAP-005]</w:t>
      </w:r>
    </w:p>
    <w:p>
      <w:pPr>
        <w:pStyle w:val="Heading2"/>
      </w:pPr>
      <w:r>
        <w:t>3. Definitions and product description</w:t>
      </w:r>
    </w:p>
    <w:p>
      <w:r>
        <w:t>Clean Cart A is a cleaning cartridge used with a corresponding dialysis-machine heat-disinfection program. The legacy WI states a nominal content of 13 g. The legacy definition names anhydrous sodium carbonate; all production identity decisions shall follow an approved BOM/material specification, not the outdated contradictory visual-check text. It is intended to remove organic deposits, fats and proteins. [GAP-001, GAP-002 if C]</w:t>
      </w:r>
    </w:p>
    <w:p>
      <w:pPr>
        <w:pStyle w:val="Heading2"/>
      </w:pPr>
      <w:r>
        <w:t>4. Responsibilities</w:t>
      </w:r>
    </w:p>
    <w:p>
      <w:r>
        <w:t>Production operator: prepare the mould/assembly line, check lot identity, carry out approved manufacturing steps, record in-process observations and stop/segregate known defects. QC: perform sampling and testing, record actual results, link material and calibration evidence, evaluate out-of-limits data. QC Manager / QA: review and disposition records under the currently approved authority matrix. Engineering: own technical criteria, method suitability and process parameters; Document Control: manage issuance and revision linkage. These proposed functional responsibilities require approval.</w:t>
      </w:r>
    </w:p>
    <w:p>
      <w:pPr>
        <w:pStyle w:val="Heading2"/>
      </w:pPr>
      <w:r>
        <w:t>5. Materials, identification, and receiving (legacy sec.5.1)</w:t>
      </w:r>
    </w:p>
    <w:p>
      <w:r>
        <w:t>1. Receive raw materials and components against purchase order, incoming slip and approved specifications. Verify product/part identifier, supplier, lot, package integrity and release status. 2. Approved powder: anhydrous sodium carbonate; grade/hydration state and source must be stated in [APPROVED BOM / MATERIAL SPEC - OPEN TECHNICAL INPUT REQUIRED]. Do not use sodium bicarbonate as an automatic substitute. 3. Apply receiving sampling under [APPROVED AQL/SAMPLING PROCEDURE - OPEN TECHNICAL INPUT REQUIRED]; check incoming evidence on F-823-T1 (or controlled successor). 4. Store accepted materials under approved conditions; record material lot and release ID on batch start sheet. [GAP-001, GAP-002, GAP-009, GAP-012]</w:t>
      </w:r>
    </w:p>
    <w:p>
      <w:pPr>
        <w:pStyle w:val="Heading2"/>
      </w:pPr>
      <w:r>
        <w:t>6. Initial visual/material checks (legacy sec.5.2)</w:t>
      </w:r>
    </w:p>
    <w:p>
      <w:r>
        <w:t>Verify product appearance, package condition, absence of flash/short shot/black spots, accepted powder/granule visual condition, readable lot and correct bag/material labels. Apply approved defect sample boards and product/material specifications for subjective characteristics. Check only properties relevant to the product. Reject foreign matter, cracks, damage and unapproved identification. Record observations, not generic untraceable "good" statements. [GAP-009]</w:t>
      </w:r>
    </w:p>
    <w:p>
      <w:pPr>
        <w:pStyle w:val="Heading2"/>
      </w:pPr>
      <w:r>
        <w:t>7. Injection moulding and assembly (legacy sec.5.3)</w:t>
      </w:r>
    </w:p>
    <w:p>
      <w:r>
        <w:t>Prepare the approved mould for housing and cap/knob parts; secure mould alignment horizontally/vertically. Connect hydraulic circuits and verify core IN/OUT operation. Confirm cooling lines have no leaks. Set machine parameters to the approved setup specification [OPEN TECHNICAL INPUT REQUIRED: parameters/setup record ID]. Operate the machine and check produced components using the current approved moulding control record F-823-15 (or controlled successor). Do not invent temperature/pressure/cycle limits. Preserve stage/lot traceability.</w:t>
      </w:r>
    </w:p>
    <w:p>
      <w:pPr>
        <w:pStyle w:val="Heading2"/>
      </w:pPr>
      <w:r>
        <w:t>8. In-process assembly and filling checks (legacy p.3 sec.5.4)</w:t>
      </w:r>
    </w:p>
    <w:p>
      <w:r>
        <w:t>8.1 Cartridge housing: Inspect for damage, contamination, cracks and flash in accordance with the approved visual acceptance guide; record sample/time and defect code. [GAP-009]</w:t>
      </w:r>
    </w:p>
    <w:p>
      <w:r>
        <w:t>8.2 Filter upper/lower: Verify correct orientation and fitting to [APPROVED ASSEMBLY DRAWING / VISUAL STANDARD]. Perform functional powder-retention verification by [APPROVED METHOD - OPEN TECHNICAL INPUT REQUIRED] through the approved route and frequency. Record actual outcome and evidence. [GAP-007, GAP-008]</w:t>
      </w:r>
    </w:p>
    <w:p>
      <w:r>
        <w:t>8.3 Powder mass: The existing WI provides 13 g ±0.5 g is printed in M02; continued approval must be confirmed. Measure NET FILL mass using a calibrated scale and controlled tare method; log actual grams, sample ID, scale ID, time, lot and pass/fail/pending. OPEN TECHNICAL INPUT REQUIRED: confirm current A tolerance and/or approve C tolerance, define sample plan and method. Conflicting form limit shall NOT be silently applied. [GAP-003, GAP-004]</w:t>
      </w:r>
    </w:p>
    <w:p>
      <w:r>
        <w:t>8.4 Cap integrity: Inspect seating, alignment, absence of cracks and sharp edges, and no visible gaps to the approved visual standard/drawing. Where required, perform seal integrity test by [APPROVED METHOD AND CRITERION - OPEN TECHNICAL INPUT REQUIRED]. Record defects/measurements. [GAP-008]</w:t>
      </w:r>
    </w:p>
    <w:p>
      <w:r>
        <w:t>8.5 Powder state: Check for unacceptable lumps, extraneous particles and other source-defined defects against approved material specifications and visual examples. Do not use another variant’s chemical identity. [GAP-001, GAP-009]</w:t>
      </w:r>
    </w:p>
    <w:p>
      <w:r>
        <w:t>8.6 Leak check after sealing: Conduct [APPROVED LEAK TEST PROCEDURE - OPEN TECHNICAL INPUT REQUIRED] under defined medium, fixture/conditions and duration, with approved acceptance criterion. Record result and method/equipment references. Do not assert an unsupported numerical pressure or duration. [GAP-006]</w:t>
      </w:r>
    </w:p>
    <w:p>
      <w:r>
        <w:t>8.7 Apply in-process checks at startup, changeover, restart and defined intervals/sample counts established by [APPROVED IN-PROCESS CONTROL PLAN - OPEN TECHNICAL INPUT REQUIRED]. Record results on variant-specific F-823-i24 proposed successor. Control suspected affected lots after failed checks. [GAP-011]</w:t>
      </w:r>
    </w:p>
    <w:p>
      <w:pPr>
        <w:pStyle w:val="Heading2"/>
      </w:pPr>
      <w:r>
        <w:t>9. Appearance, labelling and packaging (legacy secs.5.5-5.6)</w:t>
      </w:r>
    </w:p>
    <w:p>
      <w:r>
        <w:t>Verify approved artwork, part number, product/lot and production/expiry identification, acceptable print clarity, label adhesion, sealing, box/carton integrity and packing configuration. Apply QR/UDI only when the product, market and approved artwork require it; never apply a sterile symbol without an approved applicable claim. Record artwork revision, observed or scanned code if applicable and packaging defects. Use [APPROVED PACKAGING / ARTWORK / LABELLING SPECIFICATIONS - OPEN TECHNICAL INPUT REQUIRED]. [GAP-010]</w:t>
      </w:r>
    </w:p>
    <w:p>
      <w:pPr>
        <w:pStyle w:val="Heading2"/>
      </w:pPr>
      <w:r>
        <w:t>10. Sampling, equipment and decisions</w:t>
      </w:r>
    </w:p>
    <w:p>
      <w:r>
        <w:t>Sampling/frequency are taken only from approved risk-based control plan(s); blank hourly cells do not establish a mandated test frequency. Where a quantitative check is required, record its actual value and measurement unit. Use suitable equipment under calibration control. Each check must be marked Pass, Fail, Pending or documented N/A. Failures require segregation and disposition under company nonconformance control; "Pending" does not evidence acceptance. [GAP-003, GAP-004, GAP-006, GAP-011]</w:t>
      </w:r>
    </w:p>
    <w:p>
      <w:pPr>
        <w:pStyle w:val="Heading2"/>
      </w:pPr>
      <w:r>
        <w:t>11. Conformity checks, final inspection and release linkage (legacy sec.5.7)</w:t>
      </w:r>
    </w:p>
    <w:p>
      <w:r>
        <w:t>Continue existing conformity characteristics: clarity/appearance, flashing/defects, filter positioning, both caps, clean/unlumped content, print/label condition and secured pack condition. Record final or conformity results in the currently approved F-823-F57 / F-823-T90 or controlled successors, as applicable. These separate source records were referenced by the old WIs but not supplied. Do not treat the routine F-823-i24 in-process sheet as a final inspection report or product release authorization. Actual release decisions follow the approved QA/QC authority matrix. [GAP-013]</w:t>
      </w:r>
    </w:p>
    <w:p>
      <w:pPr>
        <w:pStyle w:val="Heading2"/>
      </w:pPr>
      <w:r>
        <w:t>12. Nonconforming product control</w:t>
      </w:r>
    </w:p>
    <w:p>
      <w:r>
        <w:t>If an objective criterion fails or necessary identification/approval data are missing, segregate and identify the affected product scope, document lot/stage/cause and initiate the approved nonconformance route. Rework, retest, deviation authorization and release may occur only when controlled procedures authorize them. No release is presumed from draft documentation.</w:t>
      </w:r>
    </w:p>
    <w:p>
      <w:pPr>
        <w:pStyle w:val="Heading2"/>
      </w:pPr>
      <w:r>
        <w:t>13. Sterilization / use linkage</w:t>
      </w:r>
    </w:p>
    <w:p>
      <w:r>
        <w:t>These WIs describe cleaning cartridges used in a compatible dialysis-machine heat-disinfection process. No cartridge sterilization process or sterile presentation has been evidenced in the supplied records. Do not introduce sterilization symbols, sterile claims or process validations absent approved product specifications and regulatory justification. [GAP-010]</w:t>
      </w:r>
    </w:p>
    <w:p>
      <w:pPr>
        <w:pStyle w:val="Heading2"/>
      </w:pPr>
      <w:r>
        <w:t>14. Controlled records and references (legacy sec.6)</w:t>
      </w:r>
    </w:p>
    <w:p>
      <w:r>
        <w:t>• F-823-T1 - Raw-material Inspection &amp; Test report (source-referenced; not supplied).</w:t>
      </w:r>
    </w:p>
    <w:p>
      <w:r>
        <w:t>• F-823-T90 - Inspection &amp; Test report for General Products (source-referenced; not supplied).</w:t>
      </w:r>
    </w:p>
    <w:p>
      <w:r>
        <w:t>• F-823-15 - QC In-Process Control for Injection Moulding (source-referenced; not supplied).</w:t>
      </w:r>
    </w:p>
    <w:p>
      <w:r>
        <w:t>• F-823-i24 - In-Process Control for Clean Cart, Rev.6 source form; proposed successor pending document approval.</w:t>
      </w:r>
    </w:p>
    <w:p>
      <w:r>
        <w:t>• F-823-F57 - Conformity Report for Clean Cart (source-referenced; not supplied).</w:t>
      </w:r>
    </w:p>
    <w:p>
      <w:r>
        <w:t>• TF-M02/M03-PS and TF-M02/M03-PDBM - referenced in current form; latest issued versions missing.</w:t>
      </w:r>
    </w:p>
    <w:p>
      <w:r>
        <w:t>• Approved BOM, material specification, artwork, control plan, calibrated measurement and test-method references - OPEN TECHNICAL INPUT REQUIRED.</w:t>
      </w:r>
    </w:p>
    <w:p>
      <w:pPr>
        <w:pStyle w:val="Heading2"/>
      </w:pPr>
      <w:r>
        <w:t>15. Document control / revision history</w:t>
      </w:r>
    </w:p>
    <w:tbl>
      <w:tblPr>
        <w:tblW w:type="auto" w:w="0"/>
        <w:jc w:val="center"/>
        <w:tblLayout w:type="fixed"/>
        <w:tblLook w:firstColumn="1" w:firstRow="1" w:lastColumn="0" w:lastRow="0" w:noHBand="0" w:noVBand="1" w:val="04A0"/>
      </w:tblPr>
      <w:tblGrid>
        <w:gridCol w:w="2880"/>
        <w:gridCol w:w="4320"/>
        <w:gridCol w:w="2592"/>
      </w:tblGrid>
      <w:tr>
        <w:trPr>
          <w:tblHeader w:val="true"/>
        </w:trPr>
        <w:tc>
          <w:tcPr>
            <w:tcW w:type="dxa" w:w="2880"/>
            <w:shd w:fill="12334F"/>
            <w:vAlign w:val="top"/>
            <w:tcBorders>
              <w:top w:val="single" w:sz="4" w:color="D8E0E8"/>
              <w:left w:val="single" w:sz="4" w:color="D8E0E8"/>
              <w:bottom w:val="single" w:sz="4" w:color="D8E0E8"/>
              <w:right w:val="single" w:sz="4" w:color="D8E0E8"/>
            </w:tcBorders>
          </w:tcPr>
          <w:p>
            <w:pPr>
              <w:spacing w:after="0" w:line="254" w:lineRule="auto"/>
            </w:pPr>
            <w:r>
              <w:rPr>
                <w:b/>
                <w:color w:val="FFFFFF"/>
              </w:rPr>
            </w:r>
            <w:r>
              <w:rPr>
                <w:rFonts w:ascii="Aptos" w:hAnsi="Aptos"/>
                <w:b/>
                <w:color w:val="FFFFFF"/>
                <w:sz w:val="16"/>
              </w:rPr>
              <w:t>Baseline WI</w:t>
            </w:r>
          </w:p>
        </w:tc>
        <w:tc>
          <w:tcPr>
            <w:tcW w:type="dxa" w:w="4320"/>
            <w:shd w:fill="12334F"/>
            <w:vAlign w:val="top"/>
            <w:tcBorders>
              <w:top w:val="single" w:sz="4" w:color="D8E0E8"/>
              <w:left w:val="single" w:sz="4" w:color="D8E0E8"/>
              <w:bottom w:val="single" w:sz="4" w:color="D8E0E8"/>
              <w:right w:val="single" w:sz="4" w:color="D8E0E8"/>
            </w:tcBorders>
          </w:tcPr>
          <w:p>
            <w:pPr>
              <w:spacing w:after="0" w:line="254" w:lineRule="auto"/>
            </w:pPr>
            <w:r>
              <w:rPr>
                <w:b/>
                <w:color w:val="FFFFFF"/>
              </w:rPr>
            </w:r>
            <w:r>
              <w:rPr>
                <w:rFonts w:ascii="Aptos" w:hAnsi="Aptos"/>
                <w:b/>
                <w:color w:val="FFFFFF"/>
                <w:sz w:val="16"/>
              </w:rPr>
              <w:t>Proposed change</w:t>
            </w:r>
          </w:p>
        </w:tc>
        <w:tc>
          <w:tcPr>
            <w:tcW w:type="dxa" w:w="2592"/>
            <w:shd w:fill="12334F"/>
            <w:vAlign w:val="top"/>
            <w:tcBorders>
              <w:top w:val="single" w:sz="4" w:color="D8E0E8"/>
              <w:left w:val="single" w:sz="4" w:color="D8E0E8"/>
              <w:bottom w:val="single" w:sz="4" w:color="D8E0E8"/>
              <w:right w:val="single" w:sz="4" w:color="D8E0E8"/>
            </w:tcBorders>
          </w:tcPr>
          <w:p>
            <w:pPr>
              <w:spacing w:after="0" w:line="254" w:lineRule="auto"/>
            </w:pPr>
            <w:r>
              <w:rPr>
                <w:b/>
                <w:color w:val="FFFFFF"/>
              </w:rPr>
            </w:r>
            <w:r>
              <w:rPr>
                <w:rFonts w:ascii="Aptos" w:hAnsi="Aptos"/>
                <w:b/>
                <w:color w:val="FFFFFF"/>
                <w:sz w:val="16"/>
              </w:rPr>
              <w:t>Status</w:t>
            </w:r>
          </w:p>
        </w:tc>
      </w:tr>
      <w:tr>
        <w:tc>
          <w:tcPr>
            <w:tcW w:type="dxa" w:w="2880"/>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WI-8-2-2-M02 Rev.1</w:t>
            </w:r>
          </w:p>
        </w:tc>
        <w:tc>
          <w:tcPr>
            <w:tcW w:type="dxa" w:w="4320"/>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Technical redraft linked to GAP-001 through GAP-013; official new revision number reserved for Document Control</w:t>
            </w:r>
          </w:p>
        </w:tc>
        <w:tc>
          <w:tcPr>
            <w:tcW w:type="dxa" w:w="2592"/>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DRAFT - QC/QA/Engineering approval pending</w:t>
            </w:r>
          </w:p>
        </w:tc>
      </w:tr>
    </w:tbl>
    <w:p/>
    <w:p>
      <w:r>
        <w:t>Controlled-document metadata, technical review signatures, approval date, effective date, training and supersession details shall be completed by authorized personnel only. This draft does not supersede the existing WI.</w:t>
      </w:r>
    </w:p>
    <w:p>
      <w:r>
        <w:br w:type="page"/>
      </w:r>
    </w:p>
    <w:p>
      <w:pPr>
        <w:pStyle w:val="Heading1"/>
      </w:pPr>
      <w:r>
        <w:t>RECONSTRUCTED CONTROLLED WI — CLEAN CART C</w:t>
      </w:r>
    </w:p>
    <w:tbl>
      <w:tblPr>
        <w:tblW w:type="auto" w:w="0"/>
        <w:jc w:val="center"/>
        <w:tblLayout w:type="fixed"/>
        <w:tblLook w:firstColumn="1" w:firstRow="1" w:lastColumn="0" w:lastRow="0" w:noHBand="0" w:noVBand="1" w:val="04A0"/>
      </w:tblPr>
      <w:tblGrid>
        <w:gridCol w:w="3168"/>
        <w:gridCol w:w="3744"/>
        <w:gridCol w:w="2880"/>
      </w:tblGrid>
      <w:tr>
        <w:trPr>
          <w:tblHeader w:val="true"/>
        </w:trPr>
        <w:tc>
          <w:tcPr>
            <w:tcW w:type="dxa" w:w="3168"/>
            <w:shd w:fill="12334F"/>
            <w:vAlign w:val="top"/>
            <w:tcBorders>
              <w:top w:val="single" w:sz="4" w:color="D8E0E8"/>
              <w:left w:val="single" w:sz="4" w:color="D8E0E8"/>
              <w:bottom w:val="single" w:sz="4" w:color="D8E0E8"/>
              <w:right w:val="single" w:sz="4" w:color="D8E0E8"/>
            </w:tcBorders>
          </w:tcPr>
          <w:p>
            <w:pPr>
              <w:spacing w:after="0" w:line="254" w:lineRule="auto"/>
            </w:pPr>
            <w:r>
              <w:rPr>
                <w:b/>
                <w:color w:val="FFFFFF"/>
              </w:rPr>
            </w:r>
            <w:r>
              <w:rPr>
                <w:rFonts w:ascii="Aptos" w:hAnsi="Aptos"/>
                <w:b/>
                <w:color w:val="FFFFFF"/>
                <w:sz w:val="16"/>
              </w:rPr>
              <w:t>Document</w:t>
            </w:r>
          </w:p>
        </w:tc>
        <w:tc>
          <w:tcPr>
            <w:tcW w:type="dxa" w:w="3744"/>
            <w:shd w:fill="12334F"/>
            <w:vAlign w:val="top"/>
            <w:tcBorders>
              <w:top w:val="single" w:sz="4" w:color="D8E0E8"/>
              <w:left w:val="single" w:sz="4" w:color="D8E0E8"/>
              <w:bottom w:val="single" w:sz="4" w:color="D8E0E8"/>
              <w:right w:val="single" w:sz="4" w:color="D8E0E8"/>
            </w:tcBorders>
          </w:tcPr>
          <w:p>
            <w:pPr>
              <w:spacing w:after="0" w:line="254" w:lineRule="auto"/>
            </w:pPr>
            <w:r>
              <w:rPr>
                <w:b/>
                <w:color w:val="FFFFFF"/>
              </w:rPr>
            </w:r>
            <w:r>
              <w:rPr>
                <w:rFonts w:ascii="Aptos" w:hAnsi="Aptos"/>
                <w:b/>
                <w:color w:val="FFFFFF"/>
                <w:sz w:val="16"/>
              </w:rPr>
              <w:t>Baseline</w:t>
            </w:r>
          </w:p>
        </w:tc>
        <w:tc>
          <w:tcPr>
            <w:tcW w:type="dxa" w:w="2880"/>
            <w:shd w:fill="12334F"/>
            <w:vAlign w:val="top"/>
            <w:tcBorders>
              <w:top w:val="single" w:sz="4" w:color="D8E0E8"/>
              <w:left w:val="single" w:sz="4" w:color="D8E0E8"/>
              <w:bottom w:val="single" w:sz="4" w:color="D8E0E8"/>
              <w:right w:val="single" w:sz="4" w:color="D8E0E8"/>
            </w:tcBorders>
          </w:tcPr>
          <w:p>
            <w:pPr>
              <w:spacing w:after="0" w:line="254" w:lineRule="auto"/>
            </w:pPr>
            <w:r>
              <w:rPr>
                <w:b/>
                <w:color w:val="FFFFFF"/>
              </w:rPr>
            </w:r>
            <w:r>
              <w:rPr>
                <w:rFonts w:ascii="Aptos" w:hAnsi="Aptos"/>
                <w:b/>
                <w:color w:val="FFFFFF"/>
                <w:sz w:val="16"/>
              </w:rPr>
              <w:t>New status</w:t>
            </w:r>
          </w:p>
        </w:tc>
      </w:tr>
      <w:tr>
        <w:tc>
          <w:tcPr>
            <w:tcW w:type="dxa" w:w="3168"/>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WI-8-2-2-M03</w:t>
            </w:r>
          </w:p>
        </w:tc>
        <w:tc>
          <w:tcPr>
            <w:tcW w:type="dxa" w:w="3744"/>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Rev.2, 10.06.2020, printed pages 1-5</w:t>
            </w:r>
          </w:p>
        </w:tc>
        <w:tc>
          <w:tcPr>
            <w:tcW w:type="dxa" w:w="2880"/>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Proposed successor revision: unassigned, unapproved</w:t>
            </w:r>
          </w:p>
        </w:tc>
      </w:tr>
    </w:tbl>
    <w:p/>
    <w:p>
      <w:pPr>
        <w:pStyle w:val="Heading2"/>
      </w:pPr>
      <w:r>
        <w:t>1. Purpose</w:t>
      </w:r>
    </w:p>
    <w:p>
      <w:r>
        <w:t>To define the controlled receiving, manufacture, assembly, in-process verification, packaging and record requirements for Clean Cart C, while maintaining lot traceability and segregating failed material. This is not a claim of completed conformity or final release.</w:t>
      </w:r>
    </w:p>
    <w:p>
      <w:pPr>
        <w:pStyle w:val="Heading2"/>
      </w:pPr>
      <w:r>
        <w:t>2. Scope</w:t>
      </w:r>
    </w:p>
    <w:p>
      <w:r>
        <w:t>Applies to Clean Cart C components and cartridges manufactured under the approved product technical file. The approved configuration, chemical grade and production order determine applicability. A and C shall not share unchecked nominal-mass limits. [GAP-005]</w:t>
      </w:r>
    </w:p>
    <w:p>
      <w:pPr>
        <w:pStyle w:val="Heading2"/>
      </w:pPr>
      <w:r>
        <w:t>3. Definitions and product description</w:t>
      </w:r>
    </w:p>
    <w:p>
      <w:r>
        <w:t>Clean Cart C is a cleaning cartridge used with a corresponding dialysis-machine heat-disinfection program. The legacy WI states a nominal content of 32 g. The legacy definition names citric acid monohydrate; all production identity decisions shall follow an approved BOM/material specification, not the outdated contradictory visual-check text. It is intended to remove mineral scale (calcium/magnesium precipitates). [GAP-001, GAP-002 if C]</w:t>
      </w:r>
    </w:p>
    <w:p>
      <w:pPr>
        <w:pStyle w:val="Heading2"/>
      </w:pPr>
      <w:r>
        <w:t>4. Responsibilities</w:t>
      </w:r>
    </w:p>
    <w:p>
      <w:r>
        <w:t>Production operator: prepare the mould/assembly line, check lot identity, carry out approved manufacturing steps, record in-process observations and stop/segregate known defects. QC: perform sampling and testing, record actual results, link material and calibration evidence, evaluate out-of-limits data. QC Manager / QA: review and disposition records under the currently approved authority matrix. Engineering: own technical criteria, method suitability and process parameters; Document Control: manage issuance and revision linkage. These proposed functional responsibilities require approval.</w:t>
      </w:r>
    </w:p>
    <w:p>
      <w:pPr>
        <w:pStyle w:val="Heading2"/>
      </w:pPr>
      <w:r>
        <w:t>5. Materials, identification, and receiving (legacy sec.5.1)</w:t>
      </w:r>
    </w:p>
    <w:p>
      <w:r>
        <w:t>1. Receive raw materials and components against purchase order, incoming slip and approved specifications. Verify product/part identifier, supplier, lot, package integrity and release status. 2. Approved powder: citric acid [approved hydration state pending]; grade/hydration state and source must be stated in [APPROVED BOM / MATERIAL SPEC - OPEN TECHNICAL INPUT REQUIRED]. Do not use sodium bicarbonate as an automatic substitute. 3. Apply receiving sampling under [APPROVED AQL/SAMPLING PROCEDURE - OPEN TECHNICAL INPUT REQUIRED]; check incoming evidence on F-823-T1 (or controlled successor). 4. Store accepted materials under approved conditions; record material lot and release ID on batch start sheet. [GAP-001, GAP-002, GAP-009, GAP-012]</w:t>
      </w:r>
    </w:p>
    <w:p>
      <w:pPr>
        <w:pStyle w:val="Heading2"/>
      </w:pPr>
      <w:r>
        <w:t>6. Initial visual/material checks (legacy sec.5.2)</w:t>
      </w:r>
    </w:p>
    <w:p>
      <w:r>
        <w:t>Verify product appearance, package condition, absence of flash/short shot/black spots, accepted powder/granule visual condition, readable lot and correct bag/material labels. Apply approved defect sample boards and product/material specifications for subjective characteristics. Check only properties relevant to the product. Reject foreign matter, cracks, damage and unapproved identification. Record observations, not generic untraceable "good" statements. [GAP-009]</w:t>
      </w:r>
    </w:p>
    <w:p>
      <w:pPr>
        <w:pStyle w:val="Heading2"/>
      </w:pPr>
      <w:r>
        <w:t>7. Injection moulding and assembly (legacy sec.5.3)</w:t>
      </w:r>
    </w:p>
    <w:p>
      <w:r>
        <w:t>Prepare the approved mould for housing and cap/knob parts; secure mould alignment horizontally/vertically. Connect hydraulic circuits and verify core IN/OUT operation. Confirm cooling lines have no leaks. Set machine parameters to the approved setup specification [OPEN TECHNICAL INPUT REQUIRED: parameters/setup record ID]. Operate the machine and check produced components using the current approved moulding control record F-823-15 (or controlled successor). Do not invent temperature/pressure/cycle limits. Preserve stage/lot traceability.</w:t>
      </w:r>
    </w:p>
    <w:p>
      <w:pPr>
        <w:pStyle w:val="Heading2"/>
      </w:pPr>
      <w:r>
        <w:t>8. In-process assembly and filling checks (legacy p.3 sec.5.5)</w:t>
      </w:r>
    </w:p>
    <w:p>
      <w:r>
        <w:t>8.1 Cartridge housing: Inspect for damage, contamination, cracks and flash in accordance with the approved visual acceptance guide; record sample/time and defect code. [GAP-009]</w:t>
      </w:r>
    </w:p>
    <w:p>
      <w:r>
        <w:t>8.2 Filter upper/lower: Verify correct orientation and fitting to [APPROVED ASSEMBLY DRAWING / VISUAL STANDARD]. Perform functional powder-retention verification by [APPROVED METHOD - OPEN TECHNICAL INPUT REQUIRED] through the approved route and frequency. Record actual outcome and evidence. [GAP-007, GAP-008]</w:t>
      </w:r>
    </w:p>
    <w:p>
      <w:r>
        <w:t>8.3 Powder mass: The existing WI provides 32 g nominal; acceptable tolerance NOT verified. Measure NET FILL mass using a calibrated scale and controlled tare method; log actual grams, sample ID, scale ID, time, lot and pass/fail/pending. OPEN TECHNICAL INPUT REQUIRED: confirm current A tolerance and/or approve C tolerance, define sample plan and method. Conflicting form limit shall NOT be silently applied. [GAP-003, GAP-004]</w:t>
      </w:r>
    </w:p>
    <w:p>
      <w:r>
        <w:t>8.4 Cap integrity: Inspect seating, alignment, absence of cracks and sharp edges, and no visible gaps to the approved visual standard/drawing. Where required, perform seal integrity test by [APPROVED METHOD AND CRITERION - OPEN TECHNICAL INPUT REQUIRED]. Record defects/measurements. [GAP-008]</w:t>
      </w:r>
    </w:p>
    <w:p>
      <w:r>
        <w:t>8.5 Powder state: Check for unacceptable lumps, extraneous particles and other source-defined defects against approved material specifications and visual examples. Do not use another variant’s chemical identity. [GAP-001, GAP-009]</w:t>
      </w:r>
    </w:p>
    <w:p>
      <w:r>
        <w:t>8.6 Leak check after sealing: Conduct [APPROVED LEAK TEST PROCEDURE - OPEN TECHNICAL INPUT REQUIRED] under defined medium, fixture/conditions and duration, with approved acceptance criterion. Record result and method/equipment references. Do not assert an unsupported numerical pressure or duration. [GAP-006]</w:t>
      </w:r>
    </w:p>
    <w:p>
      <w:r>
        <w:t>8.7 Apply in-process checks at startup, changeover, restart and defined intervals/sample counts established by [APPROVED IN-PROCESS CONTROL PLAN - OPEN TECHNICAL INPUT REQUIRED]. Record results on variant-specific F-823-i24 proposed successor. Control suspected affected lots after failed checks. [GAP-011]</w:t>
      </w:r>
    </w:p>
    <w:p>
      <w:pPr>
        <w:pStyle w:val="Heading2"/>
      </w:pPr>
      <w:r>
        <w:t>9. Appearance, labelling and packaging (legacy secs.5.5-5.6)</w:t>
      </w:r>
    </w:p>
    <w:p>
      <w:r>
        <w:t>Verify approved artwork, part number, product/lot and production/expiry identification, acceptable print clarity, label adhesion, sealing, box/carton integrity and packing configuration. Apply QR/UDI only when the product, market and approved artwork require it; never apply a sterile symbol without an approved applicable claim. Record artwork revision, observed or scanned code if applicable and packaging defects. Use [APPROVED PACKAGING / ARTWORK / LABELLING SPECIFICATIONS - OPEN TECHNICAL INPUT REQUIRED]. [GAP-010]</w:t>
      </w:r>
    </w:p>
    <w:p>
      <w:pPr>
        <w:pStyle w:val="Heading2"/>
      </w:pPr>
      <w:r>
        <w:t>10. Sampling, equipment and decisions</w:t>
      </w:r>
    </w:p>
    <w:p>
      <w:r>
        <w:t>Sampling/frequency are taken only from approved risk-based control plan(s); blank hourly cells do not establish a mandated test frequency. Where a quantitative check is required, record its actual value and measurement unit. Use suitable equipment under calibration control. Each check must be marked Pass, Fail, Pending or documented N/A. Failures require segregation and disposition under company nonconformance control; "Pending" does not evidence acceptance. [GAP-003, GAP-004, GAP-006, GAP-011]</w:t>
      </w:r>
    </w:p>
    <w:p>
      <w:pPr>
        <w:pStyle w:val="Heading2"/>
      </w:pPr>
      <w:r>
        <w:t>11. Conformity checks, final inspection and release linkage (legacy sec.5.7)</w:t>
      </w:r>
    </w:p>
    <w:p>
      <w:r>
        <w:t>Continue existing conformity characteristics: clarity/appearance, flashing/defects, filter positioning, both caps, clean/unlumped content, print/label condition and secured pack condition. Record final or conformity results in the currently approved F-823-F57 / F-823-T90 or controlled successors, as applicable. These separate source records were referenced by the old WIs but not supplied. Do not treat the routine F-823-i24 in-process sheet as a final inspection report or product release authorization. Actual release decisions follow the approved QA/QC authority matrix. [GAP-013]</w:t>
      </w:r>
    </w:p>
    <w:p>
      <w:pPr>
        <w:pStyle w:val="Heading2"/>
      </w:pPr>
      <w:r>
        <w:t>12. Nonconforming product control</w:t>
      </w:r>
    </w:p>
    <w:p>
      <w:r>
        <w:t>If an objective criterion fails or necessary identification/approval data are missing, segregate and identify the affected product scope, document lot/stage/cause and initiate the approved nonconformance route. Rework, retest, deviation authorization and release may occur only when controlled procedures authorize them. No release is presumed from draft documentation.</w:t>
      </w:r>
    </w:p>
    <w:p>
      <w:pPr>
        <w:pStyle w:val="Heading2"/>
      </w:pPr>
      <w:r>
        <w:t>13. Sterilization / use linkage</w:t>
      </w:r>
    </w:p>
    <w:p>
      <w:r>
        <w:t>These WIs describe cleaning cartridges used in a compatible dialysis-machine heat-disinfection process. No cartridge sterilization process or sterile presentation has been evidenced in the supplied records. Do not introduce sterilization symbols, sterile claims or process validations absent approved product specifications and regulatory justification. [GAP-010]</w:t>
      </w:r>
    </w:p>
    <w:p>
      <w:pPr>
        <w:pStyle w:val="Heading2"/>
      </w:pPr>
      <w:r>
        <w:t>14. Controlled records and references (legacy sec.6)</w:t>
      </w:r>
    </w:p>
    <w:p>
      <w:r>
        <w:t>• F-823-T1 - Raw-material Inspection &amp; Test report (source-referenced; not supplied).</w:t>
      </w:r>
    </w:p>
    <w:p>
      <w:r>
        <w:t>• F-823-T90 - Inspection &amp; Test report for General Products (source-referenced; not supplied).</w:t>
      </w:r>
    </w:p>
    <w:p>
      <w:r>
        <w:t>• F-823-15 - QC In-Process Control for Injection Moulding (source-referenced; not supplied).</w:t>
      </w:r>
    </w:p>
    <w:p>
      <w:r>
        <w:t>• F-823-i24 - In-Process Control for Clean Cart, Rev.6 source form; proposed successor pending document approval.</w:t>
      </w:r>
    </w:p>
    <w:p>
      <w:r>
        <w:t>• F-823-F57 - Conformity Report for Clean Cart (source-referenced; not supplied).</w:t>
      </w:r>
    </w:p>
    <w:p>
      <w:r>
        <w:t>• TF-M02/M03-PS and TF-M02/M03-PDBM - referenced in current form; latest issued versions missing.</w:t>
      </w:r>
    </w:p>
    <w:p>
      <w:r>
        <w:t>• Approved BOM, material specification, artwork, control plan, calibrated measurement and test-method references - OPEN TECHNICAL INPUT REQUIRED.</w:t>
      </w:r>
    </w:p>
    <w:p>
      <w:pPr>
        <w:pStyle w:val="Heading2"/>
      </w:pPr>
      <w:r>
        <w:t>15. Document control / revision history</w:t>
      </w:r>
    </w:p>
    <w:tbl>
      <w:tblPr>
        <w:tblW w:type="auto" w:w="0"/>
        <w:jc w:val="center"/>
        <w:tblLayout w:type="fixed"/>
        <w:tblLook w:firstColumn="1" w:firstRow="1" w:lastColumn="0" w:lastRow="0" w:noHBand="0" w:noVBand="1" w:val="04A0"/>
      </w:tblPr>
      <w:tblGrid>
        <w:gridCol w:w="2880"/>
        <w:gridCol w:w="4320"/>
        <w:gridCol w:w="2592"/>
      </w:tblGrid>
      <w:tr>
        <w:trPr>
          <w:tblHeader w:val="true"/>
        </w:trPr>
        <w:tc>
          <w:tcPr>
            <w:tcW w:type="dxa" w:w="2880"/>
            <w:shd w:fill="12334F"/>
            <w:vAlign w:val="top"/>
            <w:tcBorders>
              <w:top w:val="single" w:sz="4" w:color="D8E0E8"/>
              <w:left w:val="single" w:sz="4" w:color="D8E0E8"/>
              <w:bottom w:val="single" w:sz="4" w:color="D8E0E8"/>
              <w:right w:val="single" w:sz="4" w:color="D8E0E8"/>
            </w:tcBorders>
          </w:tcPr>
          <w:p>
            <w:pPr>
              <w:spacing w:after="0" w:line="254" w:lineRule="auto"/>
            </w:pPr>
            <w:r>
              <w:rPr>
                <w:b/>
                <w:color w:val="FFFFFF"/>
              </w:rPr>
            </w:r>
            <w:r>
              <w:rPr>
                <w:rFonts w:ascii="Aptos" w:hAnsi="Aptos"/>
                <w:b/>
                <w:color w:val="FFFFFF"/>
                <w:sz w:val="16"/>
              </w:rPr>
              <w:t>Baseline WI</w:t>
            </w:r>
          </w:p>
        </w:tc>
        <w:tc>
          <w:tcPr>
            <w:tcW w:type="dxa" w:w="4320"/>
            <w:shd w:fill="12334F"/>
            <w:vAlign w:val="top"/>
            <w:tcBorders>
              <w:top w:val="single" w:sz="4" w:color="D8E0E8"/>
              <w:left w:val="single" w:sz="4" w:color="D8E0E8"/>
              <w:bottom w:val="single" w:sz="4" w:color="D8E0E8"/>
              <w:right w:val="single" w:sz="4" w:color="D8E0E8"/>
            </w:tcBorders>
          </w:tcPr>
          <w:p>
            <w:pPr>
              <w:spacing w:after="0" w:line="254" w:lineRule="auto"/>
            </w:pPr>
            <w:r>
              <w:rPr>
                <w:b/>
                <w:color w:val="FFFFFF"/>
              </w:rPr>
            </w:r>
            <w:r>
              <w:rPr>
                <w:rFonts w:ascii="Aptos" w:hAnsi="Aptos"/>
                <w:b/>
                <w:color w:val="FFFFFF"/>
                <w:sz w:val="16"/>
              </w:rPr>
              <w:t>Proposed change</w:t>
            </w:r>
          </w:p>
        </w:tc>
        <w:tc>
          <w:tcPr>
            <w:tcW w:type="dxa" w:w="2592"/>
            <w:shd w:fill="12334F"/>
            <w:vAlign w:val="top"/>
            <w:tcBorders>
              <w:top w:val="single" w:sz="4" w:color="D8E0E8"/>
              <w:left w:val="single" w:sz="4" w:color="D8E0E8"/>
              <w:bottom w:val="single" w:sz="4" w:color="D8E0E8"/>
              <w:right w:val="single" w:sz="4" w:color="D8E0E8"/>
            </w:tcBorders>
          </w:tcPr>
          <w:p>
            <w:pPr>
              <w:spacing w:after="0" w:line="254" w:lineRule="auto"/>
            </w:pPr>
            <w:r>
              <w:rPr>
                <w:b/>
                <w:color w:val="FFFFFF"/>
              </w:rPr>
            </w:r>
            <w:r>
              <w:rPr>
                <w:rFonts w:ascii="Aptos" w:hAnsi="Aptos"/>
                <w:b/>
                <w:color w:val="FFFFFF"/>
                <w:sz w:val="16"/>
              </w:rPr>
              <w:t>Status</w:t>
            </w:r>
          </w:p>
        </w:tc>
      </w:tr>
      <w:tr>
        <w:tc>
          <w:tcPr>
            <w:tcW w:type="dxa" w:w="2880"/>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WI-8-2-2-M03 Rev.2</w:t>
            </w:r>
          </w:p>
        </w:tc>
        <w:tc>
          <w:tcPr>
            <w:tcW w:type="dxa" w:w="4320"/>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Technical redraft linked to GAP-001 through GAP-013; official new revision number reserved for Document Control</w:t>
            </w:r>
          </w:p>
        </w:tc>
        <w:tc>
          <w:tcPr>
            <w:tcW w:type="dxa" w:w="2592"/>
            <w:vAlign w:val="top"/>
            <w:tcBorders>
              <w:top w:val="single" w:sz="4" w:color="D8E0E8"/>
              <w:left w:val="single" w:sz="4" w:color="D8E0E8"/>
              <w:bottom w:val="single" w:sz="4" w:color="D8E0E8"/>
              <w:right w:val="single" w:sz="4" w:color="D8E0E8"/>
            </w:tcBorders>
          </w:tcPr>
          <w:p>
            <w:pPr>
              <w:spacing w:after="0" w:line="254" w:lineRule="auto"/>
            </w:pPr>
            <w:r/>
            <w:r>
              <w:rPr>
                <w:rFonts w:ascii="Aptos" w:hAnsi="Aptos"/>
                <w:sz w:val="16"/>
              </w:rPr>
              <w:t>DRAFT - QC/QA/Engineering approval pending</w:t>
            </w:r>
          </w:p>
        </w:tc>
      </w:tr>
    </w:tbl>
    <w:p/>
    <w:p>
      <w:r>
        <w:t>Controlled-document metadata, technical review signatures, approval date, effective date, training and supersession details shall be completed by authorized personnel only. This draft does not supersede the existing WI.</w:t>
      </w:r>
    </w:p>
    <w:p>
      <w:pPr>
        <w:pStyle w:val="Heading1"/>
      </w:pPr>
      <w:r>
        <w:t>Source traceability and review limitations</w:t>
      </w:r>
    </w:p>
    <w:p>
      <w:r>
        <w:t>WI M02 Rev.1, date 10.06.2020: Clean Cart A, printed pages 1-5, user-uploaded PDF pages 9,10,8,7,6 respectively.</w:t>
      </w:r>
    </w:p>
    <w:p>
      <w:r>
        <w:t>WI M03 Rev.2, date 10.06.2020: Clean Cart C, printed pages 1-5, user-uploaded PDF pages 5,4,3,2,1 respectively.</w:t>
      </w:r>
    </w:p>
    <w:p>
      <w:r>
        <w:t>F-823-i24 Rev.6, date 19.10.2025: Clean Cart in-process record, Excel sheet rows 2-32. A separate, unrelated sodium bicarbonate powder-bag form F-823-i24-1 Rev.2 occupies rows 36-66 and is excluded.</w:t>
      </w:r>
    </w:p>
    <w:p>
      <w:r>
        <w:t>External contextual source only: U.S. FDA Baxter K232467 (2023), https://www.accessdata.fda.gov/cdrh_docs/pdf23/K232467.pdf, especially 510(k) summary; it is not the company approved specification.</w:t>
      </w:r>
    </w:p>
    <w:p>
      <w:r>
        <w:t>ISO scope-screening only: ISO 23500-4:2024 published scope, https://www.iso.org/cms/live/live/en/sites/isoorg/contents/data/standard/08/43/84371.html?browse=tc. The standard addresses dialysis-fluid concentrates and its applicability to cleaning cartridges is NOT established.</w:t>
      </w:r>
    </w:p>
    <w:p>
      <w:r>
        <w:t>NOT AVAILABLE: any complete official applicable ISO edition, source ISO PDF pages, company BOMs/technical files, product/material specifications, AQL plan, test procedures, controlled approval list, F-823-T1, F-823-T90, F-823-15, F-823-F57, or completed lots/evidence.</w:t>
      </w:r>
    </w:p>
    <w:sectPr w:rsidR="00FC693F" w:rsidRPr="0006063C" w:rsidSect="00034616">
      <w:headerReference w:type="default" r:id="rId9"/>
      <w:footerReference w:type="default" r:id="rId10"/>
      <w:pgSz w:w="11909" w:h="16834"/>
      <w:pgMar w:top="1123"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DRAFT - NOT APPROVED / NOT EVIDENCE OF ISO CONFORMITY   •   21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SAUDI MAIS  |  QUALITY CONTROL  |  TECHNICAL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0274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0274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05B8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02742"/>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74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