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QC SYSTEMS / MEDICAL DEVICES</w:t>
      </w:r>
    </w:p>
    <w:p>
      <w:pPr>
        <w:pStyle w:val="Title"/>
      </w:pPr>
      <w:r>
        <w:t>Inspection Procedure for Endobronchial Tube</w:t>
      </w:r>
    </w:p>
    <w:p>
      <w:r>
        <w:t>COMPLETE REVISED WORK INSTRUCTION | Technical draft replacing baseline sections subject to QA approval</w:t>
      </w:r>
    </w:p>
    <w:tbl>
      <w:tblPr>
        <w:tblStyle w:val="TableGrid"/>
        <w:tblW w:type="auto" w:w="0"/>
        <w:tblLook w:firstColumn="1" w:firstRow="1" w:lastColumn="0" w:lastRow="0" w:noHBand="0" w:noVBand="1" w:val="04A0"/>
      </w:tblPr>
      <w:tblGrid>
        <w:gridCol w:w="5184"/>
        <w:gridCol w:w="5184"/>
      </w:tblGrid>
      <w:tr>
        <w:tc>
          <w:tcPr>
            <w:tcW w:type="dxa" w:w="5184"/>
            <w:vAlign w:val="top"/>
            <w:shd w:fill="E7EEF4"/>
          </w:tcPr>
          <w:p>
            <w:pPr>
              <w:spacing w:after="0" w:before="0"/>
            </w:pPr>
            <w:r/>
            <w:r>
              <w:rPr>
                <w:rFonts w:ascii="Aptos" w:hAnsi="Aptos"/>
                <w:sz w:val="18"/>
              </w:rPr>
              <w:t>Product</w:t>
            </w:r>
          </w:p>
        </w:tc>
        <w:tc>
          <w:tcPr>
            <w:tcW w:type="dxa" w:w="5184"/>
            <w:vAlign w:val="top"/>
          </w:tcPr>
          <w:p>
            <w:pPr>
              <w:spacing w:after="0" w:before="0"/>
            </w:pPr>
            <w:r/>
            <w:r>
              <w:rPr>
                <w:rFonts w:ascii="Aptos" w:hAnsi="Aptos"/>
                <w:sz w:val="18"/>
              </w:rPr>
              <w:t>Endobronchial Tube (double-lumen Tracheobronchial Tube)</w:t>
            </w:r>
          </w:p>
        </w:tc>
      </w:tr>
      <w:tr>
        <w:tc>
          <w:tcPr>
            <w:tcW w:type="dxa" w:w="5184"/>
            <w:vAlign w:val="top"/>
            <w:shd w:fill="E7EEF4"/>
          </w:tcPr>
          <w:p>
            <w:pPr>
              <w:spacing w:after="0" w:before="0"/>
            </w:pPr>
            <w:r/>
            <w:r>
              <w:rPr>
                <w:rFonts w:ascii="Aptos" w:hAnsi="Aptos"/>
                <w:sz w:val="18"/>
              </w:rPr>
              <w:t>Primary standard</w:t>
            </w:r>
          </w:p>
        </w:tc>
        <w:tc>
          <w:tcPr>
            <w:tcW w:type="dxa" w:w="5184"/>
            <w:vAlign w:val="top"/>
          </w:tcPr>
          <w:p>
            <w:pPr>
              <w:spacing w:after="0" w:before="0"/>
            </w:pPr>
            <w:r/>
            <w:r>
              <w:rPr>
                <w:rFonts w:ascii="Aptos" w:hAnsi="Aptos"/>
                <w:sz w:val="18"/>
              </w:rPr>
              <w:t>ISO 16628:2022 (second edition)</w:t>
            </w:r>
          </w:p>
        </w:tc>
      </w:tr>
      <w:tr>
        <w:tc>
          <w:tcPr>
            <w:tcW w:type="dxa" w:w="5184"/>
            <w:vAlign w:val="top"/>
            <w:shd w:fill="E7EEF4"/>
          </w:tcPr>
          <w:p>
            <w:pPr>
              <w:spacing w:after="0" w:before="0"/>
            </w:pPr>
            <w:r/>
            <w:r>
              <w:rPr>
                <w:rFonts w:ascii="Aptos" w:hAnsi="Aptos"/>
                <w:sz w:val="18"/>
              </w:rPr>
              <w:t>Existing work instruction</w:t>
            </w:r>
          </w:p>
        </w:tc>
        <w:tc>
          <w:tcPr>
            <w:tcW w:type="dxa" w:w="5184"/>
            <w:vAlign w:val="top"/>
          </w:tcPr>
          <w:p>
            <w:pPr>
              <w:spacing w:after="0" w:before="0"/>
            </w:pPr>
            <w:r/>
            <w:r>
              <w:rPr>
                <w:rFonts w:ascii="Aptos" w:hAnsi="Aptos"/>
                <w:sz w:val="18"/>
              </w:rPr>
              <w:t>WI-8-2-2-06-1 / Rev 00 / 05 Dec 2023</w:t>
            </w:r>
          </w:p>
        </w:tc>
      </w:tr>
      <w:tr>
        <w:tc>
          <w:tcPr>
            <w:tcW w:type="dxa" w:w="5184"/>
            <w:vAlign w:val="top"/>
            <w:shd w:fill="E7EEF4"/>
          </w:tcPr>
          <w:p>
            <w:pPr>
              <w:spacing w:after="0" w:before="0"/>
            </w:pPr>
            <w:r/>
            <w:r>
              <w:rPr>
                <w:rFonts w:ascii="Aptos" w:hAnsi="Aptos"/>
                <w:sz w:val="18"/>
              </w:rPr>
              <w:t>Matching inspection report</w:t>
            </w:r>
          </w:p>
        </w:tc>
        <w:tc>
          <w:tcPr>
            <w:tcW w:type="dxa" w:w="5184"/>
            <w:vAlign w:val="top"/>
          </w:tcPr>
          <w:p>
            <w:pPr>
              <w:spacing w:after="0" w:before="0"/>
            </w:pPr>
            <w:r/>
            <w:r>
              <w:rPr>
                <w:rFonts w:ascii="Aptos" w:hAnsi="Aptos"/>
                <w:sz w:val="18"/>
              </w:rPr>
              <w:t>NOT VERIFIED — supplied form is Endotracheal Tube</w:t>
            </w:r>
          </w:p>
        </w:tc>
      </w:tr>
      <w:tr>
        <w:tc>
          <w:tcPr>
            <w:tcW w:type="dxa" w:w="5184"/>
            <w:vAlign w:val="top"/>
            <w:shd w:fill="E7EEF4"/>
          </w:tcPr>
          <w:p>
            <w:pPr>
              <w:spacing w:after="0" w:before="0"/>
            </w:pPr>
            <w:r/>
            <w:r>
              <w:rPr>
                <w:rFonts w:ascii="Aptos" w:hAnsi="Aptos"/>
                <w:sz w:val="18"/>
              </w:rPr>
              <w:t>Document identifier</w:t>
            </w:r>
          </w:p>
        </w:tc>
        <w:tc>
          <w:tcPr>
            <w:tcW w:type="dxa" w:w="5184"/>
            <w:vAlign w:val="top"/>
          </w:tcPr>
          <w:p>
            <w:pPr>
              <w:spacing w:after="0" w:before="0"/>
            </w:pPr>
            <w:r/>
            <w:r>
              <w:rPr>
                <w:rFonts w:ascii="Aptos" w:hAnsi="Aptos"/>
                <w:sz w:val="18"/>
              </w:rPr>
              <w:t>WI-8-2-2-06-1 | PROPOSED REVISION — NOT ASSIGNED</w:t>
            </w:r>
          </w:p>
        </w:tc>
      </w:tr>
      <w:tr>
        <w:tc>
          <w:tcPr>
            <w:tcW w:type="dxa" w:w="5184"/>
            <w:vAlign w:val="top"/>
            <w:shd w:fill="E7EEF4"/>
          </w:tcPr>
          <w:p>
            <w:pPr>
              <w:spacing w:after="0" w:before="0"/>
            </w:pPr>
            <w:r/>
            <w:r>
              <w:rPr>
                <w:rFonts w:ascii="Aptos" w:hAnsi="Aptos"/>
                <w:sz w:val="18"/>
              </w:rPr>
              <w:t>Status</w:t>
            </w:r>
          </w:p>
        </w:tc>
        <w:tc>
          <w:tcPr>
            <w:tcW w:type="dxa" w:w="5184"/>
            <w:vAlign w:val="top"/>
          </w:tcPr>
          <w:p>
            <w:pPr>
              <w:spacing w:after="0" w:before="0"/>
            </w:pPr>
            <w:r/>
            <w:r>
              <w:rPr>
                <w:rFonts w:ascii="Aptos" w:hAnsi="Aptos"/>
                <w:sz w:val="18"/>
              </w:rPr>
              <w:t>CONTROLLED DRAFT FOR TECHNICAL REVIEW — NOT APPROVED</w:t>
            </w:r>
          </w:p>
        </w:tc>
      </w:tr>
      <w:tr>
        <w:tc>
          <w:tcPr>
            <w:tcW w:type="dxa" w:w="5184"/>
            <w:vAlign w:val="top"/>
            <w:shd w:fill="E7EEF4"/>
          </w:tcPr>
          <w:p>
            <w:pPr>
              <w:spacing w:after="0" w:before="0"/>
            </w:pPr>
            <w:r/>
            <w:r>
              <w:rPr>
                <w:rFonts w:ascii="Aptos" w:hAnsi="Aptos"/>
                <w:sz w:val="18"/>
              </w:rPr>
              <w:t>Issue date</w:t>
            </w:r>
          </w:p>
        </w:tc>
        <w:tc>
          <w:tcPr>
            <w:tcW w:type="dxa" w:w="5184"/>
            <w:vAlign w:val="top"/>
          </w:tcPr>
          <w:p>
            <w:pPr>
              <w:spacing w:after="0" w:before="0"/>
            </w:pPr>
            <w:r/>
            <w:r>
              <w:rPr>
                <w:rFonts w:ascii="Aptos" w:hAnsi="Aptos"/>
                <w:sz w:val="18"/>
              </w:rPr>
              <w:t>09 October 2026</w:t>
            </w:r>
          </w:p>
        </w:tc>
      </w:tr>
    </w:tbl>
    <w:p>
      <w:r>
        <w:t>Important limitation: source files are photographed scans and standards; no approved lot test data, drawings, ISO 18190 copy, ISO 18562-1 report or matching Endobronchial report was supplied. No operational requirement is claimed closed.</w:t>
      </w:r>
    </w:p>
    <w:p>
      <w:r>
        <w:t>DOCUMENT CONTROL: This draft is not an approved revision. Revision/effective date and approval signatures: PENDING DOCUMENT CONTROL. Based on existing Rev 00; retain original source as the controlled reference until formal release.</w:t>
      </w:r>
    </w:p>
    <w:p>
      <w:pPr>
        <w:pStyle w:val="Heading1"/>
      </w:pPr>
      <w:r>
        <w:t>1. Purpose</w:t>
      </w:r>
    </w:p>
    <w:p>
      <w:r>
        <w:t>Establish a consistent, evidence-based procedure for receipt, in-process assembly, dimensional/functional inspection, packaging and final release of endobronchial (double-lumen tracheobronchial) tubes.</w:t>
      </w:r>
    </w:p>
    <w:p>
      <w:pPr>
        <w:pStyle w:val="Heading1"/>
      </w:pPr>
      <w:r>
        <w:t>2. Scope</w:t>
      </w:r>
    </w:p>
    <w:p>
      <w:r>
        <w:t>Covers products manufactured by Saudi Mais Co. for Medical Products including tracheal and bronchial pathways, both cuffs and inflation circuits, connectors, markings and packaging. Suction catheter, stylet, swivel/adapters and endoscopic accessories apply only where included in the approved bill of materials (BOM). Right/left variants require separate artwork/configuration controls.</w:t>
      </w:r>
    </w:p>
    <w:p>
      <w:pPr>
        <w:pStyle w:val="Heading1"/>
      </w:pPr>
      <w:r>
        <w:t>3. Normative and controlled references</w:t>
      </w:r>
    </w:p>
    <w:p>
      <w:r>
        <w:t>ISO 16628:2022 (primary); ISO 5361:2016, Clause 5.6 and Annexes B, D as explicitly invoked; ISO 5356-1, ISO 80369-7, ISO 18562-1 (referenced); ISO 18190:2016 Clauses 4-9 (mandatory source missing: OPEN TECHNICAL INPUT REQUIRED); ISO 8836:2014 conditional for a supplied suction catheter. Approved BOM/drawings, control plan, labeling/IFU, SOP-8-2-6 (sampling), validated sterilization and packaging documents: all IDs PENDING VERIFICATION.</w:t>
      </w:r>
    </w:p>
    <w:p>
      <w:pPr>
        <w:pStyle w:val="Heading1"/>
      </w:pPr>
      <w:r>
        <w:t>4. Definitions</w:t>
      </w:r>
    </w:p>
    <w:p>
      <w:r>
        <w:t>Tracheobronchial tube: double-lumen airway device permitting independent lung isolation. Bronchial segment: airway limb extending into a main bronchus. Effective inside diameter: largest suitable cylindrical representation capable of traversing the lumen (Annex C bead method). Qualification test: approved type/design verification; routine inspection: approved characteristic/frequency-based check.</w:t>
      </w:r>
    </w:p>
    <w:p>
      <w:pPr>
        <w:pStyle w:val="Heading1"/>
      </w:pPr>
      <w:r>
        <w:t>5. Responsibilities</w:t>
      </w:r>
    </w:p>
    <w:p>
      <w:r>
        <w:t>QC: sampling, physical testing, data entry, inspection disposition and segregation. Production: controlled assembly, first-piece/in-process checks and traceability. Engineering: drawings, nominal values, qualified measurement protocols and design risk. Supplier Quality: component qualification and supplier evidence. QA: applicable standards, technical-file review, change control and release authorization; QC Manager / QA Manager: approval in accordance with current delegation procedure.</w:t>
      </w:r>
    </w:p>
    <w:p>
      <w:pPr>
        <w:pStyle w:val="Heading1"/>
      </w:pPr>
      <w:r>
        <w:t>6. Incoming materials and product receipt</w:t>
      </w:r>
    </w:p>
    <w:p>
      <w:r>
        <w:t>Compare received quantity, part code, supplier, batch, COA, approved PO and controlled specifications. Check intact packaging, pouch seal and correct labels. Reject or quarantine incorrect/damaged/undocumented inputs. For every patient-contacting/gas-path component, verify approved materials and current biological-risk evaluation, including ISO 18562-1 where applicable (GAP-003). Verify supplied suction-catheter scope before invoking ISO 8836 (GAP-019/020).</w:t>
      </w:r>
    </w:p>
    <w:p>
      <w:pPr>
        <w:pStyle w:val="Heading1"/>
      </w:pPr>
      <w:r>
        <w:t>7. Design file and risk controls</w:t>
      </w:r>
    </w:p>
    <w:p>
      <w:r>
        <w:t>Maintain a controlled device configuration drawing, approved size-specific dimensional targets, left/right tip and cuff drawings, approved product/artwork masters and risk file. Evaluate bevel and margin-of-safety considerations under ISO 16628 §§6.4.3 and 6.7 as recommendations and document risk-based design rationale (GAP-018). Evaluate cuff-attachment sharp edges and risk controls per §6.5.4 (GAP-012). All incorporated ISO 18190 requirements remain pending source assessment (GAP-002).</w:t>
      </w:r>
    </w:p>
    <w:p>
      <w:pPr>
        <w:pStyle w:val="Heading1"/>
      </w:pPr>
      <w:r>
        <w:t>8. Assembly and workmanship</w:t>
      </w:r>
    </w:p>
    <w:p>
      <w:r>
        <w:t>Inspect materials/components for smooth and transparent surfaces where specified, no flash/black spots/burns/holes/cracks, adequate glued/bonded connections and no pullout, leakage or blockage. Verify connector, Y/4-way, tracheal/bronchial limbs, swivel 3-way, endoscopic T connector/cover, subordinate rotating adapter, stylet and X-ray line when included in the BOM. The historical characteristics are retained in Table A. Do not treat “strong gluing” alone as a measured bond-strength specification; approved controlled criteria required.</w:t>
      </w:r>
    </w:p>
    <w:p>
      <w:pPr>
        <w:pStyle w:val="Heading1"/>
      </w:pPr>
      <w:r>
        <w:t>9. Incoming and in-process inspection</w:t>
      </w:r>
    </w:p>
    <w:p>
      <w:r>
        <w:t>Follow the current QA-approved control plan and sample scheme. For visual use the approved general inspection category; for designated physical tests use the approved special category and SOP-8-2-6. Record lot size, inspection level, AQL/Ac/Re where applicable, n, units measured, measurements and disposition. Packaging sampling at two-hour intervals remains as in existing WI unless changed through QA-approved revision. Frequency of type tests is determined by risk/control plan, not universally each lot (GAP-021).</w:t>
      </w:r>
    </w:p>
    <w:p>
      <w:pPr>
        <w:pStyle w:val="Heading1"/>
      </w:pPr>
      <w:r>
        <w:t>10. Inspection and test procedure</w:t>
      </w:r>
    </w:p>
    <w:p>
      <w:r>
        <w:t>Perform the following characteristics and record results in the proposed form or the indicated linked controlled worksheet. OPEN TECHNICAL INPUT REQUIRED: approved drawings, dimensions per product size, characterization/bounds, risk-based sampling and test apparatus IDs; do not substitute guessed values.</w:t>
      </w:r>
    </w:p>
    <w:p>
      <w:pPr>
        <w:pStyle w:val="Heading2"/>
      </w:pPr>
      <w:r>
        <w:t>Proposed test/control GAP-003 — Breathing-gas-pathway biological safety not demonstrated</w:t>
      </w:r>
    </w:p>
    <w:p>
      <w:r>
        <w:t>Proposed WI §6. Before qualification approval and following relevant material/process changes, QA shall verify the approved breathing-gas-pathway biological evaluation for every intended gas-contacting component against ISO 18562-1 and applicable ISO 18190 material requirements. Record evaluation scope, materials/configuration, laboratory reports or risk-based justification, change assessment and approval. Do not claim acceptable biological safety from a supplier COA alone.</w:t>
      </w:r>
    </w:p>
    <w:p>
      <w:pPr>
        <w:pStyle w:val="Heading2"/>
      </w:pPr>
      <w:r>
        <w:t>Proposed test/control GAP-004 — French size and tracheal-axis controls insufficiently defined</w:t>
      </w:r>
    </w:p>
    <w:p>
      <w:r>
        <w:t>Proposed WI §10.1. For each product size/configuration, identify the approved nominal major and minor tracheal-segment outside axes in millimetres. Measure and record BOTH axes using a calibrated device and acceptance range (each approved nominal axis ±0.5 mm). Calculate average OD = (major+minor)/2 and confirm the whole-number Fr marking corresponds to the approved dimensional designation. Resolve §6.2 advisory ±1 mm wording in an approved technical interpretation; do not compare mm directly with Fr.</w:t>
      </w:r>
    </w:p>
    <w:p>
      <w:pPr>
        <w:pStyle w:val="Heading2"/>
      </w:pPr>
      <w:r>
        <w:t>Proposed test/control GAP-005 — Bronchial OD verification and Br marking absent</w:t>
      </w:r>
    </w:p>
    <w:p>
      <w:r>
        <w:t>Proposed WI §10.2. Measure bronchial-segment OD following ISO 16628 Annex B: five close inelastic wire/thread turns at the midpoint of the fully deflated bronchial cuff; measure total wrapped length in mm; calculate OD = length/(5π); round upward to the next 0.5 mm; verify the printed “Br [value]” marking matches the determined and approved disclosed size. Retain raw, calculated and rounded results.</w:t>
      </w:r>
    </w:p>
    <w:p>
      <w:pPr>
        <w:pStyle w:val="Heading2"/>
      </w:pPr>
      <w:r>
        <w:t>Proposed test/control GAP-006 — Effective ID of both lumens not verified</w:t>
      </w:r>
    </w:p>
    <w:p>
      <w:r>
        <w:t>Proposed WI §10.3. For each represented size, verify independently the tracheal and bronchial effective inside diameters using ISO 16628 Annex C: calibrated three-bead sets, 100 g ±5 g weight, vertical lumen passage, suitable bead diameters (0.2 mm increments, or approved designated maximum single set), and water/water-soluble lubricant only when needed. Record maximum passing bead diameter per lumen, round down to 0.2 mm and reconcile both markings with product specifications.</w:t>
      </w:r>
    </w:p>
    <w:p>
      <w:pPr>
        <w:pStyle w:val="Heading2"/>
      </w:pPr>
      <w:r>
        <w:t>Proposed test/control GAP-007 — Machine-end conical connector conformance undocumented</w:t>
      </w:r>
    </w:p>
    <w:p>
      <w:r>
        <w:t>Proposed WI §10.4. The machine-end tracheal and bronchial ventilation connectors shall be verified as 15 mm conical cones conforming to ISO 5356-1. Before release of a design/configuration, QC/QA shall link the approved connector dimensional/type-test report and drawing to the configuration. Routine inspection shall verify part identity, engagement, assembly integrity and damage against controlled acceptance criteria.</w:t>
      </w:r>
    </w:p>
    <w:p>
      <w:pPr>
        <w:pStyle w:val="Heading2"/>
      </w:pPr>
      <w:r>
        <w:t>Proposed test/control GAP-008 — Cuff inflation inlet small-bore compatibility not established</w:t>
      </w:r>
    </w:p>
    <w:p>
      <w:r>
        <w:t>Proposed WI §10.5. Verify each tracheal and bronchial cuff inflation-system inlet is compatible with an ISO 80369-7 L1 male Luer-slip connector, as required by ISO 16628 §6.4.2. Retain approved interface verification and test arrangement, including connection/deflation functionality. Do not substitute unrelated connector suitability claims.</w:t>
      </w:r>
    </w:p>
    <w:p>
      <w:pPr>
        <w:pStyle w:val="Heading2"/>
      </w:pPr>
      <w:r>
        <w:t>Proposed test/control GAP-009 — Cuff leak test method not captured in verified report</w:t>
      </w:r>
    </w:p>
    <w:p>
      <w:r>
        <w:t>Proposed WI §10.6. Individually test both tracheal and bronchial cuffs per ISO 16628 §6.5.1. Document the limiting endpoint reached first (9.0 kPa or 1.5× Annex B cuff diameter), actual applied pressure/diameter, inflation apparatus, sealing and disconnection, entire-system immersion, observation duration ≥10 s and bubbles YES/NO. Accept only zero bubbles over the ≥10 s interval and no detachment/rupture.</w:t>
      </w:r>
    </w:p>
    <w:p>
      <w:pPr>
        <w:pStyle w:val="Heading2"/>
      </w:pPr>
      <w:r>
        <w:t>Proposed test/control GAP-010 — Cuff diameter method points to wrong annex</w:t>
      </w:r>
    </w:p>
    <w:p>
      <w:r>
        <w:t>Proposed WI §10.7. Determine resting diameters of tracheal and bronchial cuffs using ISO 5361:2016 Annex B, NOT Annex C. Compare each measured diameter with its approved marked diameter and accept only if within 85%-115% of that marked value. For a non-circular bronchial cuff disclose and assess the greatest resting diameter. Record nominal, measured, percent difference and Pass/Fail independently for each cuff.</w:t>
      </w:r>
    </w:p>
    <w:p>
      <w:pPr>
        <w:pStyle w:val="Heading2"/>
      </w:pPr>
      <w:r>
        <w:t>Proposed test/control GAP-011 — Cuff herniation method points to wrong annex</w:t>
      </w:r>
    </w:p>
    <w:p>
      <w:r>
        <w:t>Proposed WI §10.8. Perform tracheal and bronchial cuff herniation testing separately using ISO 5361:2016 Annex D, NOT Annex E, with only the cuff under examination inflated. Observe whether any part extends beyond the nearest patient-end edge of the respective segment. Record test configuration, cuff under test, observed protrusion YES/NO and Pass/Fail; accept only no protrusion.</w:t>
      </w:r>
    </w:p>
    <w:p>
      <w:pPr>
        <w:pStyle w:val="Heading2"/>
      </w:pPr>
      <w:r>
        <w:t>Proposed test/control GAP-012 — Cuff attachment sharp-edge assessment lacks risk-file linkage</w:t>
      </w:r>
    </w:p>
    <w:p>
      <w:r>
        <w:t>Proposed WI §10.9. Visually examine both cuff attachment transitions for sharp edges, exposed bonding ridges or hazardous projections using the approved visual master criteria. For design qualification, QA shall review and reference the risk-management file covering both attachment transitions. If any sharp edge or uncontrolled hazard is found, classify and segregate the affected material.</w:t>
      </w:r>
    </w:p>
    <w:p>
      <w:pPr>
        <w:pStyle w:val="Heading2"/>
      </w:pPr>
      <w:r>
        <w:t>Proposed test/control GAP-013 — Inflation system 5.6 subrequirements not operationalized</w:t>
      </w:r>
    </w:p>
    <w:p>
      <w:r>
        <w:t>Proposed WI §10.10. Qualify each applicable cuff inflation circuit against ISO 5361:2016 §5.6 and ISO 16628 §6.6, recording tube OD (≤3.0 mm), point-of-separation on the concave aspect for curved tubes and separation angle (≤45°), lumen encroachment (≤10% ID), the actual location ±10 mm if the separation distance is marked, pilot inflation indication, full intended deflation and applicable S3 lengths/valve exemptions. Retain a product-specific dimensional drawing, and test functionality after assembly; do not infer dimensional conformity from visual integrity alone.</w:t>
      </w:r>
    </w:p>
    <w:p>
      <w:pPr>
        <w:pStyle w:val="Heading2"/>
      </w:pPr>
      <w:r>
        <w:t>Proposed test/control GAP-014 — Marking durability protocol omits use exposure</w:t>
      </w:r>
    </w:p>
    <w:p>
      <w:r>
        <w:t>Proposed WI §10.11. For each relevant marking, document substance selection justified by IFU and risk management, total exposure time representing intended use, and the post-exposure rub with distilled-water-soaked cloth for 15 s without undue pressure. Inspect with visual acuity 1 at 1 m ±10 mm and 215 ±5 lx. Pass only if all required information remains legible; record substance, duration, conditions, individual result and retained approved test record.</w:t>
      </w:r>
    </w:p>
    <w:p>
      <w:pPr>
        <w:pStyle w:val="Heading2"/>
      </w:pPr>
      <w:r>
        <w:t>Proposed test/control GAP-015 — Required tube marking fields not enumerated or measured</w:t>
      </w:r>
    </w:p>
    <w:p>
      <w:r>
        <w:t>Proposed WI §10.12. Inspect each configuration against the approved artwork: (1) whole-number Fr; (2) “Br” plus bronchial OD in mm; (3) both effective lumen IDs in mm; (4) length graduations every 2 cm measured from bronchial tip and positioned at the tracheal segment machine end; and (5) correct “right” or “left” designation. Record actual values/spacing/side and reconcile Br/IDs to Annex B/C qualified determinations; reject missing, inconsistent or mislocated marking.</w:t>
      </w:r>
    </w:p>
    <w:p>
      <w:pPr>
        <w:pStyle w:val="Heading2"/>
      </w:pPr>
      <w:r>
        <w:t>Proposed test/control GAP-016 — Bronchial-blue colour coding not tied to inspection evidence</w:t>
      </w:r>
    </w:p>
    <w:p>
      <w:r>
        <w:t>Proposed WI §10.13. For every assembled tube sampled under the approved plan, separately verify the bronchial machine end, bronchial cuff and bronchial pilot balloon are entirely blue. Check company-specific tracheal transparent/white identifiers against approved artwork. Record each feature Pass/Fail, product side/configuration and observed mismatch.</w:t>
      </w:r>
    </w:p>
    <w:p>
      <w:pPr>
        <w:pStyle w:val="Heading2"/>
      </w:pPr>
      <w:r>
        <w:t>Proposed test/control GAP-017 — Pack/insert mandatory dimension declarations incomplete</w:t>
      </w:r>
    </w:p>
    <w:p>
      <w:r>
        <w:t>Proposed WI §13. Verify approved individual packaging/insert carries the complete ISO 16628 §9.4 content (description; nominal major and minor axis lengths; tracheal and bronchial cuff diameters) together with applicable §9.2.2 information and all validated ISO 18190 Clause 9 items. QC shall verify correct size/left-right artwork and current label revision against approved device master records before packing/release.</w:t>
      </w:r>
    </w:p>
    <w:p>
      <w:pPr>
        <w:pStyle w:val="Heading2"/>
      </w:pPr>
      <w:r>
        <w:t>Proposed test/control GAP-018 — Bronchial design risk review insufficiently traceable</w:t>
      </w:r>
    </w:p>
    <w:p>
      <w:r>
        <w:t>Proposed WI §7. Design Engineering and QA shall document evaluation of bronchial tip bevel, segment length, cuff length, cuff location and (for right-sided designs) the side-eye/upper-lobe ventilation geometry as appropriate to the intended clinical use, recording any departure from “should” recommendations with risk-based justification and approved specification references. Do not impose a guessed standardized length.</w:t>
      </w:r>
    </w:p>
    <w:p>
      <w:pPr>
        <w:pStyle w:val="Heading2"/>
      </w:pPr>
      <w:r>
        <w:t>Proposed test/control GAP-019 — Suction-catheter detachment test method/status uncertain</w:t>
      </w:r>
    </w:p>
    <w:p>
      <w:r>
        <w:t>Proposed WI §10.14. If a suction catheter is within the approved supplied configuration, identify its size, part type and securely/non-securely attached components. Test all applicable connections under ISO 8836:2014 Annex B using Table 2 for securely attached parts; separately apply Table 3 to any non-securely attached part, if relevant. Record outside diameter, force N, fixture, rate/conditions as defined in Annex B, failure mode and acceptance. OPEN TECHNICAL INPUT REQUIRED for any 5.0 mm Table 2 boundary and product applicability.</w:t>
      </w:r>
    </w:p>
    <w:p>
      <w:pPr>
        <w:pStyle w:val="Heading2"/>
      </w:pPr>
      <w:r>
        <w:t>Proposed test/control GAP-020 — Remaining suction-catheter requirements unassessed</w:t>
      </w:r>
    </w:p>
    <w:p>
      <w:r>
        <w:t>Proposed WI §10.15. QA shall establish whether the supplied accessory meets the ISO 8836 definition of an open or closed suction catheter; if yes, create a separate clause applicability and evidence map for that SKU, including material and vacuum-shaft performance, appropriately classified connection and markings, as applicable. When supplied as a purchased qualified accessory, reference approved supplier technical-file verification rather than duplicating every lot type test.</w:t>
      </w:r>
    </w:p>
    <w:p>
      <w:pPr>
        <w:pStyle w:val="Heading1"/>
      </w:pPr>
      <w:r>
        <w:t>11. Sampling / frequency and inspection level</w:t>
      </w:r>
    </w:p>
    <w:p>
      <w:r>
        <w:t>Qualification/design verification: Annex B, Annex C, connector dimensional evidence, ISO 5361 cuff dimensional/herniation tests, marking durability, biological evaluation and applicable supplier tests, with periodic/change-triggered scope defined in the approved control plan. Routine: relevant visual/functional/dimensional/pack checks at approved frequency; two-hour packaging sampling per existing WI. In every case specify batch/sample IDs, test personnel, equipment, pass/fail and authorized disposition.</w:t>
      </w:r>
    </w:p>
    <w:p>
      <w:pPr>
        <w:pStyle w:val="Heading1"/>
      </w:pPr>
      <w:r>
        <w:t>12. Nonconforming-product control</w:t>
      </w:r>
    </w:p>
    <w:p>
      <w:r>
        <w:t>Any out-of-specification, missing evidence, mismatched size/side label, damaged component, cuff leakage or unresolved device identity is quarantined; identify lot, quantity, failure, photos/measurements where appropriate, NCR and authorized QA disposition. Rework/retest occurs only under approved procedures; retain original failing records.</w:t>
      </w:r>
    </w:p>
    <w:p>
      <w:pPr>
        <w:pStyle w:val="Heading1"/>
      </w:pPr>
      <w:r>
        <w:t>13. Packaging and labelling</w:t>
      </w:r>
    </w:p>
    <w:p>
      <w:r>
        <w:t>Packaging must be correctly sealed, clean and labelled per approved product configuration. Verify ISO 16628 §9.4: device description, major/minor tracheal axes and BOTH cuff diameters on individual pack or insert; include applicable tube marking details and independently validated ISO 18190 Clause 9 information. Check SKU, size, right/left, lot, product codes and approved date fields as required by company artwork (GAP-017).</w:t>
      </w:r>
    </w:p>
    <w:p>
      <w:pPr>
        <w:pStyle w:val="Heading1"/>
      </w:pPr>
      <w:r>
        <w:t>14. Sterilization linkage</w:t>
      </w:r>
    </w:p>
    <w:p>
      <w:r>
        <w:t>For sterile configurations only: identify released sterilization load/chamber, approved sterilization record, relevant qualification, accepted sterile barrier and packaging integrity test/verification; link product lots and sterilization trace. ISO 18190:2016 Clauses 7-8 require detailed later mapping (GAP-022). A chamber stamp alone is not release proof.</w:t>
      </w:r>
    </w:p>
    <w:p>
      <w:pPr>
        <w:pStyle w:val="Heading1"/>
      </w:pPr>
      <w:r>
        <w:t>15. Final inspection and release</w:t>
      </w:r>
    </w:p>
    <w:p>
      <w:r>
        <w:t>QC shall verify approved sample disposition, measurement records, packing/label status, controlled qualification and supplier records, sterilization release (when sterile), NCR closure, complete document codes and evidence links. QC/QA authorization is required according to the approved release matrix. No lot may be declared ISO conforming based solely on this WI draft (GAP-022).</w:t>
      </w:r>
    </w:p>
    <w:p>
      <w:pPr>
        <w:pStyle w:val="Heading1"/>
      </w:pPr>
      <w:r>
        <w:t>16. Required records</w:t>
      </w:r>
    </w:p>
    <w:p>
      <w:r>
        <w:t>Minimum: receipt/COA/BOM check; assembly/in-process and lot test results; Annex B bronchial OD worksheet; Annex C two-lumen ID worksheet; cuff immersion test log; cuff diameter and herniation records; connector/valve and inflation-system design verification; marking durability record; ISO 18562-1 evaluation; supplier accessory verification; packaging/sterile-release records; final inspection record; NCR/CAPA record; controlled ISO closure register. All form IDs PENDING APPROVAL.</w:t>
      </w:r>
    </w:p>
    <w:p>
      <w:pPr>
        <w:pStyle w:val="Heading1"/>
      </w:pPr>
      <w:r>
        <w:t>17. Document control and revision history</w:t>
      </w:r>
    </w:p>
    <w:p>
      <w:r>
        <w:t>Baseline WI number: WI-8-2-2-06-1 Rev 00 dated 05 Dec 2023. This replacement is DRAFT only, without official revision/effective date. Assign a unique new revision on approval; correct duplicated original §§5.1.14/5.1.15 and outdated annex references. Verify the matching Endobronchial Inspection Report identifier before release (GAP-001/023).</w:t>
      </w:r>
    </w:p>
    <w:p>
      <w:pPr>
        <w:pStyle w:val="Heading1"/>
      </w:pPr>
      <w:r>
        <w:t>Table A — Preserved original component inspection characteristics</w:t>
      </w:r>
    </w:p>
    <w:tbl>
      <w:tblPr>
        <w:tblStyle w:val="TableGrid"/>
        <w:tblW w:type="auto" w:w="0"/>
        <w:jc w:val="center"/>
        <w:tblLayout w:type="fixed"/>
        <w:tblLook w:firstColumn="1" w:firstRow="1" w:lastColumn="0" w:lastRow="0" w:noHBand="0" w:noVBand="1" w:val="04A0"/>
      </w:tblPr>
      <w:tblGrid>
        <w:gridCol w:w="1656"/>
        <w:gridCol w:w="1728"/>
        <w:gridCol w:w="4752"/>
        <w:gridCol w:w="1656"/>
      </w:tblGrid>
      <w:tr>
        <w:trPr>
          <w:tblHeader w:val="true"/>
        </w:trPr>
        <w:tc>
          <w:tcPr>
            <w:tcW w:type="dxa" w:w="2592"/>
            <w:vAlign w:val="top"/>
            <w:shd w:fill="213F5D"/>
          </w:tcPr>
          <w:p>
            <w:pPr>
              <w:spacing w:after="0" w:before="0"/>
            </w:pPr>
            <w:r>
              <w:rPr>
                <w:b/>
                <w:color w:val="FFFFFF"/>
              </w:rPr>
            </w:r>
            <w:r>
              <w:rPr>
                <w:rFonts w:ascii="Aptos" w:hAnsi="Aptos"/>
                <w:b/>
                <w:color w:val="FFFFFF"/>
                <w:sz w:val="16"/>
              </w:rPr>
              <w:t>Characteristic</w:t>
            </w:r>
          </w:p>
        </w:tc>
        <w:tc>
          <w:tcPr>
            <w:tcW w:type="dxa" w:w="2592"/>
            <w:vAlign w:val="top"/>
            <w:shd w:fill="213F5D"/>
          </w:tcPr>
          <w:p>
            <w:pPr>
              <w:spacing w:after="0" w:before="0"/>
            </w:pPr>
            <w:r>
              <w:rPr>
                <w:b/>
                <w:color w:val="FFFFFF"/>
              </w:rPr>
            </w:r>
            <w:r>
              <w:rPr>
                <w:rFonts w:ascii="Aptos" w:hAnsi="Aptos"/>
                <w:b/>
                <w:color w:val="FFFFFF"/>
                <w:sz w:val="16"/>
              </w:rPr>
              <w:t>Baseline WI trace</w:t>
            </w:r>
          </w:p>
        </w:tc>
        <w:tc>
          <w:tcPr>
            <w:tcW w:type="dxa" w:w="2592"/>
            <w:vAlign w:val="top"/>
            <w:shd w:fill="213F5D"/>
          </w:tcPr>
          <w:p>
            <w:pPr>
              <w:spacing w:after="0" w:before="0"/>
            </w:pPr>
            <w:r>
              <w:rPr>
                <w:b/>
                <w:color w:val="FFFFFF"/>
              </w:rPr>
            </w:r>
            <w:r>
              <w:rPr>
                <w:rFonts w:ascii="Aptos" w:hAnsi="Aptos"/>
                <w:b/>
                <w:color w:val="FFFFFF"/>
                <w:sz w:val="16"/>
              </w:rPr>
              <w:t>Retained/revised control</w:t>
            </w:r>
          </w:p>
        </w:tc>
        <w:tc>
          <w:tcPr>
            <w:tcW w:type="dxa" w:w="2592"/>
            <w:vAlign w:val="top"/>
            <w:shd w:fill="213F5D"/>
          </w:tcPr>
          <w:p>
            <w:pPr>
              <w:spacing w:after="0" w:before="0"/>
            </w:pPr>
            <w:r>
              <w:rPr>
                <w:b/>
                <w:color w:val="FFFFFF"/>
              </w:rPr>
            </w:r>
            <w:r>
              <w:rPr>
                <w:rFonts w:ascii="Aptos" w:hAnsi="Aptos"/>
                <w:b/>
                <w:color w:val="FFFFFF"/>
                <w:sz w:val="16"/>
              </w:rPr>
              <w:t>Route</w:t>
            </w:r>
          </w:p>
        </w:tc>
      </w:tr>
      <w:tr>
        <w:trPr>
          <w:cantSplit/>
        </w:trPr>
        <w:tc>
          <w:tcPr>
            <w:tcW w:type="dxa" w:w="1656"/>
            <w:vAlign w:val="top"/>
          </w:tcPr>
          <w:p>
            <w:pPr>
              <w:spacing w:after="0" w:before="0"/>
            </w:pPr>
            <w:r/>
            <w:r>
              <w:rPr>
                <w:rFonts w:ascii="Aptos" w:hAnsi="Aptos"/>
                <w:sz w:val="16"/>
              </w:rPr>
              <w:t>Incoming/pack condition</w:t>
            </w:r>
          </w:p>
        </w:tc>
        <w:tc>
          <w:tcPr>
            <w:tcW w:type="dxa" w:w="1728"/>
            <w:vAlign w:val="top"/>
          </w:tcPr>
          <w:p>
            <w:pPr>
              <w:spacing w:after="0" w:before="0"/>
            </w:pPr>
            <w:r/>
            <w:r>
              <w:rPr>
                <w:rFonts w:ascii="Aptos" w:hAnsi="Aptos"/>
                <w:sz w:val="16"/>
              </w:rPr>
              <w:t>WI p.1 §5.1; p.10 §8</w:t>
            </w:r>
          </w:p>
        </w:tc>
        <w:tc>
          <w:tcPr>
            <w:tcW w:type="dxa" w:w="4752"/>
            <w:vAlign w:val="top"/>
          </w:tcPr>
          <w:p>
            <w:pPr>
              <w:spacing w:after="0" w:before="0"/>
            </w:pPr>
            <w:r/>
            <w:r>
              <w:rPr>
                <w:rFonts w:ascii="Aptos" w:hAnsi="Aptos"/>
                <w:sz w:val="16"/>
              </w:rPr>
              <w:t>Incoming: approved PO, intact packaging/seal, correct label, COA available; segregate failures.</w:t>
            </w:r>
          </w:p>
        </w:tc>
        <w:tc>
          <w:tcPr>
            <w:tcW w:type="dxa" w:w="1656"/>
            <w:vAlign w:val="top"/>
          </w:tcPr>
          <w:p>
            <w:pPr>
              <w:spacing w:after="0" w:before="0"/>
            </w:pPr>
            <w:r/>
            <w:r>
              <w:rPr>
                <w:rFonts w:ascii="Aptos" w:hAnsi="Aptos"/>
                <w:sz w:val="16"/>
              </w:rPr>
              <w:t>Routine / Incoming</w:t>
            </w:r>
          </w:p>
        </w:tc>
      </w:tr>
      <w:tr>
        <w:trPr>
          <w:cantSplit/>
        </w:trPr>
        <w:tc>
          <w:tcPr>
            <w:tcW w:type="dxa" w:w="1656"/>
            <w:vAlign w:val="top"/>
            <w:shd w:fill="F1F5F9"/>
          </w:tcPr>
          <w:p>
            <w:pPr>
              <w:spacing w:after="0" w:before="0"/>
            </w:pPr>
            <w:r/>
            <w:r>
              <w:rPr>
                <w:rFonts w:ascii="Aptos" w:hAnsi="Aptos"/>
                <w:sz w:val="16"/>
              </w:rPr>
              <w:t>Tube appearance and transparency</w:t>
            </w:r>
          </w:p>
        </w:tc>
        <w:tc>
          <w:tcPr>
            <w:tcW w:type="dxa" w:w="1728"/>
            <w:vAlign w:val="top"/>
            <w:shd w:fill="F1F5F9"/>
          </w:tcPr>
          <w:p>
            <w:pPr>
              <w:spacing w:after="0" w:before="0"/>
            </w:pPr>
            <w:r/>
            <w:r>
              <w:rPr>
                <w:rFonts w:ascii="Aptos" w:hAnsi="Aptos"/>
                <w:sz w:val="16"/>
              </w:rPr>
              <w:t>WI p.2 §§5.1.1,5.1.4; p.6 visual</w:t>
            </w:r>
          </w:p>
        </w:tc>
        <w:tc>
          <w:tcPr>
            <w:tcW w:type="dxa" w:w="4752"/>
            <w:vAlign w:val="top"/>
            <w:shd w:fill="F1F5F9"/>
          </w:tcPr>
          <w:p>
            <w:pPr>
              <w:spacing w:after="0" w:before="0"/>
            </w:pPr>
            <w:r/>
            <w:r>
              <w:rPr>
                <w:rFonts w:ascii="Aptos" w:hAnsi="Aptos"/>
                <w:sz w:val="16"/>
              </w:rPr>
              <w:t>Smooth, transparent product without bumps, burn/black marks, foreign matter or surface irregularities; use approved visual standards.</w:t>
            </w:r>
          </w:p>
        </w:tc>
        <w:tc>
          <w:tcPr>
            <w:tcW w:type="dxa" w:w="1656"/>
            <w:vAlign w:val="top"/>
            <w:shd w:fill="F1F5F9"/>
          </w:tcPr>
          <w:p>
            <w:pPr>
              <w:spacing w:after="0" w:before="0"/>
            </w:pPr>
            <w:r/>
            <w:r>
              <w:rPr>
                <w:rFonts w:ascii="Aptos" w:hAnsi="Aptos"/>
                <w:sz w:val="16"/>
              </w:rPr>
              <w:t>Routine / In-process</w:t>
            </w:r>
          </w:p>
        </w:tc>
      </w:tr>
      <w:tr>
        <w:trPr>
          <w:cantSplit/>
        </w:trPr>
        <w:tc>
          <w:tcPr>
            <w:tcW w:type="dxa" w:w="1656"/>
            <w:vAlign w:val="top"/>
          </w:tcPr>
          <w:p>
            <w:pPr>
              <w:spacing w:after="0" w:before="0"/>
            </w:pPr>
            <w:r/>
            <w:r>
              <w:rPr>
                <w:rFonts w:ascii="Aptos" w:hAnsi="Aptos"/>
                <w:sz w:val="16"/>
              </w:rPr>
              <w:t>Lumen/tube dimensions</w:t>
            </w:r>
          </w:p>
        </w:tc>
        <w:tc>
          <w:tcPr>
            <w:tcW w:type="dxa" w:w="1728"/>
            <w:vAlign w:val="top"/>
          </w:tcPr>
          <w:p>
            <w:pPr>
              <w:spacing w:after="0" w:before="0"/>
            </w:pPr>
            <w:r/>
            <w:r>
              <w:rPr>
                <w:rFonts w:ascii="Aptos" w:hAnsi="Aptos"/>
                <w:sz w:val="16"/>
              </w:rPr>
              <w:t>WI p.2 §§5.1.1-5.1.3</w:t>
            </w:r>
          </w:p>
        </w:tc>
        <w:tc>
          <w:tcPr>
            <w:tcW w:type="dxa" w:w="4752"/>
            <w:vAlign w:val="top"/>
          </w:tcPr>
          <w:p>
            <w:pPr>
              <w:spacing w:after="0" w:before="0"/>
            </w:pPr>
            <w:r/>
            <w:r>
              <w:rPr>
                <w:rFonts w:ascii="Aptos" w:hAnsi="Aptos"/>
                <w:sz w:val="16"/>
              </w:rPr>
              <w:t>Controlled nominal ID/OD/length plus major/minor tracheal axes, Br OD and functional lumen IDs; see GAP-004 to GAP-006.</w:t>
            </w:r>
          </w:p>
        </w:tc>
        <w:tc>
          <w:tcPr>
            <w:tcW w:type="dxa" w:w="1656"/>
            <w:vAlign w:val="top"/>
          </w:tcPr>
          <w:p>
            <w:pPr>
              <w:spacing w:after="0" w:before="0"/>
            </w:pPr>
            <w:r/>
            <w:r>
              <w:rPr>
                <w:rFonts w:ascii="Aptos" w:hAnsi="Aptos"/>
                <w:sz w:val="16"/>
              </w:rPr>
              <w:t>Routine / qualification</w:t>
            </w:r>
          </w:p>
        </w:tc>
      </w:tr>
      <w:tr>
        <w:trPr>
          <w:cantSplit/>
        </w:trPr>
        <w:tc>
          <w:tcPr>
            <w:tcW w:type="dxa" w:w="1656"/>
            <w:vAlign w:val="top"/>
            <w:shd w:fill="F1F5F9"/>
          </w:tcPr>
          <w:p>
            <w:pPr>
              <w:spacing w:after="0" w:before="0"/>
            </w:pPr>
            <w:r/>
            <w:r>
              <w:rPr>
                <w:rFonts w:ascii="Aptos" w:hAnsi="Aptos"/>
                <w:sz w:val="16"/>
              </w:rPr>
              <w:t>Tracheal/bronchial cuff integrity</w:t>
            </w:r>
          </w:p>
        </w:tc>
        <w:tc>
          <w:tcPr>
            <w:tcW w:type="dxa" w:w="1728"/>
            <w:vAlign w:val="top"/>
            <w:shd w:fill="F1F5F9"/>
          </w:tcPr>
          <w:p>
            <w:pPr>
              <w:spacing w:after="0" w:before="0"/>
            </w:pPr>
            <w:r/>
            <w:r>
              <w:rPr>
                <w:rFonts w:ascii="Aptos" w:hAnsi="Aptos"/>
                <w:sz w:val="16"/>
              </w:rPr>
              <w:t>WI p.3 §§5.1.5-5.1.8</w:t>
            </w:r>
          </w:p>
        </w:tc>
        <w:tc>
          <w:tcPr>
            <w:tcW w:type="dxa" w:w="4752"/>
            <w:vAlign w:val="top"/>
            <w:shd w:fill="F1F5F9"/>
          </w:tcPr>
          <w:p>
            <w:pPr>
              <w:spacing w:after="0" w:before="0"/>
            </w:pPr>
            <w:r/>
            <w:r>
              <w:rPr>
                <w:rFonts w:ascii="Aptos" w:hAnsi="Aptos"/>
                <w:sz w:val="16"/>
              </w:rPr>
              <w:t>Appearance and attachment plus §10.6 leak, §10.7 diameter, §10.8 herniation; see GAP-009 to GAP-012.</w:t>
            </w:r>
          </w:p>
        </w:tc>
        <w:tc>
          <w:tcPr>
            <w:tcW w:type="dxa" w:w="1656"/>
            <w:vAlign w:val="top"/>
            <w:shd w:fill="F1F5F9"/>
          </w:tcPr>
          <w:p>
            <w:pPr>
              <w:spacing w:after="0" w:before="0"/>
            </w:pPr>
            <w:r/>
            <w:r>
              <w:rPr>
                <w:rFonts w:ascii="Aptos" w:hAnsi="Aptos"/>
                <w:sz w:val="16"/>
              </w:rPr>
              <w:t>Routine / qualification</w:t>
            </w:r>
          </w:p>
        </w:tc>
      </w:tr>
      <w:tr>
        <w:trPr>
          <w:cantSplit/>
        </w:trPr>
        <w:tc>
          <w:tcPr>
            <w:tcW w:type="dxa" w:w="1656"/>
            <w:vAlign w:val="top"/>
          </w:tcPr>
          <w:p>
            <w:pPr>
              <w:spacing w:after="0" w:before="0"/>
            </w:pPr>
            <w:r/>
            <w:r>
              <w:rPr>
                <w:rFonts w:ascii="Aptos" w:hAnsi="Aptos"/>
                <w:sz w:val="16"/>
              </w:rPr>
              <w:t>Inflation tubes, pilots and valves</w:t>
            </w:r>
          </w:p>
        </w:tc>
        <w:tc>
          <w:tcPr>
            <w:tcW w:type="dxa" w:w="1728"/>
            <w:vAlign w:val="top"/>
          </w:tcPr>
          <w:p>
            <w:pPr>
              <w:spacing w:after="0" w:before="0"/>
            </w:pPr>
            <w:r/>
            <w:r>
              <w:rPr>
                <w:rFonts w:ascii="Aptos" w:hAnsi="Aptos"/>
                <w:sz w:val="16"/>
              </w:rPr>
              <w:t>WI pp.3-4 §§5.1.9-5.1.13</w:t>
            </w:r>
          </w:p>
        </w:tc>
        <w:tc>
          <w:tcPr>
            <w:tcW w:type="dxa" w:w="4752"/>
            <w:vAlign w:val="top"/>
          </w:tcPr>
          <w:p>
            <w:pPr>
              <w:spacing w:after="0" w:before="0"/>
            </w:pPr>
            <w:r/>
            <w:r>
              <w:rPr>
                <w:rFonts w:ascii="Aptos" w:hAnsi="Aptos"/>
                <w:sz w:val="16"/>
              </w:rPr>
              <w:t>No leakage, blockage, detachment, hole or cracks; functional inflation/deflation and approved geometry.</w:t>
            </w:r>
          </w:p>
        </w:tc>
        <w:tc>
          <w:tcPr>
            <w:tcW w:type="dxa" w:w="1656"/>
            <w:vAlign w:val="top"/>
          </w:tcPr>
          <w:p>
            <w:pPr>
              <w:spacing w:after="0" w:before="0"/>
            </w:pPr>
            <w:r/>
            <w:r>
              <w:rPr>
                <w:rFonts w:ascii="Aptos" w:hAnsi="Aptos"/>
                <w:sz w:val="16"/>
              </w:rPr>
              <w:t>Routine / qualification</w:t>
            </w:r>
          </w:p>
        </w:tc>
      </w:tr>
      <w:tr>
        <w:trPr>
          <w:cantSplit/>
        </w:trPr>
        <w:tc>
          <w:tcPr>
            <w:tcW w:type="dxa" w:w="1656"/>
            <w:vAlign w:val="top"/>
            <w:shd w:fill="F1F5F9"/>
          </w:tcPr>
          <w:p>
            <w:pPr>
              <w:spacing w:after="0" w:before="0"/>
            </w:pPr>
            <w:r/>
            <w:r>
              <w:rPr>
                <w:rFonts w:ascii="Aptos" w:hAnsi="Aptos"/>
                <w:sz w:val="16"/>
              </w:rPr>
              <w:t>Bronchial and tracheal limbs</w:t>
            </w:r>
          </w:p>
        </w:tc>
        <w:tc>
          <w:tcPr>
            <w:tcW w:type="dxa" w:w="1728"/>
            <w:vAlign w:val="top"/>
            <w:shd w:fill="F1F5F9"/>
          </w:tcPr>
          <w:p>
            <w:pPr>
              <w:spacing w:after="0" w:before="0"/>
            </w:pPr>
            <w:r/>
            <w:r>
              <w:rPr>
                <w:rFonts w:ascii="Aptos" w:hAnsi="Aptos"/>
                <w:sz w:val="16"/>
              </w:rPr>
              <w:t>WI p.4 §§5.1.14-5.1.15</w:t>
            </w:r>
          </w:p>
        </w:tc>
        <w:tc>
          <w:tcPr>
            <w:tcW w:type="dxa" w:w="4752"/>
            <w:vAlign w:val="top"/>
            <w:shd w:fill="F1F5F9"/>
          </w:tcPr>
          <w:p>
            <w:pPr>
              <w:spacing w:after="0" w:before="0"/>
            </w:pPr>
            <w:r/>
            <w:r>
              <w:rPr>
                <w:rFonts w:ascii="Aptos" w:hAnsi="Aptos"/>
                <w:sz w:val="16"/>
              </w:rPr>
              <w:t>Correct colour, dimensions, no disconnection, adequate bonded/assembled fit, approved components.</w:t>
            </w:r>
          </w:p>
        </w:tc>
        <w:tc>
          <w:tcPr>
            <w:tcW w:type="dxa" w:w="1656"/>
            <w:vAlign w:val="top"/>
            <w:shd w:fill="F1F5F9"/>
          </w:tcPr>
          <w:p>
            <w:pPr>
              <w:spacing w:after="0" w:before="0"/>
            </w:pPr>
            <w:r/>
            <w:r>
              <w:rPr>
                <w:rFonts w:ascii="Aptos" w:hAnsi="Aptos"/>
                <w:sz w:val="16"/>
              </w:rPr>
              <w:t>Routine / In-process</w:t>
            </w:r>
          </w:p>
        </w:tc>
      </w:tr>
      <w:tr>
        <w:trPr>
          <w:cantSplit/>
        </w:trPr>
        <w:tc>
          <w:tcPr>
            <w:tcW w:type="dxa" w:w="1656"/>
            <w:vAlign w:val="top"/>
          </w:tcPr>
          <w:p>
            <w:pPr>
              <w:spacing w:after="0" w:before="0"/>
            </w:pPr>
            <w:r/>
            <w:r>
              <w:rPr>
                <w:rFonts w:ascii="Aptos" w:hAnsi="Aptos"/>
                <w:sz w:val="16"/>
              </w:rPr>
              <w:t>Endo / Y / 4-way connectors</w:t>
            </w:r>
          </w:p>
        </w:tc>
        <w:tc>
          <w:tcPr>
            <w:tcW w:type="dxa" w:w="1728"/>
            <w:vAlign w:val="top"/>
          </w:tcPr>
          <w:p>
            <w:pPr>
              <w:spacing w:after="0" w:before="0"/>
            </w:pPr>
            <w:r/>
            <w:r>
              <w:rPr>
                <w:rFonts w:ascii="Aptos" w:hAnsi="Aptos"/>
                <w:sz w:val="16"/>
              </w:rPr>
              <w:t>WI pp.2,4-5</w:t>
            </w:r>
          </w:p>
        </w:tc>
        <w:tc>
          <w:tcPr>
            <w:tcW w:type="dxa" w:w="4752"/>
            <w:vAlign w:val="top"/>
          </w:tcPr>
          <w:p>
            <w:pPr>
              <w:spacing w:after="0" w:before="0"/>
            </w:pPr>
            <w:r/>
            <w:r>
              <w:rPr>
                <w:rFonts w:ascii="Aptos" w:hAnsi="Aptos"/>
                <w:sz w:val="16"/>
              </w:rPr>
              <w:t>Smooth, undamaged, no flashing, correct fit and conical evidence for machine-end.</w:t>
            </w:r>
          </w:p>
        </w:tc>
        <w:tc>
          <w:tcPr>
            <w:tcW w:type="dxa" w:w="1656"/>
            <w:vAlign w:val="top"/>
          </w:tcPr>
          <w:p>
            <w:pPr>
              <w:spacing w:after="0" w:before="0"/>
            </w:pPr>
            <w:r/>
            <w:r>
              <w:rPr>
                <w:rFonts w:ascii="Aptos" w:hAnsi="Aptos"/>
                <w:sz w:val="16"/>
              </w:rPr>
              <w:t>Routine / qualification</w:t>
            </w:r>
          </w:p>
        </w:tc>
      </w:tr>
      <w:tr>
        <w:trPr>
          <w:cantSplit/>
        </w:trPr>
        <w:tc>
          <w:tcPr>
            <w:tcW w:type="dxa" w:w="1656"/>
            <w:vAlign w:val="top"/>
            <w:shd w:fill="F1F5F9"/>
          </w:tcPr>
          <w:p>
            <w:pPr>
              <w:spacing w:after="0" w:before="0"/>
            </w:pPr>
            <w:r/>
            <w:r>
              <w:rPr>
                <w:rFonts w:ascii="Aptos" w:hAnsi="Aptos"/>
                <w:sz w:val="16"/>
              </w:rPr>
              <w:t>X-ray line</w:t>
            </w:r>
          </w:p>
        </w:tc>
        <w:tc>
          <w:tcPr>
            <w:tcW w:type="dxa" w:w="1728"/>
            <w:vAlign w:val="top"/>
            <w:shd w:fill="F1F5F9"/>
          </w:tcPr>
          <w:p>
            <w:pPr>
              <w:spacing w:after="0" w:before="0"/>
            </w:pPr>
            <w:r/>
            <w:r>
              <w:rPr>
                <w:rFonts w:ascii="Aptos" w:hAnsi="Aptos"/>
                <w:sz w:val="16"/>
              </w:rPr>
              <w:t>WI pp.2,4</w:t>
            </w:r>
          </w:p>
        </w:tc>
        <w:tc>
          <w:tcPr>
            <w:tcW w:type="dxa" w:w="4752"/>
            <w:vAlign w:val="top"/>
            <w:shd w:fill="F1F5F9"/>
          </w:tcPr>
          <w:p>
            <w:pPr>
              <w:spacing w:after="0" w:before="0"/>
            </w:pPr>
            <w:r/>
            <w:r>
              <w:rPr>
                <w:rFonts w:ascii="Aptos" w:hAnsi="Aptos"/>
                <w:sz w:val="16"/>
              </w:rPr>
              <w:t>Visible dark-blue line and approved markings; radiographic qualification only where applicable and established.</w:t>
            </w:r>
          </w:p>
        </w:tc>
        <w:tc>
          <w:tcPr>
            <w:tcW w:type="dxa" w:w="1656"/>
            <w:vAlign w:val="top"/>
            <w:shd w:fill="F1F5F9"/>
          </w:tcPr>
          <w:p>
            <w:pPr>
              <w:spacing w:after="0" w:before="0"/>
            </w:pPr>
            <w:r/>
            <w:r>
              <w:rPr>
                <w:rFonts w:ascii="Aptos" w:hAnsi="Aptos"/>
                <w:sz w:val="16"/>
              </w:rPr>
              <w:t>Routine / qualification</w:t>
            </w:r>
          </w:p>
        </w:tc>
      </w:tr>
      <w:tr>
        <w:trPr>
          <w:cantSplit/>
        </w:trPr>
        <w:tc>
          <w:tcPr>
            <w:tcW w:type="dxa" w:w="1656"/>
            <w:vAlign w:val="top"/>
          </w:tcPr>
          <w:p>
            <w:pPr>
              <w:spacing w:after="0" w:before="0"/>
            </w:pPr>
            <w:r/>
            <w:r>
              <w:rPr>
                <w:rFonts w:ascii="Aptos" w:hAnsi="Aptos"/>
                <w:sz w:val="16"/>
              </w:rPr>
              <w:t>Swivel adaptors, 3-way swivel, tubes</w:t>
            </w:r>
          </w:p>
        </w:tc>
        <w:tc>
          <w:tcPr>
            <w:tcW w:type="dxa" w:w="1728"/>
            <w:vAlign w:val="top"/>
          </w:tcPr>
          <w:p>
            <w:pPr>
              <w:spacing w:after="0" w:before="0"/>
            </w:pPr>
            <w:r/>
            <w:r>
              <w:rPr>
                <w:rFonts w:ascii="Aptos" w:hAnsi="Aptos"/>
                <w:sz w:val="16"/>
              </w:rPr>
              <w:t>WI pp.2,4-5</w:t>
            </w:r>
          </w:p>
        </w:tc>
        <w:tc>
          <w:tcPr>
            <w:tcW w:type="dxa" w:w="4752"/>
            <w:vAlign w:val="top"/>
          </w:tcPr>
          <w:p>
            <w:pPr>
              <w:spacing w:after="0" w:before="0"/>
            </w:pPr>
            <w:r/>
            <w:r>
              <w:rPr>
                <w:rFonts w:ascii="Aptos" w:hAnsi="Aptos"/>
                <w:sz w:val="16"/>
              </w:rPr>
              <w:t>No cracks or damaged edges; appropriate fit, smooth rotation where applicable, no holes.</w:t>
            </w:r>
          </w:p>
        </w:tc>
        <w:tc>
          <w:tcPr>
            <w:tcW w:type="dxa" w:w="1656"/>
            <w:vAlign w:val="top"/>
          </w:tcPr>
          <w:p>
            <w:pPr>
              <w:spacing w:after="0" w:before="0"/>
            </w:pPr>
            <w:r/>
            <w:r>
              <w:rPr>
                <w:rFonts w:ascii="Aptos" w:hAnsi="Aptos"/>
                <w:sz w:val="16"/>
              </w:rPr>
              <w:t>Routine</w:t>
            </w:r>
          </w:p>
        </w:tc>
      </w:tr>
      <w:tr>
        <w:trPr>
          <w:cantSplit/>
        </w:trPr>
        <w:tc>
          <w:tcPr>
            <w:tcW w:type="dxa" w:w="1656"/>
            <w:vAlign w:val="top"/>
            <w:shd w:fill="F1F5F9"/>
          </w:tcPr>
          <w:p>
            <w:pPr>
              <w:spacing w:after="0" w:before="0"/>
            </w:pPr>
            <w:r/>
            <w:r>
              <w:rPr>
                <w:rFonts w:ascii="Aptos" w:hAnsi="Aptos"/>
                <w:sz w:val="16"/>
              </w:rPr>
              <w:t>Endoscopic T connector and cover</w:t>
            </w:r>
          </w:p>
        </w:tc>
        <w:tc>
          <w:tcPr>
            <w:tcW w:type="dxa" w:w="1728"/>
            <w:vAlign w:val="top"/>
            <w:shd w:fill="F1F5F9"/>
          </w:tcPr>
          <w:p>
            <w:pPr>
              <w:spacing w:after="0" w:before="0"/>
            </w:pPr>
            <w:r/>
            <w:r>
              <w:rPr>
                <w:rFonts w:ascii="Aptos" w:hAnsi="Aptos"/>
                <w:sz w:val="16"/>
              </w:rPr>
              <w:t>WI p.4 §§5.1.19-5.1.20</w:t>
            </w:r>
          </w:p>
        </w:tc>
        <w:tc>
          <w:tcPr>
            <w:tcW w:type="dxa" w:w="4752"/>
            <w:vAlign w:val="top"/>
            <w:shd w:fill="F1F5F9"/>
          </w:tcPr>
          <w:p>
            <w:pPr>
              <w:spacing w:after="0" w:before="0"/>
            </w:pPr>
            <w:r/>
            <w:r>
              <w:rPr>
                <w:rFonts w:ascii="Aptos" w:hAnsi="Aptos"/>
                <w:sz w:val="16"/>
              </w:rPr>
              <w:t>Correct undamaged connector/cover, proper assembly, flexibility where specified.</w:t>
            </w:r>
          </w:p>
        </w:tc>
        <w:tc>
          <w:tcPr>
            <w:tcW w:type="dxa" w:w="1656"/>
            <w:vAlign w:val="top"/>
            <w:shd w:fill="F1F5F9"/>
          </w:tcPr>
          <w:p>
            <w:pPr>
              <w:spacing w:after="0" w:before="0"/>
            </w:pPr>
            <w:r/>
            <w:r>
              <w:rPr>
                <w:rFonts w:ascii="Aptos" w:hAnsi="Aptos"/>
                <w:sz w:val="16"/>
              </w:rPr>
              <w:t>Routine</w:t>
            </w:r>
          </w:p>
        </w:tc>
      </w:tr>
      <w:tr>
        <w:trPr>
          <w:cantSplit/>
        </w:trPr>
        <w:tc>
          <w:tcPr>
            <w:tcW w:type="dxa" w:w="1656"/>
            <w:vAlign w:val="top"/>
          </w:tcPr>
          <w:p>
            <w:pPr>
              <w:spacing w:after="0" w:before="0"/>
            </w:pPr>
            <w:r/>
            <w:r>
              <w:rPr>
                <w:rFonts w:ascii="Aptos" w:hAnsi="Aptos"/>
                <w:sz w:val="16"/>
              </w:rPr>
              <w:t>Subordinate rotatable connector</w:t>
            </w:r>
          </w:p>
        </w:tc>
        <w:tc>
          <w:tcPr>
            <w:tcW w:type="dxa" w:w="1728"/>
            <w:vAlign w:val="top"/>
          </w:tcPr>
          <w:p>
            <w:pPr>
              <w:spacing w:after="0" w:before="0"/>
            </w:pPr>
            <w:r/>
            <w:r>
              <w:rPr>
                <w:rFonts w:ascii="Aptos" w:hAnsi="Aptos"/>
                <w:sz w:val="16"/>
              </w:rPr>
              <w:t>WI p.5 §5.1.21</w:t>
            </w:r>
          </w:p>
        </w:tc>
        <w:tc>
          <w:tcPr>
            <w:tcW w:type="dxa" w:w="4752"/>
            <w:vAlign w:val="top"/>
          </w:tcPr>
          <w:p>
            <w:pPr>
              <w:spacing w:after="0" w:before="0"/>
            </w:pPr>
            <w:r/>
            <w:r>
              <w:rPr>
                <w:rFonts w:ascii="Aptos" w:hAnsi="Aptos"/>
                <w:sz w:val="16"/>
              </w:rPr>
              <w:t>Smooth rotation and correct fitting, no damage/crack.</w:t>
            </w:r>
          </w:p>
        </w:tc>
        <w:tc>
          <w:tcPr>
            <w:tcW w:type="dxa" w:w="1656"/>
            <w:vAlign w:val="top"/>
          </w:tcPr>
          <w:p>
            <w:pPr>
              <w:spacing w:after="0" w:before="0"/>
            </w:pPr>
            <w:r/>
            <w:r>
              <w:rPr>
                <w:rFonts w:ascii="Aptos" w:hAnsi="Aptos"/>
                <w:sz w:val="16"/>
              </w:rPr>
              <w:t>Routine</w:t>
            </w:r>
          </w:p>
        </w:tc>
      </w:tr>
      <w:tr>
        <w:trPr>
          <w:cantSplit/>
        </w:trPr>
        <w:tc>
          <w:tcPr>
            <w:tcW w:type="dxa" w:w="1656"/>
            <w:vAlign w:val="top"/>
            <w:shd w:fill="F1F5F9"/>
          </w:tcPr>
          <w:p>
            <w:pPr>
              <w:spacing w:after="0" w:before="0"/>
            </w:pPr>
            <w:r/>
            <w:r>
              <w:rPr>
                <w:rFonts w:ascii="Aptos" w:hAnsi="Aptos"/>
                <w:sz w:val="16"/>
              </w:rPr>
              <w:t>Stylet</w:t>
            </w:r>
          </w:p>
        </w:tc>
        <w:tc>
          <w:tcPr>
            <w:tcW w:type="dxa" w:w="1728"/>
            <w:vAlign w:val="top"/>
            <w:shd w:fill="F1F5F9"/>
          </w:tcPr>
          <w:p>
            <w:pPr>
              <w:spacing w:after="0" w:before="0"/>
            </w:pPr>
            <w:r/>
            <w:r>
              <w:rPr>
                <w:rFonts w:ascii="Aptos" w:hAnsi="Aptos"/>
                <w:sz w:val="16"/>
              </w:rPr>
              <w:t>WI p.5 §5.1.22</w:t>
            </w:r>
          </w:p>
        </w:tc>
        <w:tc>
          <w:tcPr>
            <w:tcW w:type="dxa" w:w="4752"/>
            <w:vAlign w:val="top"/>
            <w:shd w:fill="F1F5F9"/>
          </w:tcPr>
          <w:p>
            <w:pPr>
              <w:spacing w:after="0" w:before="0"/>
            </w:pPr>
            <w:r/>
            <w:r>
              <w:rPr>
                <w:rFonts w:ascii="Aptos" w:hAnsi="Aptos"/>
                <w:sz w:val="16"/>
              </w:rPr>
              <w:t>Aluminium type, flexible smooth surface and not damaged, only for SKUs containing stylet.</w:t>
            </w:r>
          </w:p>
        </w:tc>
        <w:tc>
          <w:tcPr>
            <w:tcW w:type="dxa" w:w="1656"/>
            <w:vAlign w:val="top"/>
            <w:shd w:fill="F1F5F9"/>
          </w:tcPr>
          <w:p>
            <w:pPr>
              <w:spacing w:after="0" w:before="0"/>
            </w:pPr>
            <w:r/>
            <w:r>
              <w:rPr>
                <w:rFonts w:ascii="Aptos" w:hAnsi="Aptos"/>
                <w:sz w:val="16"/>
              </w:rPr>
              <w:t>Routine</w:t>
            </w:r>
          </w:p>
        </w:tc>
      </w:tr>
      <w:tr>
        <w:trPr>
          <w:cantSplit/>
        </w:trPr>
        <w:tc>
          <w:tcPr>
            <w:tcW w:type="dxa" w:w="1656"/>
            <w:vAlign w:val="top"/>
          </w:tcPr>
          <w:p>
            <w:pPr>
              <w:spacing w:after="0" w:before="0"/>
            </w:pPr>
            <w:r/>
            <w:r>
              <w:rPr>
                <w:rFonts w:ascii="Aptos" w:hAnsi="Aptos"/>
                <w:sz w:val="16"/>
              </w:rPr>
              <w:t>Both patient-end tips</w:t>
            </w:r>
          </w:p>
        </w:tc>
        <w:tc>
          <w:tcPr>
            <w:tcW w:type="dxa" w:w="1728"/>
            <w:vAlign w:val="top"/>
          </w:tcPr>
          <w:p>
            <w:pPr>
              <w:spacing w:after="0" w:before="0"/>
            </w:pPr>
            <w:r/>
            <w:r>
              <w:rPr>
                <w:rFonts w:ascii="Aptos" w:hAnsi="Aptos"/>
                <w:sz w:val="16"/>
              </w:rPr>
              <w:t>WI p.5 §§5.1.23-5.1.24</w:t>
            </w:r>
          </w:p>
        </w:tc>
        <w:tc>
          <w:tcPr>
            <w:tcW w:type="dxa" w:w="4752"/>
            <w:vAlign w:val="top"/>
          </w:tcPr>
          <w:p>
            <w:pPr>
              <w:spacing w:after="0" w:before="0"/>
            </w:pPr>
            <w:r/>
            <w:r>
              <w:rPr>
                <w:rFonts w:ascii="Aptos" w:hAnsi="Aptos"/>
                <w:sz w:val="16"/>
              </w:rPr>
              <w:t>No sharp edges or blockage; smooth and specified bronchial curvature.</w:t>
            </w:r>
          </w:p>
        </w:tc>
        <w:tc>
          <w:tcPr>
            <w:tcW w:type="dxa" w:w="1656"/>
            <w:vAlign w:val="top"/>
          </w:tcPr>
          <w:p>
            <w:pPr>
              <w:spacing w:after="0" w:before="0"/>
            </w:pPr>
            <w:r/>
            <w:r>
              <w:rPr>
                <w:rFonts w:ascii="Aptos" w:hAnsi="Aptos"/>
                <w:sz w:val="16"/>
              </w:rPr>
              <w:t>Routine</w:t>
            </w:r>
          </w:p>
        </w:tc>
      </w:tr>
      <w:tr>
        <w:trPr>
          <w:cantSplit/>
        </w:trPr>
        <w:tc>
          <w:tcPr>
            <w:tcW w:type="dxa" w:w="1656"/>
            <w:vAlign w:val="top"/>
            <w:shd w:fill="F1F5F9"/>
          </w:tcPr>
          <w:p>
            <w:pPr>
              <w:spacing w:after="0" w:before="0"/>
            </w:pPr>
            <w:r/>
            <w:r>
              <w:rPr>
                <w:rFonts w:ascii="Aptos" w:hAnsi="Aptos"/>
                <w:sz w:val="16"/>
              </w:rPr>
              <w:t>Suction catheter and bonding</w:t>
            </w:r>
          </w:p>
        </w:tc>
        <w:tc>
          <w:tcPr>
            <w:tcW w:type="dxa" w:w="1728"/>
            <w:vAlign w:val="top"/>
            <w:shd w:fill="F1F5F9"/>
          </w:tcPr>
          <w:p>
            <w:pPr>
              <w:spacing w:after="0" w:before="0"/>
            </w:pPr>
            <w:r/>
            <w:r>
              <w:rPr>
                <w:rFonts w:ascii="Aptos" w:hAnsi="Aptos"/>
                <w:sz w:val="16"/>
              </w:rPr>
              <w:t>WI pp.5,10 §§5.1.28-5.1.29</w:t>
            </w:r>
          </w:p>
        </w:tc>
        <w:tc>
          <w:tcPr>
            <w:tcW w:type="dxa" w:w="4752"/>
            <w:vAlign w:val="top"/>
            <w:shd w:fill="F1F5F9"/>
          </w:tcPr>
          <w:p>
            <w:pPr>
              <w:spacing w:after="0" w:before="0"/>
            </w:pPr>
            <w:r/>
            <w:r>
              <w:rPr>
                <w:rFonts w:ascii="Aptos" w:hAnsi="Aptos"/>
                <w:sz w:val="16"/>
              </w:rPr>
              <w:t>Free of debris; applicable bonding controls and full accessory qualification, if supplied.</w:t>
            </w:r>
          </w:p>
        </w:tc>
        <w:tc>
          <w:tcPr>
            <w:tcW w:type="dxa" w:w="1656"/>
            <w:vAlign w:val="top"/>
            <w:shd w:fill="F1F5F9"/>
          </w:tcPr>
          <w:p>
            <w:pPr>
              <w:spacing w:after="0" w:before="0"/>
            </w:pPr>
            <w:r/>
            <w:r>
              <w:rPr>
                <w:rFonts w:ascii="Aptos" w:hAnsi="Aptos"/>
                <w:sz w:val="16"/>
              </w:rPr>
              <w:t>Conditional Incoming / Qualification</w:t>
            </w:r>
          </w:p>
        </w:tc>
      </w:tr>
      <w:tr>
        <w:trPr>
          <w:cantSplit/>
        </w:trPr>
        <w:tc>
          <w:tcPr>
            <w:tcW w:type="dxa" w:w="1656"/>
            <w:vAlign w:val="top"/>
          </w:tcPr>
          <w:p>
            <w:pPr>
              <w:spacing w:after="0" w:before="0"/>
            </w:pPr>
            <w:r/>
            <w:r>
              <w:rPr>
                <w:rFonts w:ascii="Aptos" w:hAnsi="Aptos"/>
                <w:sz w:val="16"/>
              </w:rPr>
              <w:t>Markings / side / colour / graduation</w:t>
            </w:r>
          </w:p>
        </w:tc>
        <w:tc>
          <w:tcPr>
            <w:tcW w:type="dxa" w:w="1728"/>
            <w:vAlign w:val="top"/>
          </w:tcPr>
          <w:p>
            <w:pPr>
              <w:spacing w:after="0" w:before="0"/>
            </w:pPr>
            <w:r/>
            <w:r>
              <w:rPr>
                <w:rFonts w:ascii="Aptos" w:hAnsi="Aptos"/>
                <w:sz w:val="16"/>
              </w:rPr>
              <w:t>WI pp.5-6 §5.1.26-27</w:t>
            </w:r>
          </w:p>
        </w:tc>
        <w:tc>
          <w:tcPr>
            <w:tcW w:type="dxa" w:w="4752"/>
            <w:vAlign w:val="top"/>
          </w:tcPr>
          <w:p>
            <w:pPr>
              <w:spacing w:after="0" w:before="0"/>
            </w:pPr>
            <w:r/>
            <w:r>
              <w:rPr>
                <w:rFonts w:ascii="Aptos" w:hAnsi="Aptos"/>
                <w:sz w:val="16"/>
              </w:rPr>
              <w:t>Correct blue bronchial features, correct side, both IDs, Br marking and 2-cm graduations; durability evidence.</w:t>
            </w:r>
          </w:p>
        </w:tc>
        <w:tc>
          <w:tcPr>
            <w:tcW w:type="dxa" w:w="1656"/>
            <w:vAlign w:val="top"/>
          </w:tcPr>
          <w:p>
            <w:pPr>
              <w:spacing w:after="0" w:before="0"/>
            </w:pPr>
            <w:r/>
            <w:r>
              <w:rPr>
                <w:rFonts w:ascii="Aptos" w:hAnsi="Aptos"/>
                <w:sz w:val="16"/>
              </w:rPr>
              <w:t>Routine / Qualification</w:t>
            </w:r>
          </w:p>
        </w:tc>
      </w:tr>
      <w:tr>
        <w:trPr>
          <w:cantSplit/>
        </w:trPr>
        <w:tc>
          <w:tcPr>
            <w:tcW w:type="dxa" w:w="1656"/>
            <w:vAlign w:val="top"/>
            <w:shd w:fill="F1F5F9"/>
          </w:tcPr>
          <w:p>
            <w:pPr>
              <w:spacing w:after="0" w:before="0"/>
            </w:pPr>
            <w:r/>
            <w:r>
              <w:rPr>
                <w:rFonts w:ascii="Aptos" w:hAnsi="Aptos"/>
                <w:sz w:val="16"/>
              </w:rPr>
              <w:t>Packaging, label and chamber trace</w:t>
            </w:r>
          </w:p>
        </w:tc>
        <w:tc>
          <w:tcPr>
            <w:tcW w:type="dxa" w:w="1728"/>
            <w:vAlign w:val="top"/>
            <w:shd w:fill="F1F5F9"/>
          </w:tcPr>
          <w:p>
            <w:pPr>
              <w:spacing w:after="0" w:before="0"/>
            </w:pPr>
            <w:r/>
            <w:r>
              <w:rPr>
                <w:rFonts w:ascii="Aptos" w:hAnsi="Aptos"/>
                <w:sz w:val="16"/>
              </w:rPr>
              <w:t>WI p.10 §§8-9</w:t>
            </w:r>
          </w:p>
        </w:tc>
        <w:tc>
          <w:tcPr>
            <w:tcW w:type="dxa" w:w="4752"/>
            <w:vAlign w:val="top"/>
            <w:shd w:fill="F1F5F9"/>
          </w:tcPr>
          <w:p>
            <w:pPr>
              <w:spacing w:after="0" w:before="0"/>
            </w:pPr>
            <w:r/>
            <w:r>
              <w:rPr>
                <w:rFonts w:ascii="Aptos" w:hAnsi="Aptos"/>
                <w:sz w:val="16"/>
              </w:rPr>
              <w:t>Sealed proper pouch, approved label, pack code/lot/dates, documented chamber/load identifier if sterilized.</w:t>
            </w:r>
          </w:p>
        </w:tc>
        <w:tc>
          <w:tcPr>
            <w:tcW w:type="dxa" w:w="1656"/>
            <w:vAlign w:val="top"/>
            <w:shd w:fill="F1F5F9"/>
          </w:tcPr>
          <w:p>
            <w:pPr>
              <w:spacing w:after="0" w:before="0"/>
            </w:pPr>
            <w:r/>
            <w:r>
              <w:rPr>
                <w:rFonts w:ascii="Aptos" w:hAnsi="Aptos"/>
                <w:sz w:val="16"/>
              </w:rPr>
              <w:t>In-process / final</w:t>
            </w:r>
          </w:p>
        </w:tc>
      </w:tr>
      <w:tr>
        <w:trPr>
          <w:cantSplit/>
        </w:trPr>
        <w:tc>
          <w:tcPr>
            <w:tcW w:type="dxa" w:w="1656"/>
            <w:vAlign w:val="top"/>
          </w:tcPr>
          <w:p>
            <w:pPr>
              <w:spacing w:after="0" w:before="0"/>
            </w:pPr>
            <w:r/>
            <w:r>
              <w:rPr>
                <w:rFonts w:ascii="Aptos" w:hAnsi="Aptos"/>
                <w:sz w:val="16"/>
              </w:rPr>
              <w:t>Final inspection/release</w:t>
            </w:r>
          </w:p>
        </w:tc>
        <w:tc>
          <w:tcPr>
            <w:tcW w:type="dxa" w:w="1728"/>
            <w:vAlign w:val="top"/>
          </w:tcPr>
          <w:p>
            <w:pPr>
              <w:spacing w:after="0" w:before="0"/>
            </w:pPr>
            <w:r/>
            <w:r>
              <w:rPr>
                <w:rFonts w:ascii="Aptos" w:hAnsi="Aptos"/>
                <w:sz w:val="16"/>
              </w:rPr>
              <w:t>WI p.10 §9</w:t>
            </w:r>
          </w:p>
        </w:tc>
        <w:tc>
          <w:tcPr>
            <w:tcW w:type="dxa" w:w="4752"/>
            <w:vAlign w:val="top"/>
          </w:tcPr>
          <w:p>
            <w:pPr>
              <w:spacing w:after="0" w:before="0"/>
            </w:pPr>
            <w:r/>
            <w:r>
              <w:rPr>
                <w:rFonts w:ascii="Aptos" w:hAnsi="Aptos"/>
                <w:sz w:val="16"/>
              </w:rPr>
              <w:t>Approved sampling, complete results, segregation of failures, authorized final release.</w:t>
            </w:r>
          </w:p>
        </w:tc>
        <w:tc>
          <w:tcPr>
            <w:tcW w:type="dxa" w:w="1656"/>
            <w:vAlign w:val="top"/>
          </w:tcPr>
          <w:p>
            <w:pPr>
              <w:spacing w:after="0" w:before="0"/>
            </w:pPr>
            <w:r/>
            <w:r>
              <w:rPr>
                <w:rFonts w:ascii="Aptos" w:hAnsi="Aptos"/>
                <w:sz w:val="16"/>
              </w:rPr>
              <w:t>Final</w:t>
            </w:r>
          </w:p>
        </w:tc>
      </w:tr>
    </w:tbl>
    <w:p>
      <w:pPr>
        <w:pStyle w:val="Heading1"/>
      </w:pPr>
      <w:r>
        <w:t>Table B — Revision history</w:t>
      </w:r>
    </w:p>
    <w:tbl>
      <w:tblPr>
        <w:tblStyle w:val="TableGrid"/>
        <w:tblW w:type="auto" w:w="0"/>
        <w:jc w:val="center"/>
        <w:tblLayout w:type="fixed"/>
        <w:tblLook w:firstColumn="1" w:firstRow="1" w:lastColumn="0" w:lastRow="0" w:noHBand="0" w:noVBand="1" w:val="04A0"/>
      </w:tblPr>
      <w:tblGrid>
        <w:gridCol w:w="1584"/>
        <w:gridCol w:w="1584"/>
        <w:gridCol w:w="3816"/>
        <w:gridCol w:w="2808"/>
      </w:tblGrid>
      <w:tr>
        <w:trPr>
          <w:tblHeader w:val="true"/>
        </w:trPr>
        <w:tc>
          <w:tcPr>
            <w:tcW w:type="dxa" w:w="2592"/>
            <w:vAlign w:val="top"/>
            <w:shd w:fill="213F5D"/>
          </w:tcPr>
          <w:p>
            <w:pPr>
              <w:spacing w:after="0" w:before="0"/>
            </w:pPr>
            <w:r>
              <w:rPr>
                <w:b/>
                <w:color w:val="FFFFFF"/>
              </w:rPr>
            </w:r>
            <w:r>
              <w:rPr>
                <w:rFonts w:ascii="Aptos" w:hAnsi="Aptos"/>
                <w:b/>
                <w:color w:val="FFFFFF"/>
                <w:sz w:val="16"/>
              </w:rPr>
              <w:t>Status</w:t>
            </w:r>
          </w:p>
        </w:tc>
        <w:tc>
          <w:tcPr>
            <w:tcW w:type="dxa" w:w="2592"/>
            <w:vAlign w:val="top"/>
            <w:shd w:fill="213F5D"/>
          </w:tcPr>
          <w:p>
            <w:pPr>
              <w:spacing w:after="0" w:before="0"/>
            </w:pPr>
            <w:r>
              <w:rPr>
                <w:b/>
                <w:color w:val="FFFFFF"/>
              </w:rPr>
            </w:r>
            <w:r>
              <w:rPr>
                <w:rFonts w:ascii="Aptos" w:hAnsi="Aptos"/>
                <w:b/>
                <w:color w:val="FFFFFF"/>
                <w:sz w:val="16"/>
              </w:rPr>
              <w:t>Baseline / proposed</w:t>
            </w:r>
          </w:p>
        </w:tc>
        <w:tc>
          <w:tcPr>
            <w:tcW w:type="dxa" w:w="2592"/>
            <w:vAlign w:val="top"/>
            <w:shd w:fill="213F5D"/>
          </w:tcPr>
          <w:p>
            <w:pPr>
              <w:spacing w:after="0" w:before="0"/>
            </w:pPr>
            <w:r>
              <w:rPr>
                <w:b/>
                <w:color w:val="FFFFFF"/>
              </w:rPr>
            </w:r>
            <w:r>
              <w:rPr>
                <w:rFonts w:ascii="Aptos" w:hAnsi="Aptos"/>
                <w:b/>
                <w:color w:val="FFFFFF"/>
                <w:sz w:val="16"/>
              </w:rPr>
              <w:t>Technical change</w:t>
            </w:r>
          </w:p>
        </w:tc>
        <w:tc>
          <w:tcPr>
            <w:tcW w:type="dxa" w:w="2592"/>
            <w:vAlign w:val="top"/>
            <w:shd w:fill="213F5D"/>
          </w:tcPr>
          <w:p>
            <w:pPr>
              <w:spacing w:after="0" w:before="0"/>
            </w:pPr>
            <w:r>
              <w:rPr>
                <w:b/>
                <w:color w:val="FFFFFF"/>
              </w:rPr>
            </w:r>
            <w:r>
              <w:rPr>
                <w:rFonts w:ascii="Aptos" w:hAnsi="Aptos"/>
                <w:b/>
                <w:color w:val="FFFFFF"/>
                <w:sz w:val="16"/>
              </w:rPr>
              <w:t>Approval</w:t>
            </w:r>
          </w:p>
        </w:tc>
      </w:tr>
      <w:tr>
        <w:trPr>
          <w:cantSplit/>
        </w:trPr>
        <w:tc>
          <w:tcPr>
            <w:tcW w:type="dxa" w:w="1584"/>
            <w:vAlign w:val="top"/>
          </w:tcPr>
          <w:p>
            <w:pPr>
              <w:spacing w:after="0" w:before="0"/>
            </w:pPr>
            <w:r/>
            <w:r>
              <w:rPr>
                <w:rFonts w:ascii="Aptos" w:hAnsi="Aptos"/>
                <w:sz w:val="16"/>
              </w:rPr>
              <w:t>Existing controlled source</w:t>
            </w:r>
          </w:p>
        </w:tc>
        <w:tc>
          <w:tcPr>
            <w:tcW w:type="dxa" w:w="1584"/>
            <w:vAlign w:val="top"/>
          </w:tcPr>
          <w:p>
            <w:pPr>
              <w:spacing w:after="0" w:before="0"/>
            </w:pPr>
            <w:r/>
            <w:r>
              <w:rPr>
                <w:rFonts w:ascii="Aptos" w:hAnsi="Aptos"/>
                <w:sz w:val="16"/>
              </w:rPr>
              <w:t>Rev 00 / 05 Dec 2023</w:t>
            </w:r>
          </w:p>
        </w:tc>
        <w:tc>
          <w:tcPr>
            <w:tcW w:type="dxa" w:w="3816"/>
            <w:vAlign w:val="top"/>
          </w:tcPr>
          <w:p>
            <w:pPr>
              <w:spacing w:after="0" w:before="0"/>
            </w:pPr>
            <w:r/>
            <w:r>
              <w:rPr>
                <w:rFonts w:ascii="Aptos" w:hAnsi="Aptos"/>
                <w:sz w:val="16"/>
              </w:rPr>
              <w:t>Photographed existing WI (11 pages)</w:t>
            </w:r>
          </w:p>
        </w:tc>
        <w:tc>
          <w:tcPr>
            <w:tcW w:type="dxa" w:w="2808"/>
            <w:vAlign w:val="top"/>
          </w:tcPr>
          <w:p>
            <w:pPr>
              <w:spacing w:after="0" w:before="0"/>
            </w:pPr>
            <w:r/>
            <w:r>
              <w:rPr>
                <w:rFonts w:ascii="Aptos" w:hAnsi="Aptos"/>
                <w:sz w:val="16"/>
              </w:rPr>
              <w:t>Existing source signatures only; validity not independently checked</w:t>
            </w:r>
          </w:p>
        </w:tc>
      </w:tr>
      <w:tr>
        <w:trPr>
          <w:cantSplit/>
        </w:trPr>
        <w:tc>
          <w:tcPr>
            <w:tcW w:type="dxa" w:w="1584"/>
            <w:vAlign w:val="top"/>
            <w:shd w:fill="F1F5F9"/>
          </w:tcPr>
          <w:p>
            <w:pPr>
              <w:spacing w:after="0" w:before="0"/>
            </w:pPr>
            <w:r/>
            <w:r>
              <w:rPr>
                <w:rFonts w:ascii="Aptos" w:hAnsi="Aptos"/>
                <w:sz w:val="16"/>
              </w:rPr>
              <w:t>PROPOSED DRAFT</w:t>
            </w:r>
          </w:p>
        </w:tc>
        <w:tc>
          <w:tcPr>
            <w:tcW w:type="dxa" w:w="1584"/>
            <w:vAlign w:val="top"/>
            <w:shd w:fill="F1F5F9"/>
          </w:tcPr>
          <w:p>
            <w:pPr>
              <w:spacing w:after="0" w:before="0"/>
            </w:pPr>
            <w:r/>
            <w:r>
              <w:rPr>
                <w:rFonts w:ascii="Aptos" w:hAnsi="Aptos"/>
                <w:sz w:val="16"/>
              </w:rPr>
              <w:t>Revision NOT ASSIGNED</w:t>
            </w:r>
          </w:p>
        </w:tc>
        <w:tc>
          <w:tcPr>
            <w:tcW w:type="dxa" w:w="3816"/>
            <w:vAlign w:val="top"/>
            <w:shd w:fill="F1F5F9"/>
          </w:tcPr>
          <w:p>
            <w:pPr>
              <w:spacing w:after="0" w:before="0"/>
            </w:pPr>
            <w:r/>
            <w:r>
              <w:rPr>
                <w:rFonts w:ascii="Aptos" w:hAnsi="Aptos"/>
                <w:sz w:val="16"/>
              </w:rPr>
              <w:t>GAP-001 through GAP-023; full source and form reconstruction</w:t>
            </w:r>
          </w:p>
        </w:tc>
        <w:tc>
          <w:tcPr>
            <w:tcW w:type="dxa" w:w="2808"/>
            <w:vAlign w:val="top"/>
            <w:shd w:fill="F1F5F9"/>
          </w:tcPr>
          <w:p>
            <w:pPr>
              <w:spacing w:after="0" w:before="0"/>
            </w:pPr>
            <w:r/>
            <w:r>
              <w:rPr>
                <w:rFonts w:ascii="Aptos" w:hAnsi="Aptos"/>
                <w:sz w:val="16"/>
              </w:rPr>
              <w:t>Pending QC / Engineering / QA / Document Control</w:t>
            </w:r>
          </w:p>
        </w:tc>
      </w:tr>
    </w:tbl>
    <w:sectPr w:rsidR="00FC693F" w:rsidRPr="0006063C" w:rsidSect="00034616">
      <w:headerReference w:type="default" r:id="rId9"/>
      <w:footerReference w:type="default" r:id="rId10"/>
      <w:pgSz w:w="12240" w:h="15840"/>
      <w:pgMar w:top="950" w:right="936" w:bottom="893" w:left="936" w:header="34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45E69"/>
        <w:sz w:val="16"/>
      </w:rPr>
      <w:t xml:space="preserve">Uncontrolled technical-review draft  |  09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45E69"/>
        <w:sz w:val="16"/>
      </w:rPr>
      <w:t>SAUDI MAIS | QUALITY CONTROL   •   TECHNICAL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32A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32A44"/>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32A44"/>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3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32A4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