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REVISED WORK INSTRUCTION</w:t>
      </w:r>
    </w:p>
    <w:p>
      <w:r>
        <w:rPr>
          <w:color w:val="096F81"/>
          <w:sz w:val="20"/>
        </w:rPr>
        <w:t>Inspection Procedure for Endobronchial (Tracheobronchial / Double-Lumen) Tube</w:t>
      </w:r>
    </w:p>
    <w:p>
      <w:r>
        <w:rPr>
          <w:b/>
          <w:color w:val="556373"/>
        </w:rPr>
        <w:t>STATUS: PROPOSED CONTROLLED DRAFT  |  NO SIGNATURES OR RELEASE AUTHORIZATION</w:t>
      </w:r>
    </w:p>
    <w:p>
      <w:r>
        <w:t>Source basis: ISO 16628:2022; ISO 5361:2016 invoked clauses/annexes; conditional ISO 8836:2014; scanned WI Rev 00 and non-matching inspection report photo.</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4831"/>
            <w:shd w:fill="142946"/>
          </w:tcPr>
          <w:p>
            <w:r>
              <w:rPr>
                <w:b/>
                <w:color w:val="FFFFFF"/>
                <w:sz w:val="16"/>
              </w:rPr>
              <w:t>FIELD</w:t>
            </w:r>
          </w:p>
        </w:tc>
        <w:tc>
          <w:tcPr>
            <w:tcW w:type="dxa" w:w="4831"/>
            <w:shd w:fill="142946"/>
          </w:tcPr>
          <w:p>
            <w:r>
              <w:rPr>
                <w:b/>
                <w:color w:val="FFFFFF"/>
                <w:sz w:val="16"/>
              </w:rPr>
              <w:t>VALUE</w:t>
            </w:r>
          </w:p>
        </w:tc>
      </w:tr>
      <w:tr>
        <w:trPr>
          <w:cantSplit/>
        </w:trPr>
        <w:tc>
          <w:tcPr>
            <w:tcW w:type="dxa" w:w="4831"/>
            <w:vAlign w:val="center"/>
          </w:tcPr>
          <w:p>
            <w:pPr>
              <w:spacing w:after="40"/>
            </w:pPr>
            <w:r>
              <w:rPr>
                <w:sz w:val="16"/>
              </w:rPr>
              <w:t>Document identity</w:t>
            </w:r>
          </w:p>
        </w:tc>
        <w:tc>
          <w:tcPr>
            <w:tcW w:type="dxa" w:w="4831"/>
            <w:vAlign w:val="center"/>
          </w:tcPr>
          <w:p>
            <w:pPr>
              <w:spacing w:after="40"/>
            </w:pPr>
            <w:r>
              <w:rPr>
                <w:sz w:val="16"/>
              </w:rPr>
              <w:t>PROPOSED replacement to WI-8-2-2-06-1 Rev 00; proposed revision: NOT ASSIGNED</w:t>
            </w:r>
          </w:p>
        </w:tc>
      </w:tr>
      <w:tr>
        <w:trPr>
          <w:cantSplit/>
        </w:trPr>
        <w:tc>
          <w:tcPr>
            <w:tcW w:type="dxa" w:w="4831"/>
            <w:vAlign w:val="center"/>
            <w:shd w:fill="F1F4F7"/>
          </w:tcPr>
          <w:p>
            <w:pPr>
              <w:spacing w:after="40"/>
            </w:pPr>
            <w:r>
              <w:rPr>
                <w:sz w:val="16"/>
              </w:rPr>
              <w:t>Effective date / approvals</w:t>
            </w:r>
          </w:p>
        </w:tc>
        <w:tc>
          <w:tcPr>
            <w:tcW w:type="dxa" w:w="4831"/>
            <w:vAlign w:val="center"/>
            <w:shd w:fill="F1F4F7"/>
          </w:tcPr>
          <w:p>
            <w:pPr>
              <w:spacing w:after="40"/>
            </w:pPr>
            <w:r>
              <w:rPr>
                <w:sz w:val="16"/>
              </w:rPr>
              <w:t>BLANK — QMS routing required</w:t>
            </w:r>
          </w:p>
        </w:tc>
      </w:tr>
      <w:tr>
        <w:trPr>
          <w:cantSplit/>
        </w:trPr>
        <w:tc>
          <w:tcPr>
            <w:tcW w:type="dxa" w:w="4831"/>
            <w:vAlign w:val="center"/>
          </w:tcPr>
          <w:p>
            <w:pPr>
              <w:spacing w:after="40"/>
            </w:pPr>
            <w:r>
              <w:rPr>
                <w:sz w:val="16"/>
              </w:rPr>
              <w:t>Product variants</w:t>
            </w:r>
          </w:p>
        </w:tc>
        <w:tc>
          <w:tcPr>
            <w:tcW w:type="dxa" w:w="4831"/>
            <w:vAlign w:val="center"/>
          </w:tcPr>
          <w:p>
            <w:pPr>
              <w:spacing w:after="40"/>
            </w:pPr>
            <w:r>
              <w:rPr>
                <w:sz w:val="16"/>
              </w:rPr>
              <w:t>Right/left and each Fr/size per controlled approved product configuration</w:t>
            </w:r>
          </w:p>
        </w:tc>
      </w:tr>
      <w:tr>
        <w:trPr>
          <w:cantSplit/>
        </w:trPr>
        <w:tc>
          <w:tcPr>
            <w:tcW w:type="dxa" w:w="4831"/>
            <w:vAlign w:val="center"/>
            <w:shd w:fill="F1F4F7"/>
          </w:tcPr>
          <w:p>
            <w:pPr>
              <w:spacing w:after="40"/>
            </w:pPr>
            <w:r>
              <w:rPr>
                <w:sz w:val="16"/>
              </w:rPr>
              <w:t>Basis</w:t>
            </w:r>
          </w:p>
        </w:tc>
        <w:tc>
          <w:tcPr>
            <w:tcW w:type="dxa" w:w="4831"/>
            <w:vAlign w:val="center"/>
            <w:shd w:fill="F1F4F7"/>
          </w:tcPr>
          <w:p>
            <w:pPr>
              <w:spacing w:after="40"/>
            </w:pPr>
            <w:r>
              <w:rPr>
                <w:sz w:val="16"/>
              </w:rPr>
              <w:t>ISO 16628:2022 and directly invoked ISO 5361:2016; conditional ISO8836:2014</w:t>
            </w:r>
          </w:p>
        </w:tc>
      </w:tr>
      <w:tr>
        <w:trPr>
          <w:cantSplit/>
        </w:trPr>
        <w:tc>
          <w:tcPr>
            <w:tcW w:type="dxa" w:w="4831"/>
            <w:vAlign w:val="center"/>
          </w:tcPr>
          <w:p>
            <w:pPr>
              <w:spacing w:after="40"/>
            </w:pPr>
            <w:r>
              <w:rPr>
                <w:sz w:val="16"/>
              </w:rPr>
              <w:t>Working status</w:t>
            </w:r>
          </w:p>
        </w:tc>
        <w:tc>
          <w:tcPr>
            <w:tcW w:type="dxa" w:w="4831"/>
            <w:vAlign w:val="center"/>
          </w:tcPr>
          <w:p>
            <w:pPr>
              <w:spacing w:after="40"/>
            </w:pPr>
            <w:r>
              <w:rPr>
                <w:sz w:val="16"/>
              </w:rPr>
              <w:t>UNCONTROLLED DRAFT; must not be used for release until approved</w:t>
            </w:r>
          </w:p>
        </w:tc>
      </w:tr>
    </w:tbl>
    <w:p/>
    <w:p>
      <w:pPr>
        <w:pStyle w:val="Heading1"/>
      </w:pPr>
      <w:r>
        <w:t>1. Purpose</w:t>
      </w:r>
    </w:p>
    <w:p>
      <w:r>
        <w:t>Define traceable incoming, in-process, final and qualification inspection for the double-lumen tracheobronchial tube. Objective acceptance must use approved product specifications, ISO clauses and controlled test methods; a pending source or record is never assumed conforming.</w:t>
      </w:r>
    </w:p>
    <w:p>
      <w:pPr>
        <w:pStyle w:val="Heading1"/>
      </w:pPr>
      <w:r>
        <w:t>2. Scope</w:t>
      </w:r>
    </w:p>
    <w:p>
      <w:r>
        <w:t>Applies to the Saudi Mais Endobronchial / tracheobronchial tube, including tracheal and bronchial lumina, cuff inflation systems, connectors, optional suction catheter assemblies and associated sterile packaging as applicable. This WI is product-specific: do not substitute Endotracheal Tube reports. Product/size/left/right and optional components are governed by an approved variant matrix. ISO 5361 is invoked only where cited by ISO 16628. ISO 8836 applies only if Engineering confirms a separately classifiable suction-catheter component.</w:t>
      </w:r>
    </w:p>
    <w:p>
      <w:pPr>
        <w:pStyle w:val="Heading1"/>
      </w:pPr>
      <w:r>
        <w:t>3. Controlled references</w:t>
      </w:r>
    </w:p>
    <w:p>
      <w:r>
        <w:t>ISO 16628:2022 §§4–9 / Annex B/C; ISO 5361:2016 §5.6 / Annex B / Annex D as invoked; ISO 18190:2016 §§4–9 (COPY NOT PROVIDED: pending verification); ISO 18562-1, ISO 5356-1, ISO 80369-7 (copies/tests pending); conditional ISO 8836:2014 §§7.3, 8.1 / Annex B; Existing WI-8-2-2-06-1 Rev00; referenced SOP-8-2-6 (not supplied); current product specification/drawings/BOM/labels/sampling plan (not supplied).</w:t>
      </w:r>
    </w:p>
    <w:p>
      <w:pPr>
        <w:pStyle w:val="Heading1"/>
      </w:pPr>
      <w:r>
        <w:t>4. Terms and definitions</w:t>
      </w:r>
    </w:p>
    <w:p>
      <w:r>
        <w:t>Tracheobronchial Tube (DLT): double-lumen tube for separated lung ventilation. Fr: size marking calculated from approved tracheal outside axes. Br: measured bronchial outside diameter declaration. Effective ID: maximum specified bead-set diameter passing lumen under ISO16628 Annex C. PASS/FAIL results require recorded numerical / explicit visual acceptance and traceability. PENDING blocks release.</w:t>
      </w:r>
    </w:p>
    <w:p>
      <w:pPr>
        <w:pStyle w:val="Heading1"/>
      </w:pPr>
      <w:r>
        <w:t>5. Responsibilities</w:t>
      </w:r>
    </w:p>
    <w:p>
      <w:r>
        <w:t>QC Inspector: select recorded samples, perform approved inspections and record actual values/IDs. QC Supervisor: review sampling, limits, evidence and dispositions. Engineering: control size drawings, connector/bond details and design verification. QA: control approvals, applicable external standards, validation and final batch release authority per QMS. Supplier Quality/Purchasing: obtain material CoA and supplier evidence. Production: retain approved setup and manufacturing-process records.</w:t>
      </w:r>
    </w:p>
    <w:p>
      <w:pPr>
        <w:pStyle w:val="Heading1"/>
      </w:pPr>
      <w:r>
        <w:t>6. Materials, configurations and equipment</w:t>
      </w:r>
    </w:p>
    <w:p>
      <w:r>
        <w:t>Identify left/right variant, whole-number Fr designation, both lumen types, tube size, cuff sizes, optional suction components, material batch and any sterilization status. Use approved drawings/BOM/CoA. Equipment requires verified calibration/qualification: dimensional instrument, pressure source and gauge, water bath/immersion container, temperature monitor, lux meter and distance rule, bead sets and 100±5g mass, pull tester and controlled test fixture as needed. Record instrument IDs and status; do not assume devices are available.</w:t>
      </w:r>
    </w:p>
    <w:p>
      <w:pPr>
        <w:pStyle w:val="Heading1"/>
      </w:pPr>
      <w:r>
        <w:t>7. Incoming material and external standard controls</w:t>
      </w:r>
    </w:p>
    <w:p>
      <w:r>
        <w:t>Confirm PO/supplier lot/received quantity, sealed packaging, labels, correct CoA/CoC and approved material acceptance. Document nonconformance and quarantine mismatches. QA shall complete an applicability matrix to ISO18190 §§4–9 and ISO18562-1 as soon as controlled copies are available. External gaps are OPEN — TECHNICAL INPUT, not deemed satisfactory by receiving COA alone.</w:t>
      </w:r>
    </w:p>
    <w:p>
      <w:pPr>
        <w:pStyle w:val="Heading1"/>
      </w:pPr>
      <w:r>
        <w:t>8. Production and assembly verification</w:t>
      </w:r>
    </w:p>
    <w:p>
      <w:r>
        <w:t>Maintain the valid source controls: smooth, transparent, defect-free main tube; approved tip formation/angle; inflation tube/cuff/pilot balloon attachment; Y-connector, 4-way, swivel, endoscopic cover/T connector, connector end, stylet, radiopaque stripe and optional suction components. Where specified by approved design drawings check no cracks, flashing, blocked lumina, visible contamination, weak bonds or sharp edges. Preserve component-specific colour rules and part identity. Retain checks/intervals from current authorized in-process work plan pending formal revision.</w:t>
      </w:r>
    </w:p>
    <w:p>
      <w:pPr>
        <w:pStyle w:val="Heading1"/>
      </w:pPr>
      <w:r>
        <w:t>9. Inspection and testing — execution rules</w:t>
      </w:r>
    </w:p>
    <w:p>
      <w:r>
        <w:t>Identify applicable requirement IDs and separate routinely inspected features from qualification/periodic verification. For every measurable test enter required nominal/limit, actual reading, unit, sample ID, method, equipment ID/calibration status, Pass/Fail/Pending, evidence reference and reviewer. A missing technical specification means PENDING / OPEN TECHNICAL INPUT, not Pass. When a method is changed, validate equivalence and obtain approved permission before use.</w:t>
      </w:r>
    </w:p>
    <w:p>
      <w:pPr>
        <w:pStyle w:val="Heading1"/>
      </w:pPr>
      <w:r>
        <w:t>9A. Main WI inspection and verification table</w:t>
      </w:r>
    </w:p>
    <w:tbl>
      <w:tblPr>
        <w:tblStyle w:val="TableGrid"/>
        <w:tblW w:type="auto" w:w="0"/>
        <w:jc w:val="center"/>
        <w:tblLayout w:type="autofit"/>
        <w:tblLook w:firstColumn="1" w:firstRow="1" w:lastColumn="0" w:lastRow="0" w:noHBand="0" w:noVBand="1" w:val="04A0"/>
      </w:tblPr>
      <w:tblGrid>
        <w:gridCol w:w="1610"/>
        <w:gridCol w:w="1610"/>
        <w:gridCol w:w="1610"/>
        <w:gridCol w:w="1610"/>
        <w:gridCol w:w="1610"/>
        <w:gridCol w:w="1610"/>
      </w:tblGrid>
      <w:tr>
        <w:trPr>
          <w:tblHeader w:val="true"/>
          <w:cantSplit/>
        </w:trPr>
        <w:tc>
          <w:tcPr>
            <w:tcW w:type="dxa" w:w="1610"/>
            <w:shd w:fill="142946"/>
          </w:tcPr>
          <w:p>
            <w:r>
              <w:rPr>
                <w:b/>
                <w:color w:val="FFFFFF"/>
                <w:sz w:val="14"/>
              </w:rPr>
              <w:t>ID</w:t>
            </w:r>
          </w:p>
        </w:tc>
        <w:tc>
          <w:tcPr>
            <w:tcW w:type="dxa" w:w="1610"/>
            <w:shd w:fill="142946"/>
          </w:tcPr>
          <w:p>
            <w:r>
              <w:rPr>
                <w:b/>
                <w:color w:val="FFFFFF"/>
                <w:sz w:val="14"/>
              </w:rPr>
              <w:t>ISO CLAUSE</w:t>
            </w:r>
          </w:p>
        </w:tc>
        <w:tc>
          <w:tcPr>
            <w:tcW w:type="dxa" w:w="1610"/>
            <w:shd w:fill="142946"/>
          </w:tcPr>
          <w:p>
            <w:r>
              <w:rPr>
                <w:b/>
                <w:color w:val="FFFFFF"/>
                <w:sz w:val="14"/>
              </w:rPr>
              <w:t>CONTROL / INSPECTION CHARACTERISTIC</w:t>
            </w:r>
          </w:p>
        </w:tc>
        <w:tc>
          <w:tcPr>
            <w:tcW w:type="dxa" w:w="1610"/>
            <w:shd w:fill="142946"/>
          </w:tcPr>
          <w:p>
            <w:r>
              <w:rPr>
                <w:b/>
                <w:color w:val="FFFFFF"/>
                <w:sz w:val="14"/>
              </w:rPr>
              <w:t>ACCEPTANCE</w:t>
            </w:r>
          </w:p>
        </w:tc>
        <w:tc>
          <w:tcPr>
            <w:tcW w:type="dxa" w:w="1610"/>
            <w:shd w:fill="142946"/>
          </w:tcPr>
          <w:p>
            <w:r>
              <w:rPr>
                <w:b/>
                <w:color w:val="FFFFFF"/>
                <w:sz w:val="14"/>
              </w:rPr>
              <w:t>METHOD / LOCATION</w:t>
            </w:r>
          </w:p>
        </w:tc>
        <w:tc>
          <w:tcPr>
            <w:tcW w:type="dxa" w:w="1610"/>
            <w:shd w:fill="142946"/>
          </w:tcPr>
          <w:p>
            <w:r>
              <w:rPr>
                <w:b/>
                <w:color w:val="FFFFFF"/>
                <w:sz w:val="14"/>
              </w:rPr>
              <w:t>OBJECTIVE RECORD</w:t>
            </w:r>
          </w:p>
        </w:tc>
      </w:tr>
      <w:tr>
        <w:trPr>
          <w:cantSplit/>
        </w:trPr>
        <w:tc>
          <w:tcPr>
            <w:tcW w:type="dxa" w:w="1610"/>
            <w:vAlign w:val="center"/>
          </w:tcPr>
          <w:p>
            <w:pPr>
              <w:spacing w:after="40"/>
            </w:pPr>
            <w:r>
              <w:rPr>
                <w:sz w:val="14"/>
              </w:rPr>
              <w:t>R001</w:t>
            </w:r>
          </w:p>
        </w:tc>
        <w:tc>
          <w:tcPr>
            <w:tcW w:type="dxa" w:w="1610"/>
            <w:vAlign w:val="center"/>
          </w:tcPr>
          <w:p>
            <w:pPr>
              <w:spacing w:after="40"/>
            </w:pPr>
            <w:r>
              <w:rPr>
                <w:sz w:val="14"/>
              </w:rPr>
              <w:t>4.1</w:t>
            </w:r>
          </w:p>
        </w:tc>
        <w:tc>
          <w:tcPr>
            <w:tcW w:type="dxa" w:w="1610"/>
            <w:vAlign w:val="center"/>
          </w:tcPr>
          <w:p>
            <w:pPr>
              <w:spacing w:after="40"/>
            </w:pPr>
            <w:r>
              <w:rPr>
                <w:sz w:val="14"/>
              </w:rPr>
              <w:t>Applicable general requirements of ISO 18190:2016 Clause 4 apply; exact subrequirements cannot be substantiated without that source.</w:t>
            </w:r>
          </w:p>
        </w:tc>
        <w:tc>
          <w:tcPr>
            <w:tcW w:type="dxa" w:w="1610"/>
            <w:vAlign w:val="center"/>
          </w:tcPr>
          <w:p>
            <w:pPr>
              <w:spacing w:after="40"/>
            </w:pPr>
            <w:r>
              <w:rPr>
                <w:sz w:val="14"/>
              </w:rPr>
              <w:t>Approved specification required</w:t>
            </w:r>
          </w:p>
        </w:tc>
        <w:tc>
          <w:tcPr>
            <w:tcW w:type="dxa" w:w="1610"/>
            <w:vAlign w:val="center"/>
          </w:tcPr>
          <w:p>
            <w:pPr>
              <w:spacing w:after="40"/>
            </w:pPr>
            <w:r>
              <w:rPr>
                <w:sz w:val="14"/>
              </w:rPr>
              <w:t>Design / risk management</w:t>
            </w:r>
          </w:p>
        </w:tc>
        <w:tc>
          <w:tcPr>
            <w:tcW w:type="dxa" w:w="1610"/>
            <w:vAlign w:val="center"/>
          </w:tcPr>
          <w:p>
            <w:pPr>
              <w:spacing w:after="40"/>
            </w:pPr>
            <w:r>
              <w:rPr>
                <w:sz w:val="14"/>
              </w:rPr>
              <w:t>Controlled ISO18190 assessment and approved risk-management file</w:t>
            </w:r>
          </w:p>
        </w:tc>
      </w:tr>
      <w:tr>
        <w:trPr>
          <w:cantSplit/>
        </w:trPr>
        <w:tc>
          <w:tcPr>
            <w:tcW w:type="dxa" w:w="1610"/>
            <w:vAlign w:val="center"/>
            <w:shd w:fill="F1F4F7"/>
          </w:tcPr>
          <w:p>
            <w:pPr>
              <w:spacing w:after="40"/>
            </w:pPr>
            <w:r>
              <w:rPr>
                <w:sz w:val="14"/>
              </w:rPr>
              <w:t>R002</w:t>
            </w:r>
          </w:p>
        </w:tc>
        <w:tc>
          <w:tcPr>
            <w:tcW w:type="dxa" w:w="1610"/>
            <w:vAlign w:val="center"/>
            <w:shd w:fill="F1F4F7"/>
          </w:tcPr>
          <w:p>
            <w:pPr>
              <w:spacing w:after="40"/>
            </w:pPr>
            <w:r>
              <w:rPr>
                <w:sz w:val="14"/>
              </w:rPr>
              <w:t>4.2</w:t>
            </w:r>
          </w:p>
        </w:tc>
        <w:tc>
          <w:tcPr>
            <w:tcW w:type="dxa" w:w="1610"/>
            <w:vAlign w:val="center"/>
            <w:shd w:fill="F1F4F7"/>
          </w:tcPr>
          <w:p>
            <w:pPr>
              <w:spacing w:after="40"/>
            </w:pPr>
            <w:r>
              <w:rPr>
                <w:sz w:val="14"/>
              </w:rPr>
              <w:t>If an alternative type-test method is selected, equivalent safety must be established and the alternative validated against the specified method.</w:t>
            </w:r>
          </w:p>
        </w:tc>
        <w:tc>
          <w:tcPr>
            <w:tcW w:type="dxa" w:w="1610"/>
            <w:vAlign w:val="center"/>
            <w:shd w:fill="F1F4F7"/>
          </w:tcPr>
          <w:p>
            <w:pPr>
              <w:spacing w:after="40"/>
            </w:pPr>
            <w:r>
              <w:rPr>
                <w:sz w:val="14"/>
              </w:rPr>
              <w:t>Approved specification required</w:t>
            </w:r>
          </w:p>
        </w:tc>
        <w:tc>
          <w:tcPr>
            <w:tcW w:type="dxa" w:w="1610"/>
            <w:vAlign w:val="center"/>
            <w:shd w:fill="F1F4F7"/>
          </w:tcPr>
          <w:p>
            <w:pPr>
              <w:spacing w:after="40"/>
            </w:pPr>
            <w:r>
              <w:rPr>
                <w:sz w:val="14"/>
              </w:rPr>
              <w:t>Validation / technical file</w:t>
            </w:r>
          </w:p>
        </w:tc>
        <w:tc>
          <w:tcPr>
            <w:tcW w:type="dxa" w:w="1610"/>
            <w:vAlign w:val="center"/>
            <w:shd w:fill="F1F4F7"/>
          </w:tcPr>
          <w:p>
            <w:pPr>
              <w:spacing w:after="40"/>
            </w:pPr>
            <w:r>
              <w:rPr>
                <w:sz w:val="14"/>
              </w:rPr>
              <w:t>Method-equivalence rationale; approved validation report</w:t>
            </w:r>
          </w:p>
        </w:tc>
      </w:tr>
      <w:tr>
        <w:trPr>
          <w:cantSplit/>
        </w:trPr>
        <w:tc>
          <w:tcPr>
            <w:tcW w:type="dxa" w:w="1610"/>
            <w:vAlign w:val="center"/>
          </w:tcPr>
          <w:p>
            <w:pPr>
              <w:spacing w:after="40"/>
            </w:pPr>
            <w:r>
              <w:rPr>
                <w:sz w:val="14"/>
              </w:rPr>
              <w:t>R003</w:t>
            </w:r>
          </w:p>
        </w:tc>
        <w:tc>
          <w:tcPr>
            <w:tcW w:type="dxa" w:w="1610"/>
            <w:vAlign w:val="center"/>
          </w:tcPr>
          <w:p>
            <w:pPr>
              <w:spacing w:after="40"/>
            </w:pPr>
            <w:r>
              <w:rPr>
                <w:sz w:val="14"/>
              </w:rPr>
              <w:t>5.1</w:t>
            </w:r>
          </w:p>
        </w:tc>
        <w:tc>
          <w:tcPr>
            <w:tcW w:type="dxa" w:w="1610"/>
            <w:vAlign w:val="center"/>
          </w:tcPr>
          <w:p>
            <w:pPr>
              <w:spacing w:after="40"/>
            </w:pPr>
            <w:r>
              <w:rPr>
                <w:sz w:val="14"/>
              </w:rPr>
              <w:t>Applicable materials requirements of ISO 18190:2016 Clause 5 apply; detailed obligations require access to the referenced standard.</w:t>
            </w:r>
          </w:p>
        </w:tc>
        <w:tc>
          <w:tcPr>
            <w:tcW w:type="dxa" w:w="1610"/>
            <w:vAlign w:val="center"/>
          </w:tcPr>
          <w:p>
            <w:pPr>
              <w:spacing w:after="40"/>
            </w:pPr>
            <w:r>
              <w:rPr>
                <w:sz w:val="14"/>
              </w:rPr>
              <w:t>Approved specification required</w:t>
            </w:r>
          </w:p>
        </w:tc>
        <w:tc>
          <w:tcPr>
            <w:tcW w:type="dxa" w:w="1610"/>
            <w:vAlign w:val="center"/>
          </w:tcPr>
          <w:p>
            <w:pPr>
              <w:spacing w:after="40"/>
            </w:pPr>
            <w:r>
              <w:rPr>
                <w:sz w:val="14"/>
              </w:rPr>
              <w:t>Incoming / Supplier / technical file</w:t>
            </w:r>
          </w:p>
        </w:tc>
        <w:tc>
          <w:tcPr>
            <w:tcW w:type="dxa" w:w="1610"/>
            <w:vAlign w:val="center"/>
          </w:tcPr>
          <w:p>
            <w:pPr>
              <w:spacing w:after="40"/>
            </w:pPr>
            <w:r>
              <w:rPr>
                <w:sz w:val="14"/>
              </w:rPr>
              <w:t>Approved material specification, traceability, ISO18190 gap review</w:t>
            </w:r>
          </w:p>
        </w:tc>
      </w:tr>
      <w:tr>
        <w:trPr>
          <w:cantSplit/>
        </w:trPr>
        <w:tc>
          <w:tcPr>
            <w:tcW w:type="dxa" w:w="1610"/>
            <w:vAlign w:val="center"/>
            <w:shd w:fill="F1F4F7"/>
          </w:tcPr>
          <w:p>
            <w:pPr>
              <w:spacing w:after="40"/>
            </w:pPr>
            <w:r>
              <w:rPr>
                <w:sz w:val="14"/>
              </w:rPr>
              <w:t>R004</w:t>
            </w:r>
          </w:p>
        </w:tc>
        <w:tc>
          <w:tcPr>
            <w:tcW w:type="dxa" w:w="1610"/>
            <w:vAlign w:val="center"/>
            <w:shd w:fill="F1F4F7"/>
          </w:tcPr>
          <w:p>
            <w:pPr>
              <w:spacing w:after="40"/>
            </w:pPr>
            <w:r>
              <w:rPr>
                <w:sz w:val="14"/>
              </w:rPr>
              <w:t>5.2</w:t>
            </w:r>
          </w:p>
        </w:tc>
        <w:tc>
          <w:tcPr>
            <w:tcW w:type="dxa" w:w="1610"/>
            <w:vAlign w:val="center"/>
            <w:shd w:fill="F1F4F7"/>
          </w:tcPr>
          <w:p>
            <w:pPr>
              <w:spacing w:after="40"/>
            </w:pPr>
            <w:r>
              <w:rPr>
                <w:sz w:val="14"/>
              </w:rPr>
              <w:t>Tracheobronchial tubes must be evaluated/tested according to ISO 18562-1 for breathing-gas-pathway biocompatibility.</w:t>
            </w:r>
          </w:p>
        </w:tc>
        <w:tc>
          <w:tcPr>
            <w:tcW w:type="dxa" w:w="1610"/>
            <w:vAlign w:val="center"/>
            <w:shd w:fill="F1F4F7"/>
          </w:tcPr>
          <w:p>
            <w:pPr>
              <w:spacing w:after="40"/>
            </w:pPr>
            <w:r>
              <w:rPr>
                <w:sz w:val="14"/>
              </w:rPr>
              <w:t>Approved specification required</w:t>
            </w:r>
          </w:p>
        </w:tc>
        <w:tc>
          <w:tcPr>
            <w:tcW w:type="dxa" w:w="1610"/>
            <w:vAlign w:val="center"/>
            <w:shd w:fill="F1F4F7"/>
          </w:tcPr>
          <w:p>
            <w:pPr>
              <w:spacing w:after="40"/>
            </w:pPr>
            <w:r>
              <w:rPr>
                <w:sz w:val="14"/>
              </w:rPr>
              <w:t>Biocompatibility qualification</w:t>
            </w:r>
          </w:p>
        </w:tc>
        <w:tc>
          <w:tcPr>
            <w:tcW w:type="dxa" w:w="1610"/>
            <w:vAlign w:val="center"/>
            <w:shd w:fill="F1F4F7"/>
          </w:tcPr>
          <w:p>
            <w:pPr>
              <w:spacing w:after="40"/>
            </w:pPr>
            <w:r>
              <w:rPr>
                <w:sz w:val="14"/>
              </w:rPr>
              <w:t>ISO 18562-1 assessment and approved test/evaluation records</w:t>
            </w:r>
          </w:p>
        </w:tc>
      </w:tr>
      <w:tr>
        <w:trPr>
          <w:cantSplit/>
        </w:trPr>
        <w:tc>
          <w:tcPr>
            <w:tcW w:type="dxa" w:w="1610"/>
            <w:vAlign w:val="center"/>
          </w:tcPr>
          <w:p>
            <w:pPr>
              <w:spacing w:after="40"/>
            </w:pPr>
            <w:r>
              <w:rPr>
                <w:sz w:val="14"/>
              </w:rPr>
              <w:t>R005</w:t>
            </w:r>
          </w:p>
        </w:tc>
        <w:tc>
          <w:tcPr>
            <w:tcW w:type="dxa" w:w="1610"/>
            <w:vAlign w:val="center"/>
          </w:tcPr>
          <w:p>
            <w:pPr>
              <w:spacing w:after="40"/>
            </w:pPr>
            <w:r>
              <w:rPr>
                <w:sz w:val="14"/>
              </w:rPr>
              <w:t>6.1</w:t>
            </w:r>
          </w:p>
        </w:tc>
        <w:tc>
          <w:tcPr>
            <w:tcW w:type="dxa" w:w="1610"/>
            <w:vAlign w:val="center"/>
          </w:tcPr>
          <w:p>
            <w:pPr>
              <w:spacing w:after="40"/>
            </w:pPr>
            <w:r>
              <w:rPr>
                <w:sz w:val="14"/>
              </w:rPr>
              <w:t>Applicable design requirements of ISO 18190:2016 Clause 6 apply; review the referenced source for actual limits/methods.</w:t>
            </w:r>
          </w:p>
        </w:tc>
        <w:tc>
          <w:tcPr>
            <w:tcW w:type="dxa" w:w="1610"/>
            <w:vAlign w:val="center"/>
          </w:tcPr>
          <w:p>
            <w:pPr>
              <w:spacing w:after="40"/>
            </w:pPr>
            <w:r>
              <w:rPr>
                <w:sz w:val="14"/>
              </w:rPr>
              <w:t>Approved specification required</w:t>
            </w:r>
          </w:p>
        </w:tc>
        <w:tc>
          <w:tcPr>
            <w:tcW w:type="dxa" w:w="1610"/>
            <w:vAlign w:val="center"/>
          </w:tcPr>
          <w:p>
            <w:pPr>
              <w:spacing w:after="40"/>
            </w:pPr>
            <w:r>
              <w:rPr>
                <w:sz w:val="14"/>
              </w:rPr>
              <w:t>Design verification</w:t>
            </w:r>
          </w:p>
        </w:tc>
        <w:tc>
          <w:tcPr>
            <w:tcW w:type="dxa" w:w="1610"/>
            <w:vAlign w:val="center"/>
          </w:tcPr>
          <w:p>
            <w:pPr>
              <w:spacing w:after="40"/>
            </w:pPr>
            <w:r>
              <w:rPr>
                <w:sz w:val="14"/>
              </w:rPr>
              <w:t>Approved design verification matrix</w:t>
            </w:r>
          </w:p>
        </w:tc>
      </w:tr>
      <w:tr>
        <w:trPr>
          <w:cantSplit/>
        </w:trPr>
        <w:tc>
          <w:tcPr>
            <w:tcW w:type="dxa" w:w="1610"/>
            <w:vAlign w:val="center"/>
            <w:shd w:fill="F1F4F7"/>
          </w:tcPr>
          <w:p>
            <w:pPr>
              <w:spacing w:after="40"/>
            </w:pPr>
            <w:r>
              <w:rPr>
                <w:sz w:val="14"/>
              </w:rPr>
              <w:t>R006</w:t>
            </w:r>
          </w:p>
        </w:tc>
        <w:tc>
          <w:tcPr>
            <w:tcW w:type="dxa" w:w="1610"/>
            <w:vAlign w:val="center"/>
            <w:shd w:fill="F1F4F7"/>
          </w:tcPr>
          <w:p>
            <w:pPr>
              <w:spacing w:after="40"/>
            </w:pPr>
            <w:r>
              <w:rPr>
                <w:sz w:val="14"/>
              </w:rPr>
              <w:t>6.2</w:t>
            </w:r>
          </w:p>
        </w:tc>
        <w:tc>
          <w:tcPr>
            <w:tcW w:type="dxa" w:w="1610"/>
            <w:vAlign w:val="center"/>
            <w:shd w:fill="F1F4F7"/>
          </w:tcPr>
          <w:p>
            <w:pPr>
              <w:spacing w:after="40"/>
            </w:pPr>
            <w:r>
              <w:rPr>
                <w:sz w:val="14"/>
              </w:rPr>
              <w:t>Designated French/Charrière size is expressed as a whole number and derived from average tracheal-segment major/minor outside axis dimensions; its stated ±1 mm phrase uses “should” and needs documented interpretation before use as a mandatory lot-rejection rule.</w:t>
            </w:r>
          </w:p>
        </w:tc>
        <w:tc>
          <w:tcPr>
            <w:tcW w:type="dxa" w:w="1610"/>
            <w:vAlign w:val="center"/>
            <w:shd w:fill="F1F4F7"/>
          </w:tcPr>
          <w:p>
            <w:pPr>
              <w:spacing w:after="40"/>
            </w:pPr>
            <w:r>
              <w:rPr>
                <w:sz w:val="14"/>
              </w:rPr>
              <w:t>Whole-number Fr; recommended ±1 mm statement to be technically interpreted</w:t>
            </w:r>
          </w:p>
        </w:tc>
        <w:tc>
          <w:tcPr>
            <w:tcW w:type="dxa" w:w="1610"/>
            <w:vAlign w:val="center"/>
            <w:shd w:fill="F1F4F7"/>
          </w:tcPr>
          <w:p>
            <w:pPr>
              <w:spacing w:after="40"/>
            </w:pPr>
            <w:r>
              <w:rPr>
                <w:sz w:val="14"/>
              </w:rPr>
              <w:t>Measure both outside axes; verify size designation against approved mapping</w:t>
            </w:r>
          </w:p>
        </w:tc>
        <w:tc>
          <w:tcPr>
            <w:tcW w:type="dxa" w:w="1610"/>
            <w:vAlign w:val="center"/>
            <w:shd w:fill="F1F4F7"/>
          </w:tcPr>
          <w:p>
            <w:pPr>
              <w:spacing w:after="40"/>
            </w:pPr>
            <w:r>
              <w:rPr>
                <w:sz w:val="14"/>
              </w:rPr>
              <w:t>Major/minor actual readings, calculation, drawing, labelled Fr size</w:t>
            </w:r>
          </w:p>
        </w:tc>
      </w:tr>
      <w:tr>
        <w:trPr>
          <w:cantSplit/>
        </w:trPr>
        <w:tc>
          <w:tcPr>
            <w:tcW w:type="dxa" w:w="1610"/>
            <w:vAlign w:val="center"/>
          </w:tcPr>
          <w:p>
            <w:pPr>
              <w:spacing w:after="40"/>
            </w:pPr>
            <w:r>
              <w:rPr>
                <w:sz w:val="14"/>
              </w:rPr>
              <w:t>R007</w:t>
            </w:r>
          </w:p>
        </w:tc>
        <w:tc>
          <w:tcPr>
            <w:tcW w:type="dxa" w:w="1610"/>
            <w:vAlign w:val="center"/>
          </w:tcPr>
          <w:p>
            <w:pPr>
              <w:spacing w:after="40"/>
            </w:pPr>
            <w:r>
              <w:rPr>
                <w:sz w:val="14"/>
              </w:rPr>
              <w:t>6.3</w:t>
            </w:r>
          </w:p>
        </w:tc>
        <w:tc>
          <w:tcPr>
            <w:tcW w:type="dxa" w:w="1610"/>
            <w:vAlign w:val="center"/>
          </w:tcPr>
          <w:p>
            <w:pPr>
              <w:spacing w:after="40"/>
            </w:pPr>
            <w:r>
              <w:rPr>
                <w:sz w:val="14"/>
              </w:rPr>
              <w:t>Major-axis dimension of the tracheal segment outside cross-section is subject to ±0.5 mm tolerance relative to its controlled nominal dimension.</w:t>
            </w:r>
          </w:p>
        </w:tc>
        <w:tc>
          <w:tcPr>
            <w:tcW w:type="dxa" w:w="1610"/>
            <w:vAlign w:val="center"/>
          </w:tcPr>
          <w:p>
            <w:pPr>
              <w:spacing w:after="40"/>
            </w:pPr>
            <w:r>
              <w:rPr>
                <w:sz w:val="14"/>
              </w:rPr>
              <w:t>Approved major-axis nominal ±0.5 mm</w:t>
            </w:r>
          </w:p>
        </w:tc>
        <w:tc>
          <w:tcPr>
            <w:tcW w:type="dxa" w:w="1610"/>
            <w:vAlign w:val="center"/>
          </w:tcPr>
          <w:p>
            <w:pPr>
              <w:spacing w:after="40"/>
            </w:pPr>
            <w:r>
              <w:rPr>
                <w:sz w:val="14"/>
              </w:rPr>
              <w:t>Calibrated dimensional instrument</w:t>
            </w:r>
          </w:p>
        </w:tc>
        <w:tc>
          <w:tcPr>
            <w:tcW w:type="dxa" w:w="1610"/>
            <w:vAlign w:val="center"/>
          </w:tcPr>
          <w:p>
            <w:pPr>
              <w:spacing w:after="40"/>
            </w:pPr>
            <w:r>
              <w:rPr>
                <w:sz w:val="14"/>
              </w:rPr>
              <w:t>Drawing nominal; actual major-axis reading and disposition</w:t>
            </w:r>
          </w:p>
        </w:tc>
      </w:tr>
      <w:tr>
        <w:trPr>
          <w:cantSplit/>
        </w:trPr>
        <w:tc>
          <w:tcPr>
            <w:tcW w:type="dxa" w:w="1610"/>
            <w:vAlign w:val="center"/>
            <w:shd w:fill="F1F4F7"/>
          </w:tcPr>
          <w:p>
            <w:pPr>
              <w:spacing w:after="40"/>
            </w:pPr>
            <w:r>
              <w:rPr>
                <w:sz w:val="14"/>
              </w:rPr>
              <w:t>R008</w:t>
            </w:r>
          </w:p>
        </w:tc>
        <w:tc>
          <w:tcPr>
            <w:tcW w:type="dxa" w:w="1610"/>
            <w:vAlign w:val="center"/>
            <w:shd w:fill="F1F4F7"/>
          </w:tcPr>
          <w:p>
            <w:pPr>
              <w:spacing w:after="40"/>
            </w:pPr>
            <w:r>
              <w:rPr>
                <w:sz w:val="14"/>
              </w:rPr>
              <w:t>6.3</w:t>
            </w:r>
          </w:p>
        </w:tc>
        <w:tc>
          <w:tcPr>
            <w:tcW w:type="dxa" w:w="1610"/>
            <w:vAlign w:val="center"/>
            <w:shd w:fill="F1F4F7"/>
          </w:tcPr>
          <w:p>
            <w:pPr>
              <w:spacing w:after="40"/>
            </w:pPr>
            <w:r>
              <w:rPr>
                <w:sz w:val="14"/>
              </w:rPr>
              <w:t>Minor-axis dimension of the tracheal segment outside cross-section is subject to ±0.5 mm tolerance relative to its controlled nominal dimension.</w:t>
            </w:r>
          </w:p>
        </w:tc>
        <w:tc>
          <w:tcPr>
            <w:tcW w:type="dxa" w:w="1610"/>
            <w:vAlign w:val="center"/>
            <w:shd w:fill="F1F4F7"/>
          </w:tcPr>
          <w:p>
            <w:pPr>
              <w:spacing w:after="40"/>
            </w:pPr>
            <w:r>
              <w:rPr>
                <w:sz w:val="14"/>
              </w:rPr>
              <w:t>Approved minor-axis nominal ±0.5 mm</w:t>
            </w:r>
          </w:p>
        </w:tc>
        <w:tc>
          <w:tcPr>
            <w:tcW w:type="dxa" w:w="1610"/>
            <w:vAlign w:val="center"/>
            <w:shd w:fill="F1F4F7"/>
          </w:tcPr>
          <w:p>
            <w:pPr>
              <w:spacing w:after="40"/>
            </w:pPr>
            <w:r>
              <w:rPr>
                <w:sz w:val="14"/>
              </w:rPr>
              <w:t>Calibrated dimensional instrument</w:t>
            </w:r>
          </w:p>
        </w:tc>
        <w:tc>
          <w:tcPr>
            <w:tcW w:type="dxa" w:w="1610"/>
            <w:vAlign w:val="center"/>
            <w:shd w:fill="F1F4F7"/>
          </w:tcPr>
          <w:p>
            <w:pPr>
              <w:spacing w:after="40"/>
            </w:pPr>
            <w:r>
              <w:rPr>
                <w:sz w:val="14"/>
              </w:rPr>
              <w:t>Drawing nominal; actual minor-axis reading and disposition</w:t>
            </w:r>
          </w:p>
        </w:tc>
      </w:tr>
      <w:tr>
        <w:trPr>
          <w:cantSplit/>
        </w:trPr>
        <w:tc>
          <w:tcPr>
            <w:tcW w:type="dxa" w:w="1610"/>
            <w:vAlign w:val="center"/>
          </w:tcPr>
          <w:p>
            <w:pPr>
              <w:spacing w:after="40"/>
            </w:pPr>
            <w:r>
              <w:rPr>
                <w:sz w:val="14"/>
              </w:rPr>
              <w:t>R009</w:t>
            </w:r>
          </w:p>
        </w:tc>
        <w:tc>
          <w:tcPr>
            <w:tcW w:type="dxa" w:w="1610"/>
            <w:vAlign w:val="center"/>
          </w:tcPr>
          <w:p>
            <w:pPr>
              <w:spacing w:after="40"/>
            </w:pPr>
            <w:r>
              <w:rPr>
                <w:sz w:val="14"/>
              </w:rPr>
              <w:t>6.4.1</w:t>
            </w:r>
          </w:p>
        </w:tc>
        <w:tc>
          <w:tcPr>
            <w:tcW w:type="dxa" w:w="1610"/>
            <w:vAlign w:val="center"/>
          </w:tcPr>
          <w:p>
            <w:pPr>
              <w:spacing w:after="40"/>
            </w:pPr>
            <w:r>
              <w:rPr>
                <w:sz w:val="14"/>
              </w:rPr>
              <w:t>Machine-end tracheobronchial connectors must be 15 mm conical male connectors conforming to ISO 5356-1; technical-file conformance is required.</w:t>
            </w:r>
          </w:p>
        </w:tc>
        <w:tc>
          <w:tcPr>
            <w:tcW w:type="dxa" w:w="1610"/>
            <w:vAlign w:val="center"/>
          </w:tcPr>
          <w:p>
            <w:pPr>
              <w:spacing w:after="40"/>
            </w:pPr>
            <w:r>
              <w:rPr>
                <w:sz w:val="14"/>
              </w:rPr>
              <w:t>Conformity to ISO 5356-1: criteria need original referenced standard</w:t>
            </w:r>
          </w:p>
        </w:tc>
        <w:tc>
          <w:tcPr>
            <w:tcW w:type="dxa" w:w="1610"/>
            <w:vAlign w:val="center"/>
          </w:tcPr>
          <w:p>
            <w:pPr>
              <w:spacing w:after="40"/>
            </w:pPr>
            <w:r>
              <w:rPr>
                <w:sz w:val="14"/>
              </w:rPr>
              <w:t>Connector design verification</w:t>
            </w:r>
          </w:p>
        </w:tc>
        <w:tc>
          <w:tcPr>
            <w:tcW w:type="dxa" w:w="1610"/>
            <w:vAlign w:val="center"/>
          </w:tcPr>
          <w:p>
            <w:pPr>
              <w:spacing w:after="40"/>
            </w:pPr>
            <w:r>
              <w:rPr>
                <w:sz w:val="14"/>
              </w:rPr>
              <w:t>ISO 5356-1 dimensional verification + approved technical file</w:t>
            </w:r>
          </w:p>
        </w:tc>
      </w:tr>
      <w:tr>
        <w:trPr>
          <w:cantSplit/>
        </w:trPr>
        <w:tc>
          <w:tcPr>
            <w:tcW w:type="dxa" w:w="1610"/>
            <w:vAlign w:val="center"/>
            <w:shd w:fill="F1F4F7"/>
          </w:tcPr>
          <w:p>
            <w:pPr>
              <w:spacing w:after="40"/>
            </w:pPr>
            <w:r>
              <w:rPr>
                <w:sz w:val="14"/>
              </w:rPr>
              <w:t>R010</w:t>
            </w:r>
          </w:p>
        </w:tc>
        <w:tc>
          <w:tcPr>
            <w:tcW w:type="dxa" w:w="1610"/>
            <w:vAlign w:val="center"/>
            <w:shd w:fill="F1F4F7"/>
          </w:tcPr>
          <w:p>
            <w:pPr>
              <w:spacing w:after="40"/>
            </w:pPr>
            <w:r>
              <w:rPr>
                <w:sz w:val="14"/>
              </w:rPr>
              <w:t>6.4.2</w:t>
            </w:r>
          </w:p>
        </w:tc>
        <w:tc>
          <w:tcPr>
            <w:tcW w:type="dxa" w:w="1610"/>
            <w:vAlign w:val="center"/>
            <w:shd w:fill="F1F4F7"/>
          </w:tcPr>
          <w:p>
            <w:pPr>
              <w:spacing w:after="40"/>
            </w:pPr>
            <w:r>
              <w:rPr>
                <w:sz w:val="14"/>
              </w:rPr>
              <w:t>Cuff inflation inlet connectors must be compatible with the L1 male Luer-slip small-bore connector specified in ISO 80369-7; verify in the technical file.</w:t>
            </w:r>
          </w:p>
        </w:tc>
        <w:tc>
          <w:tcPr>
            <w:tcW w:type="dxa" w:w="1610"/>
            <w:vAlign w:val="center"/>
            <w:shd w:fill="F1F4F7"/>
          </w:tcPr>
          <w:p>
            <w:pPr>
              <w:spacing w:after="40"/>
            </w:pPr>
            <w:r>
              <w:rPr>
                <w:sz w:val="14"/>
              </w:rPr>
              <w:t>Approved specification required</w:t>
            </w:r>
          </w:p>
        </w:tc>
        <w:tc>
          <w:tcPr>
            <w:tcW w:type="dxa" w:w="1610"/>
            <w:vAlign w:val="center"/>
            <w:shd w:fill="F1F4F7"/>
          </w:tcPr>
          <w:p>
            <w:pPr>
              <w:spacing w:after="40"/>
            </w:pPr>
            <w:r>
              <w:rPr>
                <w:sz w:val="14"/>
              </w:rPr>
              <w:t>Connector verification / technical file</w:t>
            </w:r>
          </w:p>
        </w:tc>
        <w:tc>
          <w:tcPr>
            <w:tcW w:type="dxa" w:w="1610"/>
            <w:vAlign w:val="center"/>
            <w:shd w:fill="F1F4F7"/>
          </w:tcPr>
          <w:p>
            <w:pPr>
              <w:spacing w:after="40"/>
            </w:pPr>
            <w:r>
              <w:rPr>
                <w:sz w:val="14"/>
              </w:rPr>
              <w:t>Approved ISO 80369-7 interface compatibility test</w:t>
            </w:r>
          </w:p>
        </w:tc>
      </w:tr>
      <w:tr>
        <w:trPr>
          <w:cantSplit/>
        </w:trPr>
        <w:tc>
          <w:tcPr>
            <w:tcW w:type="dxa" w:w="1610"/>
            <w:vAlign w:val="center"/>
          </w:tcPr>
          <w:p>
            <w:pPr>
              <w:spacing w:after="40"/>
            </w:pPr>
            <w:r>
              <w:rPr>
                <w:sz w:val="14"/>
              </w:rPr>
              <w:t>R011</w:t>
            </w:r>
          </w:p>
        </w:tc>
        <w:tc>
          <w:tcPr>
            <w:tcW w:type="dxa" w:w="1610"/>
            <w:vAlign w:val="center"/>
          </w:tcPr>
          <w:p>
            <w:pPr>
              <w:spacing w:after="40"/>
            </w:pPr>
            <w:r>
              <w:rPr>
                <w:sz w:val="14"/>
              </w:rPr>
              <w:t>6.5.1</w:t>
            </w:r>
          </w:p>
        </w:tc>
        <w:tc>
          <w:tcPr>
            <w:tcW w:type="dxa" w:w="1610"/>
            <w:vAlign w:val="center"/>
          </w:tcPr>
          <w:p>
            <w:pPr>
              <w:spacing w:after="40"/>
            </w:pPr>
            <w:r>
              <w:rPr>
                <w:sz w:val="14"/>
              </w:rPr>
              <w:t>If cuffs are fitted, each cuff must be permanently integrated with the tube and capable of inflation without leakage.</w:t>
            </w:r>
          </w:p>
        </w:tc>
        <w:tc>
          <w:tcPr>
            <w:tcW w:type="dxa" w:w="1610"/>
            <w:vAlign w:val="center"/>
          </w:tcPr>
          <w:p>
            <w:pPr>
              <w:spacing w:after="40"/>
            </w:pPr>
            <w:r>
              <w:rPr>
                <w:sz w:val="14"/>
              </w:rPr>
              <w:t>Cuff integral; leak free</w:t>
            </w:r>
          </w:p>
        </w:tc>
        <w:tc>
          <w:tcPr>
            <w:tcW w:type="dxa" w:w="1610"/>
            <w:vAlign w:val="center"/>
          </w:tcPr>
          <w:p>
            <w:pPr>
              <w:spacing w:after="40"/>
            </w:pPr>
            <w:r>
              <w:rPr>
                <w:sz w:val="14"/>
              </w:rPr>
              <w:t>Cuff functional verification</w:t>
            </w:r>
          </w:p>
        </w:tc>
        <w:tc>
          <w:tcPr>
            <w:tcW w:type="dxa" w:w="1610"/>
            <w:vAlign w:val="center"/>
          </w:tcPr>
          <w:p>
            <w:pPr>
              <w:spacing w:after="40"/>
            </w:pPr>
            <w:r>
              <w:rPr>
                <w:sz w:val="14"/>
              </w:rPr>
              <w:t>Cuff attachment/leakage record for each required cuff</w:t>
            </w:r>
          </w:p>
        </w:tc>
      </w:tr>
      <w:tr>
        <w:trPr>
          <w:cantSplit/>
        </w:trPr>
        <w:tc>
          <w:tcPr>
            <w:tcW w:type="dxa" w:w="1610"/>
            <w:vAlign w:val="center"/>
            <w:shd w:fill="F1F4F7"/>
          </w:tcPr>
          <w:p>
            <w:pPr>
              <w:spacing w:after="40"/>
            </w:pPr>
            <w:r>
              <w:rPr>
                <w:sz w:val="14"/>
              </w:rPr>
              <w:t>R012</w:t>
            </w:r>
          </w:p>
        </w:tc>
        <w:tc>
          <w:tcPr>
            <w:tcW w:type="dxa" w:w="1610"/>
            <w:vAlign w:val="center"/>
            <w:shd w:fill="F1F4F7"/>
          </w:tcPr>
          <w:p>
            <w:pPr>
              <w:spacing w:after="40"/>
            </w:pPr>
            <w:r>
              <w:rPr>
                <w:sz w:val="14"/>
              </w:rPr>
              <w:t>6.5.1</w:t>
            </w:r>
          </w:p>
        </w:tc>
        <w:tc>
          <w:tcPr>
            <w:tcW w:type="dxa" w:w="1610"/>
            <w:vAlign w:val="center"/>
            <w:shd w:fill="F1F4F7"/>
          </w:tcPr>
          <w:p>
            <w:pPr>
              <w:spacing w:after="40"/>
            </w:pPr>
            <w:r>
              <w:rPr>
                <w:sz w:val="14"/>
              </w:rPr>
              <w:t>Cuff leak challenge: inflate up to 9.0 kPa (90 cmH2O) OR to 1.5 times measured cuff diameter, whichever is reached first; seal and disconnect the inflation source, immerse entire system, inspect ≥10 s, and accept only if no bubbles.</w:t>
            </w:r>
          </w:p>
        </w:tc>
        <w:tc>
          <w:tcPr>
            <w:tcW w:type="dxa" w:w="1610"/>
            <w:vAlign w:val="center"/>
            <w:shd w:fill="F1F4F7"/>
          </w:tcPr>
          <w:p>
            <w:pPr>
              <w:spacing w:after="40"/>
            </w:pPr>
            <w:r>
              <w:rPr>
                <w:sz w:val="14"/>
              </w:rPr>
              <w:t>No bubbles for ≥10 s; 9.0 kPa or 1.5× diameter, first reached</w:t>
            </w:r>
          </w:p>
        </w:tc>
        <w:tc>
          <w:tcPr>
            <w:tcW w:type="dxa" w:w="1610"/>
            <w:vAlign w:val="center"/>
            <w:shd w:fill="F1F4F7"/>
          </w:tcPr>
          <w:p>
            <w:pPr>
              <w:spacing w:after="40"/>
            </w:pPr>
            <w:r>
              <w:rPr>
                <w:sz w:val="14"/>
              </w:rPr>
              <w:t>Inflation; seal; detach inflator; complete water immersion</w:t>
            </w:r>
          </w:p>
        </w:tc>
        <w:tc>
          <w:tcPr>
            <w:tcW w:type="dxa" w:w="1610"/>
            <w:vAlign w:val="center"/>
            <w:shd w:fill="F1F4F7"/>
          </w:tcPr>
          <w:p>
            <w:pPr>
              <w:spacing w:after="40"/>
            </w:pPr>
            <w:r>
              <w:rPr>
                <w:sz w:val="14"/>
              </w:rPr>
              <w:t>Separate tracheal/bronchial cuff challenge pressure or diameter, ≥10-s observation</w:t>
            </w:r>
          </w:p>
        </w:tc>
      </w:tr>
      <w:tr>
        <w:trPr>
          <w:cantSplit/>
        </w:trPr>
        <w:tc>
          <w:tcPr>
            <w:tcW w:type="dxa" w:w="1610"/>
            <w:vAlign w:val="center"/>
          </w:tcPr>
          <w:p>
            <w:pPr>
              <w:spacing w:after="40"/>
            </w:pPr>
            <w:r>
              <w:rPr>
                <w:sz w:val="14"/>
              </w:rPr>
              <w:t>R013</w:t>
            </w:r>
          </w:p>
        </w:tc>
        <w:tc>
          <w:tcPr>
            <w:tcW w:type="dxa" w:w="1610"/>
            <w:vAlign w:val="center"/>
          </w:tcPr>
          <w:p>
            <w:pPr>
              <w:spacing w:after="40"/>
            </w:pPr>
            <w:r>
              <w:rPr>
                <w:sz w:val="14"/>
              </w:rPr>
              <w:t>6.5.2</w:t>
            </w:r>
          </w:p>
        </w:tc>
        <w:tc>
          <w:tcPr>
            <w:tcW w:type="dxa" w:w="1610"/>
            <w:vAlign w:val="center"/>
          </w:tcPr>
          <w:p>
            <w:pPr>
              <w:spacing w:after="40"/>
            </w:pPr>
            <w:r>
              <w:rPr>
                <w:sz w:val="14"/>
              </w:rPr>
              <w:t>Tracheal cuff resting diameter must fall within ±15% of the declared value when measured per ISO 5361:2016 Annex B.</w:t>
            </w:r>
          </w:p>
        </w:tc>
        <w:tc>
          <w:tcPr>
            <w:tcW w:type="dxa" w:w="1610"/>
            <w:vAlign w:val="center"/>
          </w:tcPr>
          <w:p>
            <w:pPr>
              <w:spacing w:after="40"/>
            </w:pPr>
            <w:r>
              <w:rPr>
                <w:sz w:val="14"/>
              </w:rPr>
              <w:t>Marked diameter ±15%</w:t>
            </w:r>
          </w:p>
        </w:tc>
        <w:tc>
          <w:tcPr>
            <w:tcW w:type="dxa" w:w="1610"/>
            <w:vAlign w:val="center"/>
          </w:tcPr>
          <w:p>
            <w:pPr>
              <w:spacing w:after="40"/>
            </w:pPr>
            <w:r>
              <w:rPr>
                <w:sz w:val="14"/>
              </w:rPr>
              <w:t>ISO 5361 Annex B; 2.0±0.1 kPa; 23±2°C; 5-min stabilization; four readings 45° apart</w:t>
            </w:r>
          </w:p>
        </w:tc>
        <w:tc>
          <w:tcPr>
            <w:tcW w:type="dxa" w:w="1610"/>
            <w:vAlign w:val="center"/>
          </w:tcPr>
          <w:p>
            <w:pPr>
              <w:spacing w:after="40"/>
            </w:pPr>
            <w:r>
              <w:rPr>
                <w:sz w:val="14"/>
              </w:rPr>
              <w:t>Tracheal cuff marked diameter, four readings, measured mean, calculation</w:t>
            </w:r>
          </w:p>
        </w:tc>
      </w:tr>
      <w:tr>
        <w:trPr>
          <w:cantSplit/>
        </w:trPr>
        <w:tc>
          <w:tcPr>
            <w:tcW w:type="dxa" w:w="1610"/>
            <w:vAlign w:val="center"/>
            <w:shd w:fill="F1F4F7"/>
          </w:tcPr>
          <w:p>
            <w:pPr>
              <w:spacing w:after="40"/>
            </w:pPr>
            <w:r>
              <w:rPr>
                <w:sz w:val="14"/>
              </w:rPr>
              <w:t>R014</w:t>
            </w:r>
          </w:p>
        </w:tc>
        <w:tc>
          <w:tcPr>
            <w:tcW w:type="dxa" w:w="1610"/>
            <w:vAlign w:val="center"/>
            <w:shd w:fill="F1F4F7"/>
          </w:tcPr>
          <w:p>
            <w:pPr>
              <w:spacing w:after="40"/>
            </w:pPr>
            <w:r>
              <w:rPr>
                <w:sz w:val="14"/>
              </w:rPr>
              <w:t>6.5.2</w:t>
            </w:r>
          </w:p>
        </w:tc>
        <w:tc>
          <w:tcPr>
            <w:tcW w:type="dxa" w:w="1610"/>
            <w:vAlign w:val="center"/>
            <w:shd w:fill="F1F4F7"/>
          </w:tcPr>
          <w:p>
            <w:pPr>
              <w:spacing w:after="40"/>
            </w:pPr>
            <w:r>
              <w:rPr>
                <w:sz w:val="14"/>
              </w:rPr>
              <w:t>Bronchial cuff resting diameter must fall within ±15% of declared value when measured per ISO 5361:2016 Annex B; a non-round bronchial cuff must disclose its widest diameter.</w:t>
            </w:r>
          </w:p>
        </w:tc>
        <w:tc>
          <w:tcPr>
            <w:tcW w:type="dxa" w:w="1610"/>
            <w:vAlign w:val="center"/>
            <w:shd w:fill="F1F4F7"/>
          </w:tcPr>
          <w:p>
            <w:pPr>
              <w:spacing w:after="40"/>
            </w:pPr>
            <w:r>
              <w:rPr>
                <w:sz w:val="14"/>
              </w:rPr>
              <w:t>Marked diameter ±15%; disclose widest diameter if noncircular</w:t>
            </w:r>
          </w:p>
        </w:tc>
        <w:tc>
          <w:tcPr>
            <w:tcW w:type="dxa" w:w="1610"/>
            <w:vAlign w:val="center"/>
            <w:shd w:fill="F1F4F7"/>
          </w:tcPr>
          <w:p>
            <w:pPr>
              <w:spacing w:after="40"/>
            </w:pPr>
            <w:r>
              <w:rPr>
                <w:sz w:val="14"/>
              </w:rPr>
              <w:t>ISO 5361 Annex B</w:t>
            </w:r>
          </w:p>
        </w:tc>
        <w:tc>
          <w:tcPr>
            <w:tcW w:type="dxa" w:w="1610"/>
            <w:vAlign w:val="center"/>
            <w:shd w:fill="F1F4F7"/>
          </w:tcPr>
          <w:p>
            <w:pPr>
              <w:spacing w:after="40"/>
            </w:pPr>
            <w:r>
              <w:rPr>
                <w:sz w:val="14"/>
              </w:rPr>
              <w:t>Bronchial cuff four readings and widest/declared diameter evidence</w:t>
            </w:r>
          </w:p>
        </w:tc>
      </w:tr>
      <w:tr>
        <w:trPr>
          <w:cantSplit/>
        </w:trPr>
        <w:tc>
          <w:tcPr>
            <w:tcW w:type="dxa" w:w="1610"/>
            <w:vAlign w:val="center"/>
          </w:tcPr>
          <w:p>
            <w:pPr>
              <w:spacing w:after="40"/>
            </w:pPr>
            <w:r>
              <w:rPr>
                <w:sz w:val="14"/>
              </w:rPr>
              <w:t>R015</w:t>
            </w:r>
          </w:p>
        </w:tc>
        <w:tc>
          <w:tcPr>
            <w:tcW w:type="dxa" w:w="1610"/>
            <w:vAlign w:val="center"/>
          </w:tcPr>
          <w:p>
            <w:pPr>
              <w:spacing w:after="40"/>
            </w:pPr>
            <w:r>
              <w:rPr>
                <w:sz w:val="14"/>
              </w:rPr>
              <w:t>6.5.3</w:t>
            </w:r>
          </w:p>
        </w:tc>
        <w:tc>
          <w:tcPr>
            <w:tcW w:type="dxa" w:w="1610"/>
            <w:vAlign w:val="center"/>
          </w:tcPr>
          <w:p>
            <w:pPr>
              <w:spacing w:after="40"/>
            </w:pPr>
            <w:r>
              <w:rPr>
                <w:sz w:val="14"/>
              </w:rPr>
              <w:t>Under ISO 5361:2016 Annex D cuff-herniation test, only the cuff under test is inflated and neither cuff may extend beyond nearest patient-end edge of its respective segment.</w:t>
            </w:r>
          </w:p>
        </w:tc>
        <w:tc>
          <w:tcPr>
            <w:tcW w:type="dxa" w:w="1610"/>
            <w:vAlign w:val="center"/>
          </w:tcPr>
          <w:p>
            <w:pPr>
              <w:spacing w:after="40"/>
            </w:pPr>
            <w:r>
              <w:rPr>
                <w:sz w:val="14"/>
              </w:rPr>
              <w:t>No reach beyond nearest patient-end edge</w:t>
            </w:r>
          </w:p>
        </w:tc>
        <w:tc>
          <w:tcPr>
            <w:tcW w:type="dxa" w:w="1610"/>
            <w:vAlign w:val="center"/>
          </w:tcPr>
          <w:p>
            <w:pPr>
              <w:spacing w:after="40"/>
            </w:pPr>
            <w:r>
              <w:rPr>
                <w:sz w:val="14"/>
              </w:rPr>
              <w:t>ISO 5361 Annex D, with product-specific fixture verified</w:t>
            </w:r>
          </w:p>
        </w:tc>
        <w:tc>
          <w:tcPr>
            <w:tcW w:type="dxa" w:w="1610"/>
            <w:vAlign w:val="center"/>
          </w:tcPr>
          <w:p>
            <w:pPr>
              <w:spacing w:after="40"/>
            </w:pPr>
            <w:r>
              <w:rPr>
                <w:sz w:val="14"/>
              </w:rPr>
              <w:t>Herniation test record per cuff with conditioning, fixture, force and observation</w:t>
            </w:r>
          </w:p>
        </w:tc>
      </w:tr>
      <w:tr>
        <w:trPr>
          <w:cantSplit/>
        </w:trPr>
        <w:tc>
          <w:tcPr>
            <w:tcW w:type="dxa" w:w="1610"/>
            <w:vAlign w:val="center"/>
            <w:shd w:fill="F1F4F7"/>
          </w:tcPr>
          <w:p>
            <w:pPr>
              <w:spacing w:after="40"/>
            </w:pPr>
            <w:r>
              <w:rPr>
                <w:sz w:val="14"/>
              </w:rPr>
              <w:t>R016</w:t>
            </w:r>
          </w:p>
        </w:tc>
        <w:tc>
          <w:tcPr>
            <w:tcW w:type="dxa" w:w="1610"/>
            <w:vAlign w:val="center"/>
            <w:shd w:fill="F1F4F7"/>
          </w:tcPr>
          <w:p>
            <w:pPr>
              <w:spacing w:after="40"/>
            </w:pPr>
            <w:r>
              <w:rPr>
                <w:sz w:val="14"/>
              </w:rPr>
              <w:t>6.5.4</w:t>
            </w:r>
          </w:p>
        </w:tc>
        <w:tc>
          <w:tcPr>
            <w:tcW w:type="dxa" w:w="1610"/>
            <w:vAlign w:val="center"/>
            <w:shd w:fill="F1F4F7"/>
          </w:tcPr>
          <w:p>
            <w:pPr>
              <w:spacing w:after="40"/>
            </w:pPr>
            <w:r>
              <w:rPr>
                <w:sz w:val="14"/>
              </w:rPr>
              <w:t>Cuff attachment transitions and outer surfaces must be free from sharp edges; demonstrate through review of risk-management documentation.</w:t>
            </w:r>
          </w:p>
        </w:tc>
        <w:tc>
          <w:tcPr>
            <w:tcW w:type="dxa" w:w="1610"/>
            <w:vAlign w:val="center"/>
            <w:shd w:fill="F1F4F7"/>
          </w:tcPr>
          <w:p>
            <w:pPr>
              <w:spacing w:after="40"/>
            </w:pPr>
            <w:r>
              <w:rPr>
                <w:sz w:val="14"/>
              </w:rPr>
              <w:t>No sharp edges at the cuff-to-shaft transition</w:t>
            </w:r>
          </w:p>
        </w:tc>
        <w:tc>
          <w:tcPr>
            <w:tcW w:type="dxa" w:w="1610"/>
            <w:vAlign w:val="center"/>
            <w:shd w:fill="F1F4F7"/>
          </w:tcPr>
          <w:p>
            <w:pPr>
              <w:spacing w:after="40"/>
            </w:pPr>
            <w:r>
              <w:rPr>
                <w:sz w:val="14"/>
              </w:rPr>
              <w:t>Design risk file / visual control</w:t>
            </w:r>
          </w:p>
        </w:tc>
        <w:tc>
          <w:tcPr>
            <w:tcW w:type="dxa" w:w="1610"/>
            <w:vAlign w:val="center"/>
            <w:shd w:fill="F1F4F7"/>
          </w:tcPr>
          <w:p>
            <w:pPr>
              <w:spacing w:after="40"/>
            </w:pPr>
            <w:r>
              <w:rPr>
                <w:sz w:val="14"/>
              </w:rPr>
              <w:t>Approved sharp-edge assessment and inspection records</w:t>
            </w:r>
          </w:p>
        </w:tc>
      </w:tr>
      <w:tr>
        <w:trPr>
          <w:cantSplit/>
        </w:trPr>
        <w:tc>
          <w:tcPr>
            <w:tcW w:type="dxa" w:w="1610"/>
            <w:vAlign w:val="center"/>
          </w:tcPr>
          <w:p>
            <w:pPr>
              <w:spacing w:after="40"/>
            </w:pPr>
            <w:r>
              <w:rPr>
                <w:sz w:val="14"/>
              </w:rPr>
              <w:t>R017</w:t>
            </w:r>
          </w:p>
        </w:tc>
        <w:tc>
          <w:tcPr>
            <w:tcW w:type="dxa" w:w="1610"/>
            <w:vAlign w:val="center"/>
          </w:tcPr>
          <w:p>
            <w:pPr>
              <w:spacing w:after="40"/>
            </w:pPr>
            <w:r>
              <w:rPr>
                <w:sz w:val="14"/>
              </w:rPr>
              <w:t>6.6 → 5361 5.6.1</w:t>
            </w:r>
          </w:p>
        </w:tc>
        <w:tc>
          <w:tcPr>
            <w:tcW w:type="dxa" w:w="1610"/>
            <w:vAlign w:val="center"/>
          </w:tcPr>
          <w:p>
            <w:pPr>
              <w:spacing w:after="40"/>
            </w:pPr>
            <w:r>
              <w:rPr>
                <w:sz w:val="14"/>
              </w:rPr>
              <w:t>Where fitted, inflation-tube OD ≤3.0 mm; point of separation on concave side if curved; inflation lumen intrusion ≤10% of internal diameter; dimensions per referenced table/figures.</w:t>
            </w:r>
          </w:p>
        </w:tc>
        <w:tc>
          <w:tcPr>
            <w:tcW w:type="dxa" w:w="1610"/>
            <w:vAlign w:val="center"/>
          </w:tcPr>
          <w:p>
            <w:pPr>
              <w:spacing w:after="40"/>
            </w:pPr>
            <w:r>
              <w:rPr>
                <w:sz w:val="14"/>
              </w:rPr>
              <w:t>≤3.0 mm OD; ≤10% intrusion; correct point of separation</w:t>
            </w:r>
          </w:p>
        </w:tc>
        <w:tc>
          <w:tcPr>
            <w:tcW w:type="dxa" w:w="1610"/>
            <w:vAlign w:val="center"/>
          </w:tcPr>
          <w:p>
            <w:pPr>
              <w:spacing w:after="40"/>
            </w:pPr>
            <w:r>
              <w:rPr>
                <w:sz w:val="14"/>
              </w:rPr>
              <w:t>Design verification</w:t>
            </w:r>
          </w:p>
        </w:tc>
        <w:tc>
          <w:tcPr>
            <w:tcW w:type="dxa" w:w="1610"/>
            <w:vAlign w:val="center"/>
          </w:tcPr>
          <w:p>
            <w:pPr>
              <w:spacing w:after="40"/>
            </w:pPr>
            <w:r>
              <w:rPr>
                <w:sz w:val="14"/>
              </w:rPr>
              <w:t>Inflation tube OD, drawing geometry, lumen intrusion assessment</w:t>
            </w:r>
          </w:p>
        </w:tc>
      </w:tr>
      <w:tr>
        <w:trPr>
          <w:cantSplit/>
        </w:trPr>
        <w:tc>
          <w:tcPr>
            <w:tcW w:type="dxa" w:w="1610"/>
            <w:vAlign w:val="center"/>
            <w:shd w:fill="F1F4F7"/>
          </w:tcPr>
          <w:p>
            <w:pPr>
              <w:spacing w:after="40"/>
            </w:pPr>
            <w:r>
              <w:rPr>
                <w:sz w:val="14"/>
              </w:rPr>
              <w:t>R018</w:t>
            </w:r>
          </w:p>
        </w:tc>
        <w:tc>
          <w:tcPr>
            <w:tcW w:type="dxa" w:w="1610"/>
            <w:vAlign w:val="center"/>
            <w:shd w:fill="F1F4F7"/>
          </w:tcPr>
          <w:p>
            <w:pPr>
              <w:spacing w:after="40"/>
            </w:pPr>
            <w:r>
              <w:rPr>
                <w:sz w:val="14"/>
              </w:rPr>
              <w:t>6.6 → 5361 5.6.2</w:t>
            </w:r>
          </w:p>
        </w:tc>
        <w:tc>
          <w:tcPr>
            <w:tcW w:type="dxa" w:w="1610"/>
            <w:vAlign w:val="center"/>
            <w:shd w:fill="F1F4F7"/>
          </w:tcPr>
          <w:p>
            <w:pPr>
              <w:spacing w:after="40"/>
            </w:pPr>
            <w:r>
              <w:rPr>
                <w:sz w:val="14"/>
              </w:rPr>
              <w:t>Angle between inflation tube and tracheal tube at separation must not exceed 45°.</w:t>
            </w:r>
          </w:p>
        </w:tc>
        <w:tc>
          <w:tcPr>
            <w:tcW w:type="dxa" w:w="1610"/>
            <w:vAlign w:val="center"/>
            <w:shd w:fill="F1F4F7"/>
          </w:tcPr>
          <w:p>
            <w:pPr>
              <w:spacing w:after="40"/>
            </w:pPr>
            <w:r>
              <w:rPr>
                <w:sz w:val="14"/>
              </w:rPr>
              <w:t>≤45°</w:t>
            </w:r>
          </w:p>
        </w:tc>
        <w:tc>
          <w:tcPr>
            <w:tcW w:type="dxa" w:w="1610"/>
            <w:vAlign w:val="center"/>
            <w:shd w:fill="F1F4F7"/>
          </w:tcPr>
          <w:p>
            <w:pPr>
              <w:spacing w:after="40"/>
            </w:pPr>
            <w:r>
              <w:rPr>
                <w:sz w:val="14"/>
              </w:rPr>
              <w:t>Dimensional / technical file</w:t>
            </w:r>
          </w:p>
        </w:tc>
        <w:tc>
          <w:tcPr>
            <w:tcW w:type="dxa" w:w="1610"/>
            <w:vAlign w:val="center"/>
            <w:shd w:fill="F1F4F7"/>
          </w:tcPr>
          <w:p>
            <w:pPr>
              <w:spacing w:after="40"/>
            </w:pPr>
            <w:r>
              <w:rPr>
                <w:sz w:val="14"/>
              </w:rPr>
              <w:t>Measured angle/drawing and approval</w:t>
            </w:r>
          </w:p>
        </w:tc>
      </w:tr>
      <w:tr>
        <w:trPr>
          <w:cantSplit/>
        </w:trPr>
        <w:tc>
          <w:tcPr>
            <w:tcW w:type="dxa" w:w="1610"/>
            <w:vAlign w:val="center"/>
          </w:tcPr>
          <w:p>
            <w:pPr>
              <w:spacing w:after="40"/>
            </w:pPr>
            <w:r>
              <w:rPr>
                <w:sz w:val="14"/>
              </w:rPr>
              <w:t>R019</w:t>
            </w:r>
          </w:p>
        </w:tc>
        <w:tc>
          <w:tcPr>
            <w:tcW w:type="dxa" w:w="1610"/>
            <w:vAlign w:val="center"/>
          </w:tcPr>
          <w:p>
            <w:pPr>
              <w:spacing w:after="40"/>
            </w:pPr>
            <w:r>
              <w:rPr>
                <w:sz w:val="14"/>
              </w:rPr>
              <w:t>6.6 → 5361 5.6.3</w:t>
            </w:r>
          </w:p>
        </w:tc>
        <w:tc>
          <w:tcPr>
            <w:tcW w:type="dxa" w:w="1610"/>
            <w:vAlign w:val="center"/>
          </w:tcPr>
          <w:p>
            <w:pPr>
              <w:spacing w:after="40"/>
            </w:pPr>
            <w:r>
              <w:rPr>
                <w:sz w:val="14"/>
              </w:rPr>
              <w:t>Inflation tube must have a pilot balloon and/or another inflation/deflation indicator.</w:t>
            </w:r>
          </w:p>
        </w:tc>
        <w:tc>
          <w:tcPr>
            <w:tcW w:type="dxa" w:w="1610"/>
            <w:vAlign w:val="center"/>
          </w:tcPr>
          <w:p>
            <w:pPr>
              <w:spacing w:after="40"/>
            </w:pPr>
            <w:r>
              <w:rPr>
                <w:sz w:val="14"/>
              </w:rPr>
              <w:t>Inflation/deflation indication functions</w:t>
            </w:r>
          </w:p>
        </w:tc>
        <w:tc>
          <w:tcPr>
            <w:tcW w:type="dxa" w:w="1610"/>
            <w:vAlign w:val="center"/>
          </w:tcPr>
          <w:p>
            <w:pPr>
              <w:spacing w:after="40"/>
            </w:pPr>
            <w:r>
              <w:rPr>
                <w:sz w:val="14"/>
              </w:rPr>
              <w:t>Routine / incoming</w:t>
            </w:r>
          </w:p>
        </w:tc>
        <w:tc>
          <w:tcPr>
            <w:tcW w:type="dxa" w:w="1610"/>
            <w:vAlign w:val="center"/>
          </w:tcPr>
          <w:p>
            <w:pPr>
              <w:spacing w:after="40"/>
            </w:pPr>
            <w:r>
              <w:rPr>
                <w:sz w:val="14"/>
              </w:rPr>
              <w:t>Pilot balloon/indicator function record</w:t>
            </w:r>
          </w:p>
        </w:tc>
      </w:tr>
      <w:tr>
        <w:trPr>
          <w:cantSplit/>
        </w:trPr>
        <w:tc>
          <w:tcPr>
            <w:tcW w:type="dxa" w:w="1610"/>
            <w:vAlign w:val="center"/>
            <w:shd w:fill="F1F4F7"/>
          </w:tcPr>
          <w:p>
            <w:pPr>
              <w:spacing w:after="40"/>
            </w:pPr>
            <w:r>
              <w:rPr>
                <w:sz w:val="14"/>
              </w:rPr>
              <w:t>R020</w:t>
            </w:r>
          </w:p>
        </w:tc>
        <w:tc>
          <w:tcPr>
            <w:tcW w:type="dxa" w:w="1610"/>
            <w:vAlign w:val="center"/>
            <w:shd w:fill="F1F4F7"/>
          </w:tcPr>
          <w:p>
            <w:pPr>
              <w:spacing w:after="40"/>
            </w:pPr>
            <w:r>
              <w:rPr>
                <w:sz w:val="14"/>
              </w:rPr>
              <w:t>6.6 → 5361 5.6.4</w:t>
            </w:r>
          </w:p>
        </w:tc>
        <w:tc>
          <w:tcPr>
            <w:tcW w:type="dxa" w:w="1610"/>
            <w:vAlign w:val="center"/>
            <w:shd w:fill="F1F4F7"/>
          </w:tcPr>
          <w:p>
            <w:pPr>
              <w:spacing w:after="40"/>
            </w:pPr>
            <w:r>
              <w:rPr>
                <w:sz w:val="14"/>
              </w:rPr>
              <w:t>Cuff intentional deflation must not be obstructed by inflation tube, valve or other closure device.</w:t>
            </w:r>
          </w:p>
        </w:tc>
        <w:tc>
          <w:tcPr>
            <w:tcW w:type="dxa" w:w="1610"/>
            <w:vAlign w:val="center"/>
            <w:shd w:fill="F1F4F7"/>
          </w:tcPr>
          <w:p>
            <w:pPr>
              <w:spacing w:after="40"/>
            </w:pPr>
            <w:r>
              <w:rPr>
                <w:sz w:val="14"/>
              </w:rPr>
              <w:t>Intentional deflation unobstructed</w:t>
            </w:r>
          </w:p>
        </w:tc>
        <w:tc>
          <w:tcPr>
            <w:tcW w:type="dxa" w:w="1610"/>
            <w:vAlign w:val="center"/>
            <w:shd w:fill="F1F4F7"/>
          </w:tcPr>
          <w:p>
            <w:pPr>
              <w:spacing w:after="40"/>
            </w:pPr>
            <w:r>
              <w:rPr>
                <w:sz w:val="14"/>
              </w:rPr>
              <w:t>Functional verification</w:t>
            </w:r>
          </w:p>
        </w:tc>
        <w:tc>
          <w:tcPr>
            <w:tcW w:type="dxa" w:w="1610"/>
            <w:vAlign w:val="center"/>
            <w:shd w:fill="F1F4F7"/>
          </w:tcPr>
          <w:p>
            <w:pPr>
              <w:spacing w:after="40"/>
            </w:pPr>
            <w:r>
              <w:rPr>
                <w:sz w:val="14"/>
              </w:rPr>
              <w:t>Intentional-deflation time/observation and setup</w:t>
            </w:r>
          </w:p>
        </w:tc>
      </w:tr>
      <w:tr>
        <w:trPr>
          <w:cantSplit/>
        </w:trPr>
        <w:tc>
          <w:tcPr>
            <w:tcW w:type="dxa" w:w="1610"/>
            <w:vAlign w:val="center"/>
          </w:tcPr>
          <w:p>
            <w:pPr>
              <w:spacing w:after="40"/>
            </w:pPr>
            <w:r>
              <w:rPr>
                <w:sz w:val="14"/>
              </w:rPr>
              <w:t>R021</w:t>
            </w:r>
          </w:p>
        </w:tc>
        <w:tc>
          <w:tcPr>
            <w:tcW w:type="dxa" w:w="1610"/>
            <w:vAlign w:val="center"/>
          </w:tcPr>
          <w:p>
            <w:pPr>
              <w:spacing w:after="40"/>
            </w:pPr>
            <w:r>
              <w:rPr>
                <w:sz w:val="14"/>
              </w:rPr>
              <w:t>6.6 → 5361 5.6.5</w:t>
            </w:r>
          </w:p>
        </w:tc>
        <w:tc>
          <w:tcPr>
            <w:tcW w:type="dxa" w:w="1610"/>
            <w:vAlign w:val="center"/>
          </w:tcPr>
          <w:p>
            <w:pPr>
              <w:spacing w:after="40"/>
            </w:pPr>
            <w:r>
              <w:rPr>
                <w:sz w:val="14"/>
              </w:rPr>
              <w:t>Inflation inlet must accept the applicable male 6% taper fitting under referenced 5361 Clause 5.6.5; reconcile with ISO 16628 Clause 6.4.2 requirement for ISO 80369-7 L1 male compatibility.</w:t>
            </w:r>
          </w:p>
        </w:tc>
        <w:tc>
          <w:tcPr>
            <w:tcW w:type="dxa" w:w="1610"/>
            <w:vAlign w:val="center"/>
          </w:tcPr>
          <w:p>
            <w:pPr>
              <w:spacing w:after="40"/>
            </w:pPr>
            <w:r>
              <w:rPr>
                <w:sz w:val="14"/>
              </w:rPr>
              <w:t>Approved specification required</w:t>
            </w:r>
          </w:p>
        </w:tc>
        <w:tc>
          <w:tcPr>
            <w:tcW w:type="dxa" w:w="1610"/>
            <w:vAlign w:val="center"/>
          </w:tcPr>
          <w:p>
            <w:pPr>
              <w:spacing w:after="40"/>
            </w:pPr>
            <w:r>
              <w:rPr>
                <w:sz w:val="14"/>
              </w:rPr>
              <w:t>Connector qualification</w:t>
            </w:r>
          </w:p>
        </w:tc>
        <w:tc>
          <w:tcPr>
            <w:tcW w:type="dxa" w:w="1610"/>
            <w:vAlign w:val="center"/>
          </w:tcPr>
          <w:p>
            <w:pPr>
              <w:spacing w:after="40"/>
            </w:pPr>
            <w:r>
              <w:rPr>
                <w:sz w:val="14"/>
              </w:rPr>
              <w:t>Documented reconciled connector-interface assessment</w:t>
            </w:r>
          </w:p>
        </w:tc>
      </w:tr>
      <w:tr>
        <w:trPr>
          <w:cantSplit/>
        </w:trPr>
        <w:tc>
          <w:tcPr>
            <w:tcW w:type="dxa" w:w="1610"/>
            <w:vAlign w:val="center"/>
            <w:shd w:fill="F1F4F7"/>
          </w:tcPr>
          <w:p>
            <w:pPr>
              <w:spacing w:after="40"/>
            </w:pPr>
            <w:r>
              <w:rPr>
                <w:sz w:val="14"/>
              </w:rPr>
              <w:t>R022</w:t>
            </w:r>
          </w:p>
        </w:tc>
        <w:tc>
          <w:tcPr>
            <w:tcW w:type="dxa" w:w="1610"/>
            <w:vAlign w:val="center"/>
            <w:shd w:fill="F1F4F7"/>
          </w:tcPr>
          <w:p>
            <w:pPr>
              <w:spacing w:after="40"/>
            </w:pPr>
            <w:r>
              <w:rPr>
                <w:sz w:val="14"/>
              </w:rPr>
              <w:t>6.6 → 5361 5.6.6</w:t>
            </w:r>
          </w:p>
        </w:tc>
        <w:tc>
          <w:tcPr>
            <w:tcW w:type="dxa" w:w="1610"/>
            <w:vAlign w:val="center"/>
            <w:shd w:fill="F1F4F7"/>
          </w:tcPr>
          <w:p>
            <w:pPr>
              <w:spacing w:after="40"/>
            </w:pPr>
            <w:r>
              <w:rPr>
                <w:sz w:val="14"/>
              </w:rPr>
              <w:t>If inflation valve/closure is absent, inflation tube free S3 length must be ≥40 mm.</w:t>
            </w:r>
          </w:p>
        </w:tc>
        <w:tc>
          <w:tcPr>
            <w:tcW w:type="dxa" w:w="1610"/>
            <w:vAlign w:val="center"/>
            <w:shd w:fill="F1F4F7"/>
          </w:tcPr>
          <w:p>
            <w:pPr>
              <w:spacing w:after="40"/>
            </w:pPr>
            <w:r>
              <w:rPr>
                <w:sz w:val="14"/>
              </w:rPr>
              <w:t>S3 ≥40 mm unless valve/closure provided</w:t>
            </w:r>
          </w:p>
        </w:tc>
        <w:tc>
          <w:tcPr>
            <w:tcW w:type="dxa" w:w="1610"/>
            <w:vAlign w:val="center"/>
            <w:shd w:fill="F1F4F7"/>
          </w:tcPr>
          <w:p>
            <w:pPr>
              <w:spacing w:after="40"/>
            </w:pPr>
            <w:r>
              <w:rPr>
                <w:sz w:val="14"/>
              </w:rPr>
              <w:t>Conditional drawing verification</w:t>
            </w:r>
          </w:p>
        </w:tc>
        <w:tc>
          <w:tcPr>
            <w:tcW w:type="dxa" w:w="1610"/>
            <w:vAlign w:val="center"/>
            <w:shd w:fill="F1F4F7"/>
          </w:tcPr>
          <w:p>
            <w:pPr>
              <w:spacing w:after="40"/>
            </w:pPr>
            <w:r>
              <w:rPr>
                <w:sz w:val="14"/>
              </w:rPr>
              <w:t>S3 length measured on relevant configuration</w:t>
            </w:r>
          </w:p>
        </w:tc>
      </w:tr>
      <w:tr>
        <w:trPr>
          <w:cantSplit/>
        </w:trPr>
        <w:tc>
          <w:tcPr>
            <w:tcW w:type="dxa" w:w="1610"/>
            <w:vAlign w:val="center"/>
          </w:tcPr>
          <w:p>
            <w:pPr>
              <w:spacing w:after="40"/>
            </w:pPr>
            <w:r>
              <w:rPr>
                <w:sz w:val="14"/>
              </w:rPr>
              <w:t>R023</w:t>
            </w:r>
          </w:p>
        </w:tc>
        <w:tc>
          <w:tcPr>
            <w:tcW w:type="dxa" w:w="1610"/>
            <w:vAlign w:val="center"/>
          </w:tcPr>
          <w:p>
            <w:pPr>
              <w:spacing w:after="40"/>
            </w:pPr>
            <w:r>
              <w:rPr>
                <w:sz w:val="14"/>
              </w:rPr>
              <w:t>6.6 → 5361 5.6.7</w:t>
            </w:r>
          </w:p>
        </w:tc>
        <w:tc>
          <w:tcPr>
            <w:tcW w:type="dxa" w:w="1610"/>
            <w:vAlign w:val="center"/>
          </w:tcPr>
          <w:p>
            <w:pPr>
              <w:spacing w:after="40"/>
            </w:pPr>
            <w:r>
              <w:rPr>
                <w:sz w:val="14"/>
              </w:rPr>
              <w:t>If closure device exists, S3 ≥10 mm unless pilot balloon and inflation valve are integral.</w:t>
            </w:r>
          </w:p>
        </w:tc>
        <w:tc>
          <w:tcPr>
            <w:tcW w:type="dxa" w:w="1610"/>
            <w:vAlign w:val="center"/>
          </w:tcPr>
          <w:p>
            <w:pPr>
              <w:spacing w:after="40"/>
            </w:pPr>
            <w:r>
              <w:rPr>
                <w:sz w:val="14"/>
              </w:rPr>
              <w:t>S3 ≥10 mm if closure; exception as specified</w:t>
            </w:r>
          </w:p>
        </w:tc>
        <w:tc>
          <w:tcPr>
            <w:tcW w:type="dxa" w:w="1610"/>
            <w:vAlign w:val="center"/>
          </w:tcPr>
          <w:p>
            <w:pPr>
              <w:spacing w:after="40"/>
            </w:pPr>
            <w:r>
              <w:rPr>
                <w:sz w:val="14"/>
              </w:rPr>
              <w:t>Conditional drawing verification</w:t>
            </w:r>
          </w:p>
        </w:tc>
        <w:tc>
          <w:tcPr>
            <w:tcW w:type="dxa" w:w="1610"/>
            <w:vAlign w:val="center"/>
          </w:tcPr>
          <w:p>
            <w:pPr>
              <w:spacing w:after="40"/>
            </w:pPr>
            <w:r>
              <w:rPr>
                <w:sz w:val="14"/>
              </w:rPr>
              <w:t>S3 measurement and actual valve configuration</w:t>
            </w:r>
          </w:p>
        </w:tc>
      </w:tr>
      <w:tr>
        <w:trPr>
          <w:cantSplit/>
        </w:trPr>
        <w:tc>
          <w:tcPr>
            <w:tcW w:type="dxa" w:w="1610"/>
            <w:vAlign w:val="center"/>
            <w:shd w:fill="F1F4F7"/>
          </w:tcPr>
          <w:p>
            <w:pPr>
              <w:spacing w:after="40"/>
            </w:pPr>
            <w:r>
              <w:rPr>
                <w:sz w:val="14"/>
              </w:rPr>
              <w:t>R024</w:t>
            </w:r>
          </w:p>
        </w:tc>
        <w:tc>
          <w:tcPr>
            <w:tcW w:type="dxa" w:w="1610"/>
            <w:vAlign w:val="center"/>
            <w:shd w:fill="F1F4F7"/>
          </w:tcPr>
          <w:p>
            <w:pPr>
              <w:spacing w:after="40"/>
            </w:pPr>
            <w:r>
              <w:rPr>
                <w:sz w:val="14"/>
              </w:rPr>
              <w:t>6.6 → 5361 5.6.8</w:t>
            </w:r>
          </w:p>
        </w:tc>
        <w:tc>
          <w:tcPr>
            <w:tcW w:type="dxa" w:w="1610"/>
            <w:vAlign w:val="center"/>
            <w:shd w:fill="F1F4F7"/>
          </w:tcPr>
          <w:p>
            <w:pPr>
              <w:spacing w:after="40"/>
            </w:pPr>
            <w:r>
              <w:rPr>
                <w:sz w:val="14"/>
              </w:rPr>
              <w:t>If inflation-tube separation distance from patient end is marked, actual dimension must equal mark ±10 mm.</w:t>
            </w:r>
          </w:p>
        </w:tc>
        <w:tc>
          <w:tcPr>
            <w:tcW w:type="dxa" w:w="1610"/>
            <w:vAlign w:val="center"/>
            <w:shd w:fill="F1F4F7"/>
          </w:tcPr>
          <w:p>
            <w:pPr>
              <w:spacing w:after="40"/>
            </w:pPr>
            <w:r>
              <w:rPr>
                <w:sz w:val="14"/>
              </w:rPr>
              <w:t>Marked distance ±10 mm</w:t>
            </w:r>
          </w:p>
        </w:tc>
        <w:tc>
          <w:tcPr>
            <w:tcW w:type="dxa" w:w="1610"/>
            <w:vAlign w:val="center"/>
            <w:shd w:fill="F1F4F7"/>
          </w:tcPr>
          <w:p>
            <w:pPr>
              <w:spacing w:after="40"/>
            </w:pPr>
            <w:r>
              <w:rPr>
                <w:sz w:val="14"/>
              </w:rPr>
              <w:t>Conditional marking verification</w:t>
            </w:r>
          </w:p>
        </w:tc>
        <w:tc>
          <w:tcPr>
            <w:tcW w:type="dxa" w:w="1610"/>
            <w:vAlign w:val="center"/>
            <w:shd w:fill="F1F4F7"/>
          </w:tcPr>
          <w:p>
            <w:pPr>
              <w:spacing w:after="40"/>
            </w:pPr>
            <w:r>
              <w:rPr>
                <w:sz w:val="14"/>
              </w:rPr>
              <w:t>Marking applicability and measured dimension</w:t>
            </w:r>
          </w:p>
        </w:tc>
      </w:tr>
      <w:tr>
        <w:trPr>
          <w:cantSplit/>
        </w:trPr>
        <w:tc>
          <w:tcPr>
            <w:tcW w:type="dxa" w:w="1610"/>
            <w:vAlign w:val="center"/>
          </w:tcPr>
          <w:p>
            <w:pPr>
              <w:spacing w:after="40"/>
            </w:pPr>
            <w:r>
              <w:rPr>
                <w:sz w:val="14"/>
              </w:rPr>
              <w:t>R025</w:t>
            </w:r>
          </w:p>
        </w:tc>
        <w:tc>
          <w:tcPr>
            <w:tcW w:type="dxa" w:w="1610"/>
            <w:vAlign w:val="center"/>
          </w:tcPr>
          <w:p>
            <w:pPr>
              <w:spacing w:after="40"/>
            </w:pPr>
            <w:r>
              <w:rPr>
                <w:sz w:val="14"/>
              </w:rPr>
              <w:t>7</w:t>
            </w:r>
          </w:p>
        </w:tc>
        <w:tc>
          <w:tcPr>
            <w:tcW w:type="dxa" w:w="1610"/>
            <w:vAlign w:val="center"/>
          </w:tcPr>
          <w:p>
            <w:pPr>
              <w:spacing w:after="40"/>
            </w:pPr>
            <w:r>
              <w:rPr>
                <w:sz w:val="14"/>
              </w:rPr>
              <w:t>Sterile-supplied tracheobronchial tubes must satisfy ISO 18190:2016 Clause 7, details not independently verifiable without ISO 18190.</w:t>
            </w:r>
          </w:p>
        </w:tc>
        <w:tc>
          <w:tcPr>
            <w:tcW w:type="dxa" w:w="1610"/>
            <w:vAlign w:val="center"/>
          </w:tcPr>
          <w:p>
            <w:pPr>
              <w:spacing w:after="40"/>
            </w:pPr>
            <w:r>
              <w:rPr>
                <w:sz w:val="14"/>
              </w:rPr>
              <w:t>Approved specification required</w:t>
            </w:r>
          </w:p>
        </w:tc>
        <w:tc>
          <w:tcPr>
            <w:tcW w:type="dxa" w:w="1610"/>
            <w:vAlign w:val="center"/>
          </w:tcPr>
          <w:p>
            <w:pPr>
              <w:spacing w:after="40"/>
            </w:pPr>
            <w:r>
              <w:rPr>
                <w:sz w:val="14"/>
              </w:rPr>
              <w:t>Sterilization validation / release</w:t>
            </w:r>
          </w:p>
        </w:tc>
        <w:tc>
          <w:tcPr>
            <w:tcW w:type="dxa" w:w="1610"/>
            <w:vAlign w:val="center"/>
          </w:tcPr>
          <w:p>
            <w:pPr>
              <w:spacing w:after="40"/>
            </w:pPr>
            <w:r>
              <w:rPr>
                <w:sz w:val="14"/>
              </w:rPr>
              <w:t>Sterilization process validation, release records, ISO18190 Clause7 review</w:t>
            </w:r>
          </w:p>
        </w:tc>
      </w:tr>
      <w:tr>
        <w:trPr>
          <w:cantSplit/>
        </w:trPr>
        <w:tc>
          <w:tcPr>
            <w:tcW w:type="dxa" w:w="1610"/>
            <w:vAlign w:val="center"/>
            <w:shd w:fill="F1F4F7"/>
          </w:tcPr>
          <w:p>
            <w:pPr>
              <w:spacing w:after="40"/>
            </w:pPr>
            <w:r>
              <w:rPr>
                <w:sz w:val="14"/>
              </w:rPr>
              <w:t>R026</w:t>
            </w:r>
          </w:p>
        </w:tc>
        <w:tc>
          <w:tcPr>
            <w:tcW w:type="dxa" w:w="1610"/>
            <w:vAlign w:val="center"/>
            <w:shd w:fill="F1F4F7"/>
          </w:tcPr>
          <w:p>
            <w:pPr>
              <w:spacing w:after="40"/>
            </w:pPr>
            <w:r>
              <w:rPr>
                <w:sz w:val="14"/>
              </w:rPr>
              <w:t>8</w:t>
            </w:r>
          </w:p>
        </w:tc>
        <w:tc>
          <w:tcPr>
            <w:tcW w:type="dxa" w:w="1610"/>
            <w:vAlign w:val="center"/>
            <w:shd w:fill="F1F4F7"/>
          </w:tcPr>
          <w:p>
            <w:pPr>
              <w:spacing w:after="40"/>
            </w:pPr>
            <w:r>
              <w:rPr>
                <w:sz w:val="14"/>
              </w:rPr>
              <w:t>Packaging for tracheobronchial tubes must meet ISO 18190:2016 Clause 8 requirements, which must be retrieved and verified.</w:t>
            </w:r>
          </w:p>
        </w:tc>
        <w:tc>
          <w:tcPr>
            <w:tcW w:type="dxa" w:w="1610"/>
            <w:vAlign w:val="center"/>
            <w:shd w:fill="F1F4F7"/>
          </w:tcPr>
          <w:p>
            <w:pPr>
              <w:spacing w:after="40"/>
            </w:pPr>
            <w:r>
              <w:rPr>
                <w:sz w:val="14"/>
              </w:rPr>
              <w:t>Approved specification required</w:t>
            </w:r>
          </w:p>
        </w:tc>
        <w:tc>
          <w:tcPr>
            <w:tcW w:type="dxa" w:w="1610"/>
            <w:vAlign w:val="center"/>
            <w:shd w:fill="F1F4F7"/>
          </w:tcPr>
          <w:p>
            <w:pPr>
              <w:spacing w:after="40"/>
            </w:pPr>
            <w:r>
              <w:rPr>
                <w:sz w:val="14"/>
              </w:rPr>
              <w:t>Packaging qualification</w:t>
            </w:r>
          </w:p>
        </w:tc>
        <w:tc>
          <w:tcPr>
            <w:tcW w:type="dxa" w:w="1610"/>
            <w:vAlign w:val="center"/>
            <w:shd w:fill="F1F4F7"/>
          </w:tcPr>
          <w:p>
            <w:pPr>
              <w:spacing w:after="40"/>
            </w:pPr>
            <w:r>
              <w:rPr>
                <w:sz w:val="14"/>
              </w:rPr>
              <w:t>Approved packaging specification and qualification / integrity evidence</w:t>
            </w:r>
          </w:p>
        </w:tc>
      </w:tr>
      <w:tr>
        <w:trPr>
          <w:cantSplit/>
        </w:trPr>
        <w:tc>
          <w:tcPr>
            <w:tcW w:type="dxa" w:w="1610"/>
            <w:vAlign w:val="center"/>
          </w:tcPr>
          <w:p>
            <w:pPr>
              <w:spacing w:after="40"/>
            </w:pPr>
            <w:r>
              <w:rPr>
                <w:sz w:val="14"/>
              </w:rPr>
              <w:t>R027</w:t>
            </w:r>
          </w:p>
        </w:tc>
        <w:tc>
          <w:tcPr>
            <w:tcW w:type="dxa" w:w="1610"/>
            <w:vAlign w:val="center"/>
          </w:tcPr>
          <w:p>
            <w:pPr>
              <w:spacing w:after="40"/>
            </w:pPr>
            <w:r>
              <w:rPr>
                <w:sz w:val="14"/>
              </w:rPr>
              <w:t>9.1</w:t>
            </w:r>
          </w:p>
        </w:tc>
        <w:tc>
          <w:tcPr>
            <w:tcW w:type="dxa" w:w="1610"/>
            <w:vAlign w:val="center"/>
          </w:tcPr>
          <w:p>
            <w:pPr>
              <w:spacing w:after="40"/>
            </w:pPr>
            <w:r>
              <w:rPr>
                <w:sz w:val="14"/>
              </w:rPr>
              <w:t>Applicable manufacturer-information requirements of ISO 18190:2016 Clause 9 apply; source must be obtained for full gap analysis.</w:t>
            </w:r>
          </w:p>
        </w:tc>
        <w:tc>
          <w:tcPr>
            <w:tcW w:type="dxa" w:w="1610"/>
            <w:vAlign w:val="center"/>
          </w:tcPr>
          <w:p>
            <w:pPr>
              <w:spacing w:after="40"/>
            </w:pPr>
            <w:r>
              <w:rPr>
                <w:sz w:val="14"/>
              </w:rPr>
              <w:t>Approved specification required</w:t>
            </w:r>
          </w:p>
        </w:tc>
        <w:tc>
          <w:tcPr>
            <w:tcW w:type="dxa" w:w="1610"/>
            <w:vAlign w:val="center"/>
          </w:tcPr>
          <w:p>
            <w:pPr>
              <w:spacing w:after="40"/>
            </w:pPr>
            <w:r>
              <w:rPr>
                <w:sz w:val="14"/>
              </w:rPr>
              <w:t>Label / IFU regulatory review</w:t>
            </w:r>
          </w:p>
        </w:tc>
        <w:tc>
          <w:tcPr>
            <w:tcW w:type="dxa" w:w="1610"/>
            <w:vAlign w:val="center"/>
          </w:tcPr>
          <w:p>
            <w:pPr>
              <w:spacing w:after="40"/>
            </w:pPr>
            <w:r>
              <w:rPr>
                <w:sz w:val="14"/>
              </w:rPr>
              <w:t>Approved IFU and label artwork, ISO18190 Clause9 assessment</w:t>
            </w:r>
          </w:p>
        </w:tc>
      </w:tr>
      <w:tr>
        <w:trPr>
          <w:cantSplit/>
        </w:trPr>
        <w:tc>
          <w:tcPr>
            <w:tcW w:type="dxa" w:w="1610"/>
            <w:vAlign w:val="center"/>
            <w:shd w:fill="F1F4F7"/>
          </w:tcPr>
          <w:p>
            <w:pPr>
              <w:spacing w:after="40"/>
            </w:pPr>
            <w:r>
              <w:rPr>
                <w:sz w:val="14"/>
              </w:rPr>
              <w:t>R028</w:t>
            </w:r>
          </w:p>
        </w:tc>
        <w:tc>
          <w:tcPr>
            <w:tcW w:type="dxa" w:w="1610"/>
            <w:vAlign w:val="center"/>
            <w:shd w:fill="F1F4F7"/>
          </w:tcPr>
          <w:p>
            <w:pPr>
              <w:spacing w:after="40"/>
            </w:pPr>
            <w:r>
              <w:rPr>
                <w:sz w:val="14"/>
              </w:rPr>
              <w:t>9.2.1</w:t>
            </w:r>
          </w:p>
        </w:tc>
        <w:tc>
          <w:tcPr>
            <w:tcW w:type="dxa" w:w="1610"/>
            <w:vAlign w:val="center"/>
            <w:shd w:fill="F1F4F7"/>
          </w:tcPr>
          <w:p>
            <w:pPr>
              <w:spacing w:after="40"/>
            </w:pPr>
            <w:r>
              <w:rPr>
                <w:sz w:val="14"/>
              </w:rPr>
              <w:t>Markings must remain durable/legible after representative exposure to materials they contact in intended use for the expected exposure duration, including listed drugs/chemicals and applicable simulated fluids.</w:t>
            </w:r>
          </w:p>
        </w:tc>
        <w:tc>
          <w:tcPr>
            <w:tcW w:type="dxa" w:w="1610"/>
            <w:vAlign w:val="center"/>
            <w:shd w:fill="F1F4F7"/>
          </w:tcPr>
          <w:p>
            <w:pPr>
              <w:spacing w:after="40"/>
            </w:pPr>
            <w:r>
              <w:rPr>
                <w:sz w:val="14"/>
              </w:rPr>
              <w:t>Approved specification required</w:t>
            </w:r>
          </w:p>
        </w:tc>
        <w:tc>
          <w:tcPr>
            <w:tcW w:type="dxa" w:w="1610"/>
            <w:vAlign w:val="center"/>
            <w:shd w:fill="F1F4F7"/>
          </w:tcPr>
          <w:p>
            <w:pPr>
              <w:spacing w:after="40"/>
            </w:pPr>
            <w:r>
              <w:rPr>
                <w:sz w:val="14"/>
              </w:rPr>
              <w:t>Marking validation / qualification</w:t>
            </w:r>
          </w:p>
        </w:tc>
        <w:tc>
          <w:tcPr>
            <w:tcW w:type="dxa" w:w="1610"/>
            <w:vAlign w:val="center"/>
            <w:shd w:fill="F1F4F7"/>
          </w:tcPr>
          <w:p>
            <w:pPr>
              <w:spacing w:after="40"/>
            </w:pPr>
            <w:r>
              <w:rPr>
                <w:sz w:val="14"/>
              </w:rPr>
              <w:t>Exposure media/rationale/duration, post-exposure result</w:t>
            </w:r>
          </w:p>
        </w:tc>
      </w:tr>
      <w:tr>
        <w:trPr>
          <w:cantSplit/>
        </w:trPr>
        <w:tc>
          <w:tcPr>
            <w:tcW w:type="dxa" w:w="1610"/>
            <w:vAlign w:val="center"/>
          </w:tcPr>
          <w:p>
            <w:pPr>
              <w:spacing w:after="40"/>
            </w:pPr>
            <w:r>
              <w:rPr>
                <w:sz w:val="14"/>
              </w:rPr>
              <w:t>R029</w:t>
            </w:r>
          </w:p>
        </w:tc>
        <w:tc>
          <w:tcPr>
            <w:tcW w:type="dxa" w:w="1610"/>
            <w:vAlign w:val="center"/>
          </w:tcPr>
          <w:p>
            <w:pPr>
              <w:spacing w:after="40"/>
            </w:pPr>
            <w:r>
              <w:rPr>
                <w:sz w:val="14"/>
              </w:rPr>
              <w:t>9.2.1</w:t>
            </w:r>
          </w:p>
        </w:tc>
        <w:tc>
          <w:tcPr>
            <w:tcW w:type="dxa" w:w="1610"/>
            <w:vAlign w:val="center"/>
          </w:tcPr>
          <w:p>
            <w:pPr>
              <w:spacing w:after="40"/>
            </w:pPr>
            <w:r>
              <w:rPr>
                <w:sz w:val="14"/>
              </w:rPr>
              <w:t>After exposure, check marking legibility at 1 m ±10 mm with visual acuity 1 and 215 ±5 lx; hand-rub without undue pressure for 15 s using distilled-water-wet cloth; remain legible.</w:t>
            </w:r>
          </w:p>
        </w:tc>
        <w:tc>
          <w:tcPr>
            <w:tcW w:type="dxa" w:w="1610"/>
            <w:vAlign w:val="center"/>
          </w:tcPr>
          <w:p>
            <w:pPr>
              <w:spacing w:after="40"/>
            </w:pPr>
            <w:r>
              <w:rPr>
                <w:sz w:val="14"/>
              </w:rPr>
              <w:t>Legible after specified exposure and wet-cloth rub</w:t>
            </w:r>
          </w:p>
        </w:tc>
        <w:tc>
          <w:tcPr>
            <w:tcW w:type="dxa" w:w="1610"/>
            <w:vAlign w:val="center"/>
          </w:tcPr>
          <w:p>
            <w:pPr>
              <w:spacing w:after="40"/>
            </w:pPr>
            <w:r>
              <w:rPr>
                <w:sz w:val="14"/>
              </w:rPr>
              <w:t>1 m ±10 mm; 215 ±5 lx; acuity 1; 15 s rub</w:t>
            </w:r>
          </w:p>
        </w:tc>
        <w:tc>
          <w:tcPr>
            <w:tcW w:type="dxa" w:w="1610"/>
            <w:vAlign w:val="center"/>
          </w:tcPr>
          <w:p>
            <w:pPr>
              <w:spacing w:after="40"/>
            </w:pPr>
            <w:r>
              <w:rPr>
                <w:sz w:val="14"/>
              </w:rPr>
              <w:t>Controlled lux/distance/time recording and legibility result</w:t>
            </w:r>
          </w:p>
        </w:tc>
      </w:tr>
      <w:tr>
        <w:trPr>
          <w:cantSplit/>
        </w:trPr>
        <w:tc>
          <w:tcPr>
            <w:tcW w:type="dxa" w:w="1610"/>
            <w:vAlign w:val="center"/>
            <w:shd w:fill="F1F4F7"/>
          </w:tcPr>
          <w:p>
            <w:pPr>
              <w:spacing w:after="40"/>
            </w:pPr>
            <w:r>
              <w:rPr>
                <w:sz w:val="14"/>
              </w:rPr>
              <w:t>R030</w:t>
            </w:r>
          </w:p>
        </w:tc>
        <w:tc>
          <w:tcPr>
            <w:tcW w:type="dxa" w:w="1610"/>
            <w:vAlign w:val="center"/>
            <w:shd w:fill="F1F4F7"/>
          </w:tcPr>
          <w:p>
            <w:pPr>
              <w:spacing w:after="40"/>
            </w:pPr>
            <w:r>
              <w:rPr>
                <w:sz w:val="14"/>
              </w:rPr>
              <w:t>9.2.2(a)</w:t>
            </w:r>
          </w:p>
        </w:tc>
        <w:tc>
          <w:tcPr>
            <w:tcW w:type="dxa" w:w="1610"/>
            <w:vAlign w:val="center"/>
            <w:shd w:fill="F1F4F7"/>
          </w:tcPr>
          <w:p>
            <w:pPr>
              <w:spacing w:after="40"/>
            </w:pPr>
            <w:r>
              <w:rPr>
                <w:sz w:val="14"/>
              </w:rPr>
              <w:t>Device shaft must display whole-number Charrière/French size designation.</w:t>
            </w:r>
          </w:p>
        </w:tc>
        <w:tc>
          <w:tcPr>
            <w:tcW w:type="dxa" w:w="1610"/>
            <w:vAlign w:val="center"/>
            <w:shd w:fill="F1F4F7"/>
          </w:tcPr>
          <w:p>
            <w:pPr>
              <w:spacing w:after="40"/>
            </w:pPr>
            <w:r>
              <w:rPr>
                <w:sz w:val="14"/>
              </w:rPr>
              <w:t>Correct whole-number Fr present</w:t>
            </w:r>
          </w:p>
        </w:tc>
        <w:tc>
          <w:tcPr>
            <w:tcW w:type="dxa" w:w="1610"/>
            <w:vAlign w:val="center"/>
            <w:shd w:fill="F1F4F7"/>
          </w:tcPr>
          <w:p>
            <w:pPr>
              <w:spacing w:after="40"/>
            </w:pPr>
            <w:r>
              <w:rPr>
                <w:sz w:val="14"/>
              </w:rPr>
              <w:t>Visual / labelling</w:t>
            </w:r>
          </w:p>
        </w:tc>
        <w:tc>
          <w:tcPr>
            <w:tcW w:type="dxa" w:w="1610"/>
            <w:vAlign w:val="center"/>
            <w:shd w:fill="F1F4F7"/>
          </w:tcPr>
          <w:p>
            <w:pPr>
              <w:spacing w:after="40"/>
            </w:pPr>
            <w:r>
              <w:rPr>
                <w:sz w:val="14"/>
              </w:rPr>
              <w:t>Product photo or completed marking record</w:t>
            </w:r>
          </w:p>
        </w:tc>
      </w:tr>
      <w:tr>
        <w:trPr>
          <w:cantSplit/>
        </w:trPr>
        <w:tc>
          <w:tcPr>
            <w:tcW w:type="dxa" w:w="1610"/>
            <w:vAlign w:val="center"/>
          </w:tcPr>
          <w:p>
            <w:pPr>
              <w:spacing w:after="40"/>
            </w:pPr>
            <w:r>
              <w:rPr>
                <w:sz w:val="14"/>
              </w:rPr>
              <w:t>R031</w:t>
            </w:r>
          </w:p>
        </w:tc>
        <w:tc>
          <w:tcPr>
            <w:tcW w:type="dxa" w:w="1610"/>
            <w:vAlign w:val="center"/>
          </w:tcPr>
          <w:p>
            <w:pPr>
              <w:spacing w:after="40"/>
            </w:pPr>
            <w:r>
              <w:rPr>
                <w:sz w:val="14"/>
              </w:rPr>
              <w:t>9.2.2(b)</w:t>
            </w:r>
          </w:p>
        </w:tc>
        <w:tc>
          <w:tcPr>
            <w:tcW w:type="dxa" w:w="1610"/>
            <w:vAlign w:val="center"/>
          </w:tcPr>
          <w:p>
            <w:pPr>
              <w:spacing w:after="40"/>
            </w:pPr>
            <w:r>
              <w:rPr>
                <w:sz w:val="14"/>
              </w:rPr>
              <w:t>Device shaft must state bronchial segment outside diameter in mm with prefix Br; verify using ISO 16628 Annex B.</w:t>
            </w:r>
          </w:p>
        </w:tc>
        <w:tc>
          <w:tcPr>
            <w:tcW w:type="dxa" w:w="1610"/>
            <w:vAlign w:val="center"/>
          </w:tcPr>
          <w:p>
            <w:pPr>
              <w:spacing w:after="40"/>
            </w:pPr>
            <w:r>
              <w:rPr>
                <w:sz w:val="14"/>
              </w:rPr>
              <w:t>Br X.X mm mark matches Annex B determined diameter</w:t>
            </w:r>
          </w:p>
        </w:tc>
        <w:tc>
          <w:tcPr>
            <w:tcW w:type="dxa" w:w="1610"/>
            <w:vAlign w:val="center"/>
          </w:tcPr>
          <w:p>
            <w:pPr>
              <w:spacing w:after="40"/>
            </w:pPr>
            <w:r>
              <w:rPr>
                <w:sz w:val="14"/>
              </w:rPr>
              <w:t>ISO16628 Annex B; 5-turn inelastic thread measurement</w:t>
            </w:r>
          </w:p>
        </w:tc>
        <w:tc>
          <w:tcPr>
            <w:tcW w:type="dxa" w:w="1610"/>
            <w:vAlign w:val="center"/>
          </w:tcPr>
          <w:p>
            <w:pPr>
              <w:spacing w:after="40"/>
            </w:pPr>
            <w:r>
              <w:rPr>
                <w:sz w:val="14"/>
              </w:rPr>
              <w:t>5-turn thread length / (5π), rounded upward 0.5 mm; photo</w:t>
            </w:r>
          </w:p>
        </w:tc>
      </w:tr>
      <w:tr>
        <w:trPr>
          <w:cantSplit/>
        </w:trPr>
        <w:tc>
          <w:tcPr>
            <w:tcW w:type="dxa" w:w="1610"/>
            <w:vAlign w:val="center"/>
            <w:shd w:fill="F1F4F7"/>
          </w:tcPr>
          <w:p>
            <w:pPr>
              <w:spacing w:after="40"/>
            </w:pPr>
            <w:r>
              <w:rPr>
                <w:sz w:val="14"/>
              </w:rPr>
              <w:t>R032</w:t>
            </w:r>
          </w:p>
        </w:tc>
        <w:tc>
          <w:tcPr>
            <w:tcW w:type="dxa" w:w="1610"/>
            <w:vAlign w:val="center"/>
            <w:shd w:fill="F1F4F7"/>
          </w:tcPr>
          <w:p>
            <w:pPr>
              <w:spacing w:after="40"/>
            </w:pPr>
            <w:r>
              <w:rPr>
                <w:sz w:val="14"/>
              </w:rPr>
              <w:t>9.2.2(c)</w:t>
            </w:r>
          </w:p>
        </w:tc>
        <w:tc>
          <w:tcPr>
            <w:tcW w:type="dxa" w:w="1610"/>
            <w:vAlign w:val="center"/>
            <w:shd w:fill="F1F4F7"/>
          </w:tcPr>
          <w:p>
            <w:pPr>
              <w:spacing w:after="40"/>
            </w:pPr>
            <w:r>
              <w:rPr>
                <w:sz w:val="14"/>
              </w:rPr>
              <w:t>Device shaft must show effective inside diameters (mm) for BOTH tracheal and bronchial lumen; determine using ISO 16628 Annex C bead method.</w:t>
            </w:r>
          </w:p>
        </w:tc>
        <w:tc>
          <w:tcPr>
            <w:tcW w:type="dxa" w:w="1610"/>
            <w:vAlign w:val="center"/>
            <w:shd w:fill="F1F4F7"/>
          </w:tcPr>
          <w:p>
            <w:pPr>
              <w:spacing w:after="40"/>
            </w:pPr>
            <w:r>
              <w:rPr>
                <w:sz w:val="14"/>
              </w:rPr>
              <w:t>Actual effective ID supports marked lumen ID; expression rounded down to 0.2 mm</w:t>
            </w:r>
          </w:p>
        </w:tc>
        <w:tc>
          <w:tcPr>
            <w:tcW w:type="dxa" w:w="1610"/>
            <w:vAlign w:val="center"/>
            <w:shd w:fill="F1F4F7"/>
          </w:tcPr>
          <w:p>
            <w:pPr>
              <w:spacing w:after="40"/>
            </w:pPr>
            <w:r>
              <w:rPr>
                <w:sz w:val="14"/>
              </w:rPr>
              <w:t>ISO16628 Annex C, three beads and 100 ±5 g mass</w:t>
            </w:r>
          </w:p>
        </w:tc>
        <w:tc>
          <w:tcPr>
            <w:tcW w:type="dxa" w:w="1610"/>
            <w:vAlign w:val="center"/>
            <w:shd w:fill="F1F4F7"/>
          </w:tcPr>
          <w:p>
            <w:pPr>
              <w:spacing w:after="40"/>
            </w:pPr>
            <w:r>
              <w:rPr>
                <w:sz w:val="14"/>
              </w:rPr>
              <w:t>Both lumen bead measurements &amp; declared markings</w:t>
            </w:r>
          </w:p>
        </w:tc>
      </w:tr>
      <w:tr>
        <w:trPr>
          <w:cantSplit/>
        </w:trPr>
        <w:tc>
          <w:tcPr>
            <w:tcW w:type="dxa" w:w="1610"/>
            <w:vAlign w:val="center"/>
          </w:tcPr>
          <w:p>
            <w:pPr>
              <w:spacing w:after="40"/>
            </w:pPr>
            <w:r>
              <w:rPr>
                <w:sz w:val="14"/>
              </w:rPr>
              <w:t>R033</w:t>
            </w:r>
          </w:p>
        </w:tc>
        <w:tc>
          <w:tcPr>
            <w:tcW w:type="dxa" w:w="1610"/>
            <w:vAlign w:val="center"/>
          </w:tcPr>
          <w:p>
            <w:pPr>
              <w:spacing w:after="40"/>
            </w:pPr>
            <w:r>
              <w:rPr>
                <w:sz w:val="14"/>
              </w:rPr>
              <w:t>9.2.2(d)</w:t>
            </w:r>
          </w:p>
        </w:tc>
        <w:tc>
          <w:tcPr>
            <w:tcW w:type="dxa" w:w="1610"/>
            <w:vAlign w:val="center"/>
          </w:tcPr>
          <w:p>
            <w:pPr>
              <w:spacing w:after="40"/>
            </w:pPr>
            <w:r>
              <w:rPr>
                <w:sz w:val="14"/>
              </w:rPr>
              <w:t>Length graduations appear at 2 cm intervals, measured from bronchial tip, on the machine end of the tracheal segment.</w:t>
            </w:r>
          </w:p>
        </w:tc>
        <w:tc>
          <w:tcPr>
            <w:tcW w:type="dxa" w:w="1610"/>
            <w:vAlign w:val="center"/>
          </w:tcPr>
          <w:p>
            <w:pPr>
              <w:spacing w:after="40"/>
            </w:pPr>
            <w:r>
              <w:rPr>
                <w:sz w:val="14"/>
              </w:rPr>
              <w:t>2 cm increments measured from bronchial tip</w:t>
            </w:r>
          </w:p>
        </w:tc>
        <w:tc>
          <w:tcPr>
            <w:tcW w:type="dxa" w:w="1610"/>
            <w:vAlign w:val="center"/>
          </w:tcPr>
          <w:p>
            <w:pPr>
              <w:spacing w:after="40"/>
            </w:pPr>
            <w:r>
              <w:rPr>
                <w:sz w:val="14"/>
              </w:rPr>
              <w:t>Visual / dimensional</w:t>
            </w:r>
          </w:p>
        </w:tc>
        <w:tc>
          <w:tcPr>
            <w:tcW w:type="dxa" w:w="1610"/>
            <w:vAlign w:val="center"/>
          </w:tcPr>
          <w:p>
            <w:pPr>
              <w:spacing w:after="40"/>
            </w:pPr>
            <w:r>
              <w:rPr>
                <w:sz w:val="14"/>
              </w:rPr>
              <w:t>Graduation interval and reference origin measurements</w:t>
            </w:r>
          </w:p>
        </w:tc>
      </w:tr>
      <w:tr>
        <w:trPr>
          <w:cantSplit/>
        </w:trPr>
        <w:tc>
          <w:tcPr>
            <w:tcW w:type="dxa" w:w="1610"/>
            <w:vAlign w:val="center"/>
            <w:shd w:fill="F1F4F7"/>
          </w:tcPr>
          <w:p>
            <w:pPr>
              <w:spacing w:after="40"/>
            </w:pPr>
            <w:r>
              <w:rPr>
                <w:sz w:val="14"/>
              </w:rPr>
              <w:t>R034</w:t>
            </w:r>
          </w:p>
        </w:tc>
        <w:tc>
          <w:tcPr>
            <w:tcW w:type="dxa" w:w="1610"/>
            <w:vAlign w:val="center"/>
            <w:shd w:fill="F1F4F7"/>
          </w:tcPr>
          <w:p>
            <w:pPr>
              <w:spacing w:after="40"/>
            </w:pPr>
            <w:r>
              <w:rPr>
                <w:sz w:val="14"/>
              </w:rPr>
              <w:t>9.2.2(e)</w:t>
            </w:r>
          </w:p>
        </w:tc>
        <w:tc>
          <w:tcPr>
            <w:tcW w:type="dxa" w:w="1610"/>
            <w:vAlign w:val="center"/>
            <w:shd w:fill="F1F4F7"/>
          </w:tcPr>
          <w:p>
            <w:pPr>
              <w:spacing w:after="40"/>
            </w:pPr>
            <w:r>
              <w:rPr>
                <w:sz w:val="14"/>
              </w:rPr>
              <w:t>Device shaft must be labelled right or left, matching the manufactured configuration.</w:t>
            </w:r>
          </w:p>
        </w:tc>
        <w:tc>
          <w:tcPr>
            <w:tcW w:type="dxa" w:w="1610"/>
            <w:vAlign w:val="center"/>
            <w:shd w:fill="F1F4F7"/>
          </w:tcPr>
          <w:p>
            <w:pPr>
              <w:spacing w:after="40"/>
            </w:pPr>
            <w:r>
              <w:rPr>
                <w:sz w:val="14"/>
              </w:rPr>
              <w:t>Correct right or left marking</w:t>
            </w:r>
          </w:p>
        </w:tc>
        <w:tc>
          <w:tcPr>
            <w:tcW w:type="dxa" w:w="1610"/>
            <w:vAlign w:val="center"/>
            <w:shd w:fill="F1F4F7"/>
          </w:tcPr>
          <w:p>
            <w:pPr>
              <w:spacing w:after="40"/>
            </w:pPr>
            <w:r>
              <w:rPr>
                <w:sz w:val="14"/>
              </w:rPr>
              <w:t>Visual / label verification</w:t>
            </w:r>
          </w:p>
        </w:tc>
        <w:tc>
          <w:tcPr>
            <w:tcW w:type="dxa" w:w="1610"/>
            <w:vAlign w:val="center"/>
            <w:shd w:fill="F1F4F7"/>
          </w:tcPr>
          <w:p>
            <w:pPr>
              <w:spacing w:after="40"/>
            </w:pPr>
            <w:r>
              <w:rPr>
                <w:sz w:val="14"/>
              </w:rPr>
              <w:t>Right/left label vs approved BOM/variant</w:t>
            </w:r>
          </w:p>
        </w:tc>
      </w:tr>
      <w:tr>
        <w:trPr>
          <w:cantSplit/>
        </w:trPr>
        <w:tc>
          <w:tcPr>
            <w:tcW w:type="dxa" w:w="1610"/>
            <w:vAlign w:val="center"/>
          </w:tcPr>
          <w:p>
            <w:pPr>
              <w:spacing w:after="40"/>
            </w:pPr>
            <w:r>
              <w:rPr>
                <w:sz w:val="14"/>
              </w:rPr>
              <w:t>R035</w:t>
            </w:r>
          </w:p>
        </w:tc>
        <w:tc>
          <w:tcPr>
            <w:tcW w:type="dxa" w:w="1610"/>
            <w:vAlign w:val="center"/>
          </w:tcPr>
          <w:p>
            <w:pPr>
              <w:spacing w:after="40"/>
            </w:pPr>
            <w:r>
              <w:rPr>
                <w:sz w:val="14"/>
              </w:rPr>
              <w:t>9.3</w:t>
            </w:r>
          </w:p>
        </w:tc>
        <w:tc>
          <w:tcPr>
            <w:tcW w:type="dxa" w:w="1610"/>
            <w:vAlign w:val="center"/>
          </w:tcPr>
          <w:p>
            <w:pPr>
              <w:spacing w:after="40"/>
            </w:pPr>
            <w:r>
              <w:rPr>
                <w:sz w:val="14"/>
              </w:rPr>
              <w:t>Entire machine end of bronchial segment, bronchial cuff and corresponding pilot balloon must be blue.</w:t>
            </w:r>
          </w:p>
        </w:tc>
        <w:tc>
          <w:tcPr>
            <w:tcW w:type="dxa" w:w="1610"/>
            <w:vAlign w:val="center"/>
          </w:tcPr>
          <w:p>
            <w:pPr>
              <w:spacing w:after="40"/>
            </w:pPr>
            <w:r>
              <w:rPr>
                <w:sz w:val="14"/>
              </w:rPr>
              <w:t>All three bronchial components entirely blue</w:t>
            </w:r>
          </w:p>
        </w:tc>
        <w:tc>
          <w:tcPr>
            <w:tcW w:type="dxa" w:w="1610"/>
            <w:vAlign w:val="center"/>
          </w:tcPr>
          <w:p>
            <w:pPr>
              <w:spacing w:after="40"/>
            </w:pPr>
            <w:r>
              <w:rPr>
                <w:sz w:val="14"/>
              </w:rPr>
              <w:t>Visual / routine</w:t>
            </w:r>
          </w:p>
        </w:tc>
        <w:tc>
          <w:tcPr>
            <w:tcW w:type="dxa" w:w="1610"/>
            <w:vAlign w:val="center"/>
          </w:tcPr>
          <w:p>
            <w:pPr>
              <w:spacing w:after="40"/>
            </w:pPr>
            <w:r>
              <w:rPr>
                <w:sz w:val="14"/>
              </w:rPr>
              <w:t>Bronchial color verification and variant ID</w:t>
            </w:r>
          </w:p>
        </w:tc>
      </w:tr>
      <w:tr>
        <w:trPr>
          <w:cantSplit/>
        </w:trPr>
        <w:tc>
          <w:tcPr>
            <w:tcW w:type="dxa" w:w="1610"/>
            <w:vAlign w:val="center"/>
            <w:shd w:fill="F1F4F7"/>
          </w:tcPr>
          <w:p>
            <w:pPr>
              <w:spacing w:after="40"/>
            </w:pPr>
            <w:r>
              <w:rPr>
                <w:sz w:val="14"/>
              </w:rPr>
              <w:t>R036</w:t>
            </w:r>
          </w:p>
        </w:tc>
        <w:tc>
          <w:tcPr>
            <w:tcW w:type="dxa" w:w="1610"/>
            <w:vAlign w:val="center"/>
            <w:shd w:fill="F1F4F7"/>
          </w:tcPr>
          <w:p>
            <w:pPr>
              <w:spacing w:after="40"/>
            </w:pPr>
            <w:r>
              <w:rPr>
                <w:sz w:val="14"/>
              </w:rPr>
              <w:t>9.4(a)</w:t>
            </w:r>
          </w:p>
        </w:tc>
        <w:tc>
          <w:tcPr>
            <w:tcW w:type="dxa" w:w="1610"/>
            <w:vAlign w:val="center"/>
            <w:shd w:fill="F1F4F7"/>
          </w:tcPr>
          <w:p>
            <w:pPr>
              <w:spacing w:after="40"/>
            </w:pPr>
            <w:r>
              <w:rPr>
                <w:sz w:val="14"/>
              </w:rPr>
              <w:t>Individual package or insert must describe package contents.</w:t>
            </w:r>
          </w:p>
        </w:tc>
        <w:tc>
          <w:tcPr>
            <w:tcW w:type="dxa" w:w="1610"/>
            <w:vAlign w:val="center"/>
            <w:shd w:fill="F1F4F7"/>
          </w:tcPr>
          <w:p>
            <w:pPr>
              <w:spacing w:after="40"/>
            </w:pPr>
            <w:r>
              <w:rPr>
                <w:sz w:val="14"/>
              </w:rPr>
              <w:t>Content description present</w:t>
            </w:r>
          </w:p>
        </w:tc>
        <w:tc>
          <w:tcPr>
            <w:tcW w:type="dxa" w:w="1610"/>
            <w:vAlign w:val="center"/>
            <w:shd w:fill="F1F4F7"/>
          </w:tcPr>
          <w:p>
            <w:pPr>
              <w:spacing w:after="40"/>
            </w:pPr>
            <w:r>
              <w:rPr>
                <w:sz w:val="14"/>
              </w:rPr>
              <w:t>Label / packaging</w:t>
            </w:r>
          </w:p>
        </w:tc>
        <w:tc>
          <w:tcPr>
            <w:tcW w:type="dxa" w:w="1610"/>
            <w:vAlign w:val="center"/>
            <w:shd w:fill="F1F4F7"/>
          </w:tcPr>
          <w:p>
            <w:pPr>
              <w:spacing w:after="40"/>
            </w:pPr>
            <w:r>
              <w:rPr>
                <w:sz w:val="14"/>
              </w:rPr>
              <w:t>Approved artwork and package check</w:t>
            </w:r>
          </w:p>
        </w:tc>
      </w:tr>
      <w:tr>
        <w:trPr>
          <w:cantSplit/>
        </w:trPr>
        <w:tc>
          <w:tcPr>
            <w:tcW w:type="dxa" w:w="1610"/>
            <w:vAlign w:val="center"/>
          </w:tcPr>
          <w:p>
            <w:pPr>
              <w:spacing w:after="40"/>
            </w:pPr>
            <w:r>
              <w:rPr>
                <w:sz w:val="14"/>
              </w:rPr>
              <w:t>R037</w:t>
            </w:r>
          </w:p>
        </w:tc>
        <w:tc>
          <w:tcPr>
            <w:tcW w:type="dxa" w:w="1610"/>
            <w:vAlign w:val="center"/>
          </w:tcPr>
          <w:p>
            <w:pPr>
              <w:spacing w:after="40"/>
            </w:pPr>
            <w:r>
              <w:rPr>
                <w:sz w:val="14"/>
              </w:rPr>
              <w:t>9.4(b)</w:t>
            </w:r>
          </w:p>
        </w:tc>
        <w:tc>
          <w:tcPr>
            <w:tcW w:type="dxa" w:w="1610"/>
            <w:vAlign w:val="center"/>
          </w:tcPr>
          <w:p>
            <w:pPr>
              <w:spacing w:after="40"/>
            </w:pPr>
            <w:r>
              <w:rPr>
                <w:sz w:val="14"/>
              </w:rPr>
              <w:t>Individual package or insert must include the major-axis and minor-axis dimensions of the tracheal segment.</w:t>
            </w:r>
          </w:p>
        </w:tc>
        <w:tc>
          <w:tcPr>
            <w:tcW w:type="dxa" w:w="1610"/>
            <w:vAlign w:val="center"/>
          </w:tcPr>
          <w:p>
            <w:pPr>
              <w:spacing w:after="40"/>
            </w:pPr>
            <w:r>
              <w:rPr>
                <w:sz w:val="14"/>
              </w:rPr>
              <w:t>Both major and minor axes declared</w:t>
            </w:r>
          </w:p>
        </w:tc>
        <w:tc>
          <w:tcPr>
            <w:tcW w:type="dxa" w:w="1610"/>
            <w:vAlign w:val="center"/>
          </w:tcPr>
          <w:p>
            <w:pPr>
              <w:spacing w:after="40"/>
            </w:pPr>
            <w:r>
              <w:rPr>
                <w:sz w:val="14"/>
              </w:rPr>
              <w:t>Label artwork approval</w:t>
            </w:r>
          </w:p>
        </w:tc>
        <w:tc>
          <w:tcPr>
            <w:tcW w:type="dxa" w:w="1610"/>
            <w:vAlign w:val="center"/>
          </w:tcPr>
          <w:p>
            <w:pPr>
              <w:spacing w:after="40"/>
            </w:pPr>
            <w:r>
              <w:rPr>
                <w:sz w:val="14"/>
              </w:rPr>
              <w:t>Packaging nominal axes and proof of printing</w:t>
            </w:r>
          </w:p>
        </w:tc>
      </w:tr>
      <w:tr>
        <w:trPr>
          <w:cantSplit/>
        </w:trPr>
        <w:tc>
          <w:tcPr>
            <w:tcW w:type="dxa" w:w="1610"/>
            <w:vAlign w:val="center"/>
            <w:shd w:fill="F1F4F7"/>
          </w:tcPr>
          <w:p>
            <w:pPr>
              <w:spacing w:after="40"/>
            </w:pPr>
            <w:r>
              <w:rPr>
                <w:sz w:val="14"/>
              </w:rPr>
              <w:t>R038</w:t>
            </w:r>
          </w:p>
        </w:tc>
        <w:tc>
          <w:tcPr>
            <w:tcW w:type="dxa" w:w="1610"/>
            <w:vAlign w:val="center"/>
            <w:shd w:fill="F1F4F7"/>
          </w:tcPr>
          <w:p>
            <w:pPr>
              <w:spacing w:after="40"/>
            </w:pPr>
            <w:r>
              <w:rPr>
                <w:sz w:val="14"/>
              </w:rPr>
              <w:t>9.4(c)</w:t>
            </w:r>
          </w:p>
        </w:tc>
        <w:tc>
          <w:tcPr>
            <w:tcW w:type="dxa" w:w="1610"/>
            <w:vAlign w:val="center"/>
            <w:shd w:fill="F1F4F7"/>
          </w:tcPr>
          <w:p>
            <w:pPr>
              <w:spacing w:after="40"/>
            </w:pPr>
            <w:r>
              <w:rPr>
                <w:sz w:val="14"/>
              </w:rPr>
              <w:t>Individual package or insert must state tracheal and bronchial cuff diameters as declared for Clause 6.5.2.</w:t>
            </w:r>
          </w:p>
        </w:tc>
        <w:tc>
          <w:tcPr>
            <w:tcW w:type="dxa" w:w="1610"/>
            <w:vAlign w:val="center"/>
            <w:shd w:fill="F1F4F7"/>
          </w:tcPr>
          <w:p>
            <w:pPr>
              <w:spacing w:after="40"/>
            </w:pPr>
            <w:r>
              <w:rPr>
                <w:sz w:val="14"/>
              </w:rPr>
              <w:t>Both cuff nominal diameters declared</w:t>
            </w:r>
          </w:p>
        </w:tc>
        <w:tc>
          <w:tcPr>
            <w:tcW w:type="dxa" w:w="1610"/>
            <w:vAlign w:val="center"/>
            <w:shd w:fill="F1F4F7"/>
          </w:tcPr>
          <w:p>
            <w:pPr>
              <w:spacing w:after="40"/>
            </w:pPr>
            <w:r>
              <w:rPr>
                <w:sz w:val="14"/>
              </w:rPr>
              <w:t>Label artwork approval</w:t>
            </w:r>
          </w:p>
        </w:tc>
        <w:tc>
          <w:tcPr>
            <w:tcW w:type="dxa" w:w="1610"/>
            <w:vAlign w:val="center"/>
            <w:shd w:fill="F1F4F7"/>
          </w:tcPr>
          <w:p>
            <w:pPr>
              <w:spacing w:after="40"/>
            </w:pPr>
            <w:r>
              <w:rPr>
                <w:sz w:val="14"/>
              </w:rPr>
              <w:t>Approved pack print and marked-cuff diameter concordance</w:t>
            </w:r>
          </w:p>
        </w:tc>
      </w:tr>
      <w:tr>
        <w:trPr>
          <w:cantSplit/>
        </w:trPr>
        <w:tc>
          <w:tcPr>
            <w:tcW w:type="dxa" w:w="1610"/>
            <w:vAlign w:val="center"/>
          </w:tcPr>
          <w:p>
            <w:pPr>
              <w:spacing w:after="40"/>
            </w:pPr>
            <w:r>
              <w:rPr>
                <w:sz w:val="14"/>
              </w:rPr>
              <w:t>R041</w:t>
            </w:r>
          </w:p>
        </w:tc>
        <w:tc>
          <w:tcPr>
            <w:tcW w:type="dxa" w:w="1610"/>
            <w:vAlign w:val="center"/>
          </w:tcPr>
          <w:p>
            <w:pPr>
              <w:spacing w:after="40"/>
            </w:pPr>
            <w:r>
              <w:rPr>
                <w:sz w:val="14"/>
              </w:rPr>
              <w:t>8836:2014 7.3.2, 8.1.1</w:t>
            </w:r>
          </w:p>
        </w:tc>
        <w:tc>
          <w:tcPr>
            <w:tcW w:type="dxa" w:w="1610"/>
            <w:vAlign w:val="center"/>
          </w:tcPr>
          <w:p>
            <w:pPr>
              <w:spacing w:after="40"/>
            </w:pPr>
            <w:r>
              <w:rPr>
                <w:sz w:val="14"/>
              </w:rPr>
              <w:t>IF a separate suction catheter component qualifies as a suction catheter under ISO 8836, verify securely attached connector per Annex B and Table 2: OD 1.33–2.67 mm: ≥5 N; 3.00–4.67 mm: ≥15 N; &gt;5 mm: ≥20 N.</w:t>
            </w:r>
          </w:p>
        </w:tc>
        <w:tc>
          <w:tcPr>
            <w:tcW w:type="dxa" w:w="1610"/>
            <w:vAlign w:val="center"/>
          </w:tcPr>
          <w:p>
            <w:pPr>
              <w:spacing w:after="40"/>
            </w:pPr>
            <w:r>
              <w:rPr>
                <w:sz w:val="14"/>
              </w:rPr>
              <w:t>As defined in Table 2 by verified OD</w:t>
            </w:r>
          </w:p>
        </w:tc>
        <w:tc>
          <w:tcPr>
            <w:tcW w:type="dxa" w:w="1610"/>
            <w:vAlign w:val="center"/>
          </w:tcPr>
          <w:p>
            <w:pPr>
              <w:spacing w:after="40"/>
            </w:pPr>
            <w:r>
              <w:rPr>
                <w:sz w:val="14"/>
              </w:rPr>
              <w:t>ISO8836 Annex B; (23±2)°C, 50±20%RH, 1h; 200±20 mm/min</w:t>
            </w:r>
          </w:p>
        </w:tc>
        <w:tc>
          <w:tcPr>
            <w:tcW w:type="dxa" w:w="1610"/>
            <w:vAlign w:val="center"/>
          </w:tcPr>
          <w:p>
            <w:pPr>
              <w:spacing w:after="40"/>
            </w:pPr>
            <w:r>
              <w:rPr>
                <w:sz w:val="14"/>
              </w:rPr>
              <w:t>Approved component applicability and axial pull force record</w:t>
            </w:r>
          </w:p>
        </w:tc>
      </w:tr>
      <w:tr>
        <w:trPr>
          <w:cantSplit/>
        </w:trPr>
        <w:tc>
          <w:tcPr>
            <w:tcW w:type="dxa" w:w="1610"/>
            <w:vAlign w:val="center"/>
            <w:shd w:fill="F1F4F7"/>
          </w:tcPr>
          <w:p>
            <w:pPr>
              <w:spacing w:after="40"/>
            </w:pPr>
            <w:r>
              <w:rPr>
                <w:sz w:val="14"/>
              </w:rPr>
              <w:t>R042</w:t>
            </w:r>
          </w:p>
        </w:tc>
        <w:tc>
          <w:tcPr>
            <w:tcW w:type="dxa" w:w="1610"/>
            <w:vAlign w:val="center"/>
            <w:shd w:fill="F1F4F7"/>
          </w:tcPr>
          <w:p>
            <w:pPr>
              <w:spacing w:after="40"/>
            </w:pPr>
            <w:r>
              <w:rPr>
                <w:sz w:val="14"/>
              </w:rPr>
              <w:t>8836:2014 Clause 7</w:t>
            </w:r>
          </w:p>
        </w:tc>
        <w:tc>
          <w:tcPr>
            <w:tcW w:type="dxa" w:w="1610"/>
            <w:vAlign w:val="center"/>
            <w:shd w:fill="F1F4F7"/>
          </w:tcPr>
          <w:p>
            <w:pPr>
              <w:spacing w:after="40"/>
            </w:pPr>
            <w:r>
              <w:rPr>
                <w:sz w:val="14"/>
              </w:rPr>
              <w:t>IF an actual respiratory suction catheter is part of the defined configuration, confirm further relevant ISO 8836 design/connection requirements against its complete component classification.</w:t>
            </w:r>
          </w:p>
        </w:tc>
        <w:tc>
          <w:tcPr>
            <w:tcW w:type="dxa" w:w="1610"/>
            <w:vAlign w:val="center"/>
            <w:shd w:fill="F1F4F7"/>
          </w:tcPr>
          <w:p>
            <w:pPr>
              <w:spacing w:after="40"/>
            </w:pPr>
            <w:r>
              <w:rPr>
                <w:sz w:val="14"/>
              </w:rPr>
              <w:t>Approved specification required</w:t>
            </w:r>
          </w:p>
        </w:tc>
        <w:tc>
          <w:tcPr>
            <w:tcW w:type="dxa" w:w="1610"/>
            <w:vAlign w:val="center"/>
            <w:shd w:fill="F1F4F7"/>
          </w:tcPr>
          <w:p>
            <w:pPr>
              <w:spacing w:after="40"/>
            </w:pPr>
            <w:r>
              <w:rPr>
                <w:sz w:val="14"/>
              </w:rPr>
              <w:t>Component qualification</w:t>
            </w:r>
          </w:p>
        </w:tc>
        <w:tc>
          <w:tcPr>
            <w:tcW w:type="dxa" w:w="1610"/>
            <w:vAlign w:val="center"/>
            <w:shd w:fill="F1F4F7"/>
          </w:tcPr>
          <w:p>
            <w:pPr>
              <w:spacing w:after="40"/>
            </w:pPr>
            <w:r>
              <w:rPr>
                <w:sz w:val="14"/>
              </w:rPr>
              <w:t>Approved component design and supplier certificate</w:t>
            </w:r>
          </w:p>
        </w:tc>
      </w:tr>
    </w:tbl>
    <w:p/>
    <w:p>
      <w:pPr>
        <w:pStyle w:val="Heading1"/>
      </w:pPr>
      <w:r>
        <w:t>9B. Detailed test instructions &amp; method-specific worksheets</w:t>
      </w:r>
    </w:p>
    <w:p>
      <w:pPr>
        <w:pStyle w:val="Heading2"/>
      </w:pPr>
      <w:r>
        <w:t>T-C001 | R012</w:t>
      </w:r>
    </w:p>
    <w:p>
      <w:pPr>
        <w:spacing w:after="40"/>
      </w:pPr>
      <w:r>
        <w:rPr>
          <w:b/>
          <w:color w:val="142946"/>
        </w:rPr>
        <w:t xml:space="preserve">Prior limitation: </w:t>
      </w:r>
      <w:r>
        <w:t>No cuff-specific recorded endpoints</w:t>
      </w:r>
    </w:p>
    <w:p>
      <w:pPr>
        <w:spacing w:after="40"/>
      </w:pPr>
      <w:r>
        <w:rPr>
          <w:b/>
          <w:color w:val="142946"/>
        </w:rPr>
        <w:t xml:space="preserve">Required method: </w:t>
      </w:r>
      <w:r>
        <w:t>Record each cuff separately, inflation endpoint, pressure or diameter, ≥10s fully submerged bubble-free result</w:t>
      </w:r>
    </w:p>
    <w:p>
      <w:pPr>
        <w:spacing w:after="40"/>
      </w:pPr>
      <w:r>
        <w:rPr>
          <w:b/>
          <w:color w:val="142946"/>
        </w:rPr>
        <w:t xml:space="preserve">Acceptance: </w:t>
      </w:r>
      <w:r>
        <w:t>No bubbles ≥10s</w:t>
      </w:r>
    </w:p>
    <w:p>
      <w:pPr>
        <w:spacing w:after="40"/>
      </w:pPr>
      <w:r>
        <w:rPr>
          <w:b/>
          <w:color w:val="142946"/>
        </w:rPr>
        <w:t xml:space="preserve">Evidence: </w:t>
      </w:r>
      <w:r>
        <w:t>Cuff leakage worksheet</w:t>
      </w:r>
    </w:p>
    <w:p>
      <w:pPr>
        <w:pStyle w:val="Heading2"/>
      </w:pPr>
      <w:r>
        <w:t>T-C002 | R013, R014</w:t>
      </w:r>
    </w:p>
    <w:p>
      <w:pPr>
        <w:spacing w:after="40"/>
      </w:pPr>
      <w:r>
        <w:rPr>
          <w:b/>
          <w:color w:val="142946"/>
        </w:rPr>
        <w:t xml:space="preserve">Prior limitation: </w:t>
      </w:r>
      <w:r>
        <w:t>Wrong Annex and no conditioning/readings</w:t>
      </w:r>
    </w:p>
    <w:p>
      <w:pPr>
        <w:spacing w:after="40"/>
      </w:pPr>
      <w:r>
        <w:rPr>
          <w:b/>
          <w:color w:val="142946"/>
        </w:rPr>
        <w:t xml:space="preserve">Required method: </w:t>
      </w:r>
      <w:r>
        <w:t>ISO5361 Annex B: 2.0±0.1kPa, 23±2°C, 5min, four 45° readings, mean mm 2dp</w:t>
      </w:r>
    </w:p>
    <w:p>
      <w:pPr>
        <w:spacing w:after="40"/>
      </w:pPr>
      <w:r>
        <w:rPr>
          <w:b/>
          <w:color w:val="142946"/>
        </w:rPr>
        <w:t xml:space="preserve">Acceptance: </w:t>
      </w:r>
      <w:r>
        <w:t>±15% of declared tracheal and bronchial cuff diameter</w:t>
      </w:r>
    </w:p>
    <w:p>
      <w:pPr>
        <w:spacing w:after="40"/>
      </w:pPr>
      <w:r>
        <w:rPr>
          <w:b/>
          <w:color w:val="142946"/>
        </w:rPr>
        <w:t xml:space="preserve">Evidence: </w:t>
      </w:r>
      <w:r>
        <w:t>Cuff diameter worksheet</w:t>
      </w:r>
    </w:p>
    <w:p>
      <w:pPr>
        <w:pStyle w:val="Heading2"/>
      </w:pPr>
      <w:r>
        <w:t>T-C003 | R015</w:t>
      </w:r>
    </w:p>
    <w:p>
      <w:pPr>
        <w:spacing w:after="40"/>
      </w:pPr>
      <w:r>
        <w:rPr>
          <w:b/>
          <w:color w:val="142946"/>
        </w:rPr>
        <w:t xml:space="preserve">Prior limitation: </w:t>
      </w:r>
      <w:r>
        <w:t>Wrong Annex</w:t>
      </w:r>
    </w:p>
    <w:p>
      <w:pPr>
        <w:spacing w:after="40"/>
      </w:pPr>
      <w:r>
        <w:rPr>
          <w:b/>
          <w:color w:val="142946"/>
        </w:rPr>
        <w:t xml:space="preserve">Required method: </w:t>
      </w:r>
      <w:r>
        <w:t>ISO5361 Annex D; 24h (40±1°C), weight 100g ≥60s, monitor deflation ≥10s; validate product fixture applicability</w:t>
      </w:r>
    </w:p>
    <w:p>
      <w:pPr>
        <w:spacing w:after="40"/>
      </w:pPr>
      <w:r>
        <w:rPr>
          <w:b/>
          <w:color w:val="142946"/>
        </w:rPr>
        <w:t xml:space="preserve">Acceptance: </w:t>
      </w:r>
      <w:r>
        <w:t>Neither cuff reaches corresponding distal edge</w:t>
      </w:r>
    </w:p>
    <w:p>
      <w:pPr>
        <w:spacing w:after="40"/>
      </w:pPr>
      <w:r>
        <w:rPr>
          <w:b/>
          <w:color w:val="142946"/>
        </w:rPr>
        <w:t xml:space="preserve">Evidence: </w:t>
      </w:r>
      <w:r>
        <w:t>Cuff herniation protocol</w:t>
      </w:r>
    </w:p>
    <w:p>
      <w:pPr>
        <w:pStyle w:val="Heading2"/>
      </w:pPr>
      <w:r>
        <w:t>T-C004 | R031</w:t>
      </w:r>
    </w:p>
    <w:p>
      <w:pPr>
        <w:spacing w:after="40"/>
      </w:pPr>
      <w:r>
        <w:rPr>
          <w:b/>
          <w:color w:val="142946"/>
        </w:rPr>
        <w:t xml:space="preserve">Prior limitation: </w:t>
      </w:r>
      <w:r>
        <w:t>No ISO Annex B five-wrap method</w:t>
      </w:r>
    </w:p>
    <w:p>
      <w:pPr>
        <w:spacing w:after="40"/>
      </w:pPr>
      <w:r>
        <w:rPr>
          <w:b/>
          <w:color w:val="142946"/>
        </w:rPr>
        <w:t xml:space="preserve">Required method: </w:t>
      </w:r>
      <w:r>
        <w:t>ISO16628 Annex B five closely spaced spiral wraps, OD = length/(5π), round up to next 0.5mm</w:t>
      </w:r>
    </w:p>
    <w:p>
      <w:pPr>
        <w:spacing w:after="40"/>
      </w:pPr>
      <w:r>
        <w:rPr>
          <w:b/>
          <w:color w:val="142946"/>
        </w:rPr>
        <w:t xml:space="preserve">Acceptance: </w:t>
      </w:r>
      <w:r>
        <w:t>Br marking based on prescribed rounded value</w:t>
      </w:r>
    </w:p>
    <w:p>
      <w:pPr>
        <w:spacing w:after="40"/>
      </w:pPr>
      <w:r>
        <w:rPr>
          <w:b/>
          <w:color w:val="142946"/>
        </w:rPr>
        <w:t xml:space="preserve">Evidence: </w:t>
      </w:r>
      <w:r>
        <w:t>Bronchial OD worksheet</w:t>
      </w:r>
    </w:p>
    <w:p>
      <w:pPr>
        <w:pStyle w:val="Heading2"/>
      </w:pPr>
      <w:r>
        <w:t>T-C005 | R032</w:t>
      </w:r>
    </w:p>
    <w:p>
      <w:pPr>
        <w:spacing w:after="40"/>
      </w:pPr>
      <w:r>
        <w:rPr>
          <w:b/>
          <w:color w:val="142946"/>
        </w:rPr>
        <w:t xml:space="preserve">Prior limitation: </w:t>
      </w:r>
      <w:r>
        <w:t>No effective functional lumen ID</w:t>
      </w:r>
    </w:p>
    <w:p>
      <w:pPr>
        <w:spacing w:after="40"/>
      </w:pPr>
      <w:r>
        <w:rPr>
          <w:b/>
          <w:color w:val="142946"/>
        </w:rPr>
        <w:t xml:space="preserve">Required method: </w:t>
      </w:r>
      <w:r>
        <w:t>ISO16628 Annex C three-bead string, 100±5g mass, D calibration and 0.2mm increments; two lumina</w:t>
      </w:r>
    </w:p>
    <w:p>
      <w:pPr>
        <w:spacing w:after="40"/>
      </w:pPr>
      <w:r>
        <w:rPr>
          <w:b/>
          <w:color w:val="142946"/>
        </w:rPr>
        <w:t xml:space="preserve">Acceptance: </w:t>
      </w:r>
      <w:r>
        <w:t>Actual max passing ID, expressed downward to nearest 0.2mm</w:t>
      </w:r>
    </w:p>
    <w:p>
      <w:pPr>
        <w:spacing w:after="40"/>
      </w:pPr>
      <w:r>
        <w:rPr>
          <w:b/>
          <w:color w:val="142946"/>
        </w:rPr>
        <w:t xml:space="preserve">Evidence: </w:t>
      </w:r>
      <w:r>
        <w:t>Bead method worksheet</w:t>
      </w:r>
    </w:p>
    <w:p>
      <w:pPr>
        <w:pStyle w:val="Heading2"/>
      </w:pPr>
      <w:r>
        <w:t>T-C006 | R028, R029</w:t>
      </w:r>
    </w:p>
    <w:p>
      <w:pPr>
        <w:spacing w:after="40"/>
      </w:pPr>
      <w:r>
        <w:rPr>
          <w:b/>
          <w:color w:val="142946"/>
        </w:rPr>
        <w:t xml:space="preserve">Prior limitation: </w:t>
      </w:r>
      <w:r>
        <w:t>Exposure conditioning not identified</w:t>
      </w:r>
    </w:p>
    <w:p>
      <w:pPr>
        <w:spacing w:after="40"/>
      </w:pPr>
      <w:r>
        <w:rPr>
          <w:b/>
          <w:color w:val="142946"/>
        </w:rPr>
        <w:t xml:space="preserve">Required method: </w:t>
      </w:r>
      <w:r>
        <w:t>ISO16628 §9.2.1 IFU/risk-selected exposure then acuity 1, 1m±10mm, 215±5lx, 15s wet rub</w:t>
      </w:r>
    </w:p>
    <w:p>
      <w:pPr>
        <w:spacing w:after="40"/>
      </w:pPr>
      <w:r>
        <w:rPr>
          <w:b/>
          <w:color w:val="142946"/>
        </w:rPr>
        <w:t xml:space="preserve">Acceptance: </w:t>
      </w:r>
      <w:r>
        <w:t>Legible at end</w:t>
      </w:r>
    </w:p>
    <w:p>
      <w:pPr>
        <w:spacing w:after="40"/>
      </w:pPr>
      <w:r>
        <w:rPr>
          <w:b/>
          <w:color w:val="142946"/>
        </w:rPr>
        <w:t xml:space="preserve">Evidence: </w:t>
      </w:r>
      <w:r>
        <w:t>Marking validation record</w:t>
      </w:r>
    </w:p>
    <w:p>
      <w:pPr>
        <w:pStyle w:val="Heading2"/>
      </w:pPr>
      <w:r>
        <w:t>T-C007 | R009, R010, R021</w:t>
      </w:r>
    </w:p>
    <w:p>
      <w:pPr>
        <w:spacing w:after="40"/>
      </w:pPr>
      <w:r>
        <w:rPr>
          <w:b/>
          <w:color w:val="142946"/>
        </w:rPr>
        <w:t xml:space="preserve">Prior limitation: </w:t>
      </w:r>
      <w:r>
        <w:t>Normative ISO connector methods not verified</w:t>
      </w:r>
    </w:p>
    <w:p>
      <w:pPr>
        <w:spacing w:after="40"/>
      </w:pPr>
      <w:r>
        <w:rPr>
          <w:b/>
          <w:color w:val="142946"/>
        </w:rPr>
        <w:t xml:space="preserve">Required method: </w:t>
      </w:r>
      <w:r>
        <w:t>Obtain ISO5356-1/ISO80369-7 criteria and approved compatibility fixtures; technical-file verification</w:t>
      </w:r>
    </w:p>
    <w:p>
      <w:pPr>
        <w:spacing w:after="40"/>
      </w:pPr>
      <w:r>
        <w:rPr>
          <w:b/>
          <w:color w:val="142946"/>
        </w:rPr>
        <w:t xml:space="preserve">Acceptance: </w:t>
      </w:r>
      <w:r>
        <w:t>Pass according to externally approved normative criteria</w:t>
      </w:r>
    </w:p>
    <w:p>
      <w:pPr>
        <w:spacing w:after="40"/>
      </w:pPr>
      <w:r>
        <w:rPr>
          <w:b/>
          <w:color w:val="142946"/>
        </w:rPr>
        <w:t xml:space="preserve">Evidence: </w:t>
      </w:r>
      <w:r>
        <w:t>Connector qualification report</w:t>
      </w:r>
    </w:p>
    <w:p>
      <w:pPr>
        <w:pStyle w:val="Heading2"/>
      </w:pPr>
      <w:r>
        <w:t>T-C008 | R017, R018, R019, R020, R022, R023, R024</w:t>
      </w:r>
    </w:p>
    <w:p>
      <w:pPr>
        <w:spacing w:after="40"/>
      </w:pPr>
      <w:r>
        <w:rPr>
          <w:b/>
          <w:color w:val="142946"/>
        </w:rPr>
        <w:t xml:space="preserve">Prior limitation: </w:t>
      </w:r>
      <w:r>
        <w:t>No 5361 §5.6 coverage</w:t>
      </w:r>
    </w:p>
    <w:p>
      <w:pPr>
        <w:spacing w:after="40"/>
      </w:pPr>
      <w:r>
        <w:rPr>
          <w:b/>
          <w:color w:val="142946"/>
        </w:rPr>
        <w:t xml:space="preserve">Required method: </w:t>
      </w:r>
      <w:r>
        <w:t>Measure/verify all applicable 5361 §5.6 dimensions/angles, pilot indication, and deflation with conditional S3 cases</w:t>
      </w:r>
    </w:p>
    <w:p>
      <w:pPr>
        <w:spacing w:after="40"/>
      </w:pPr>
      <w:r>
        <w:rPr>
          <w:b/>
          <w:color w:val="142946"/>
        </w:rPr>
        <w:t xml:space="preserve">Acceptance: </w:t>
      </w:r>
      <w:r>
        <w:t>Each specified limit met; pending design inputs</w:t>
      </w:r>
    </w:p>
    <w:p>
      <w:pPr>
        <w:spacing w:after="40"/>
      </w:pPr>
      <w:r>
        <w:rPr>
          <w:b/>
          <w:color w:val="142946"/>
        </w:rPr>
        <w:t xml:space="preserve">Evidence: </w:t>
      </w:r>
      <w:r>
        <w:t>Inflation functional worksheet</w:t>
      </w:r>
    </w:p>
    <w:p>
      <w:pPr>
        <w:pStyle w:val="Heading2"/>
      </w:pPr>
      <w:r>
        <w:t>T-C009 | R041</w:t>
      </w:r>
    </w:p>
    <w:p>
      <w:pPr>
        <w:spacing w:after="40"/>
      </w:pPr>
      <w:r>
        <w:rPr>
          <w:b/>
          <w:color w:val="142946"/>
        </w:rPr>
        <w:t xml:space="preserve">Prior limitation: </w:t>
      </w:r>
      <w:r>
        <w:t>Applicability and Annex B method missing</w:t>
      </w:r>
    </w:p>
    <w:p>
      <w:pPr>
        <w:spacing w:after="40"/>
      </w:pPr>
      <w:r>
        <w:rPr>
          <w:b/>
          <w:color w:val="142946"/>
        </w:rPr>
        <w:t xml:space="preserve">Required method: </w:t>
      </w:r>
      <w:r>
        <w:t>If actual qualifying suction catheter: Annex B 23±2°C/50±20%RH 1h, pull 200±20mm/min, Table2 force by OD</w:t>
      </w:r>
    </w:p>
    <w:p>
      <w:pPr>
        <w:spacing w:after="40"/>
      </w:pPr>
      <w:r>
        <w:rPr>
          <w:b/>
          <w:color w:val="142946"/>
        </w:rPr>
        <w:t xml:space="preserve">Acceptance: </w:t>
      </w:r>
      <w:r>
        <w:t>≥5/15/20N by OD category when applicable</w:t>
      </w:r>
    </w:p>
    <w:p>
      <w:pPr>
        <w:spacing w:after="40"/>
      </w:pPr>
      <w:r>
        <w:rPr>
          <w:b/>
          <w:color w:val="142946"/>
        </w:rPr>
        <w:t xml:space="preserve">Evidence: </w:t>
      </w:r>
      <w:r>
        <w:t>Optional component bonding record</w:t>
      </w:r>
    </w:p>
    <w:p>
      <w:pPr>
        <w:pStyle w:val="Heading1"/>
      </w:pPr>
      <w:r>
        <w:t>10. Test and control location strategy</w:t>
      </w:r>
    </w:p>
    <w:p>
      <w:r>
        <w:t>In-process / routine: appearance, identity, correct colour, drawing-controlled dimensions, packaging/label and approved cuff-leak verification based on controlled plan. Qualification/design verification: effective-ID bead method, bronchial OD Annex B, connector standards, cuff diameter/herniation, durability exposure, design risk and inflation-system geometry. Sterile, packaging and biocompatibility conformance are controlled via validated processes/technical files rather than automatically repeated each lot. Frequency of any ISO test not stated in the provided source shall be selected via approved risk-based verification plan.</w:t>
      </w:r>
    </w:p>
    <w:p>
      <w:pPr>
        <w:pStyle w:val="Heading1"/>
      </w:pPr>
      <w:r>
        <w:t>11. Sampling and frequency</w:t>
      </w:r>
    </w:p>
    <w:p>
      <w:r>
        <w:t>Maintain existing company practice of general-inspection-level visual AQL and special-inspection-level physical AQL (WI printed pp.1,6–10) and packaging QC checks at 2-hour intervals until QMS change control revises them. No exact level/AQL/sample quantity/Ac/Re can be inferred from the uploads. Retrieve SOP-8-2-6 and approved sampling plan. Record actual lot size, level, AQL, code letter, sample count, Ac, Re and drawing method. Do not use standalone illustrative source AQL tables as a substitute for current approved plans.</w:t>
      </w:r>
    </w:p>
    <w:p>
      <w:pPr>
        <w:pStyle w:val="Heading1"/>
      </w:pPr>
      <w:r>
        <w:t>12. Nonconforming products</w:t>
      </w:r>
    </w:p>
    <w:p>
      <w:r>
        <w:t>If actual measurement exceeds the controlled acceptance limit, or source/traceability is absent, assign Fail or Pending as appropriate, identify and isolate/quarantine material, initiate QMS nonconformance, inform the authorized approver and prohibit undocumented acceptance. Repeat tests or concessions only per authorized QMS and approved criteria.</w:t>
      </w:r>
    </w:p>
    <w:p>
      <w:pPr>
        <w:pStyle w:val="Heading1"/>
      </w:pPr>
      <w:r>
        <w:t>13. Packaging and labelling</w:t>
      </w:r>
    </w:p>
    <w:p>
      <w:r>
        <w:t>Inspect original company label fields from WI p.10: product name/code, reference, lot, side/type, production and expiry dates, packaging integrity and approved symbols/artwork. Additionally, ISO16628 §9.4 mandates content description, major/minor tracheal outside axes and both declared cuff diameters on individual pack/insert. Verify against approved specification/drawings. ISO18190 Clause8 and Clause9 scope cannot be signed off until controlled source review.</w:t>
      </w:r>
    </w:p>
    <w:p>
      <w:pPr>
        <w:pStyle w:val="Heading1"/>
      </w:pPr>
      <w:r>
        <w:t>14. Sterilization and release linkage</w:t>
      </w:r>
    </w:p>
    <w:p>
      <w:r>
        <w:t>For sterile-supplied product, retain validation/routine control evidence and release by the QMS-authorized function. A carton/chamber stamp is an additional operational check, not evidence of sterilization acceptance. Link each finished lot to sterilization run, approved integrity tests and labeling/expiry controls. ISO18190 Clause7 applies as invoked; detail remains OPEN until source review.</w:t>
      </w:r>
    </w:p>
    <w:p>
      <w:pPr>
        <w:pStyle w:val="Heading1"/>
      </w:pPr>
      <w:r>
        <w:t>15. Final inspection and release</w:t>
      </w:r>
    </w:p>
    <w:p>
      <w:r>
        <w:t>QC records final inspection, approved sampling disposition, raw readings, referenced worksheets, reconciliation of received/produced quantities, packaging/label status and all deviations. QC Supervisor reviews complete objective results. QA/authorized function makes the final release decision per QMS; pending design, sterile, bio, connector or validation evidence is escalated and cannot be treated as verified conformity.</w:t>
      </w:r>
    </w:p>
    <w:p>
      <w:pPr>
        <w:pStyle w:val="Heading1"/>
      </w:pPr>
      <w:r>
        <w:t>16. Records</w:t>
      </w:r>
    </w:p>
    <w:p>
      <w:r>
        <w:t>Retain the verified controlled Endobronchial Inspection &amp; Test Report (currently NOT AVAILABLE FOR VERIFICATION), proposed report after approval, major/minor axis form, Annex B bronchial OD worksheet, Annex C effective-ID worksheet, cuff leak/diameter/herniation worksheets, component/marking verification, in-process record, sampling plan entry, sterilization evidence, applicable QMS NCR and supplier verification records. WI historical p.11 lists report/in-process/packaging/final release forms; identifiers require controlled verification.</w:t>
      </w:r>
    </w:p>
    <w:p>
      <w:pPr>
        <w:pStyle w:val="Heading1"/>
      </w:pPr>
      <w:r>
        <w:t>17. Document control</w:t>
      </w:r>
    </w:p>
    <w:p>
      <w:r>
        <w:t>This reconstructed draft has not superseded WI-8-2-2-06-1 Rev00. Allocate final controlled number, revision, owners, change impact assessment, training and approvals via company QMS. Correct duplicated numbering in historical WI (printed p.4). Link revision to validated test equipment, approved product specs and correct reporting form; never prefill approvals.</w:t>
      </w:r>
    </w:p>
    <w:p>
      <w:pPr>
        <w:pStyle w:val="Heading1"/>
      </w:pPr>
      <w:r>
        <w:t>18. Revision history</w:t>
      </w:r>
    </w:p>
    <w:p>
      <w:r>
        <w:t>PROPOSED DRAFT ONLY | Source WI Rev00 / 05.12.2023 | Content reconstructed for technical review 09.10.2026 | Proposed Rev: TO BE ASSIGNED | Approved by: ________ | Effective date: ________</w:t>
      </w:r>
    </w:p>
    <w:p>
      <w:pPr>
        <w:pStyle w:val="Heading1"/>
      </w:pPr>
      <w:r>
        <w:t>19. Open technical input gate</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4831"/>
            <w:shd w:fill="142946"/>
          </w:tcPr>
          <w:p>
            <w:r>
              <w:rPr>
                <w:b/>
                <w:color w:val="FFFFFF"/>
                <w:sz w:val="16"/>
              </w:rPr>
              <w:t>OPEN ITEM</w:t>
            </w:r>
          </w:p>
        </w:tc>
        <w:tc>
          <w:tcPr>
            <w:tcW w:type="dxa" w:w="4831"/>
            <w:shd w:fill="142946"/>
          </w:tcPr>
          <w:p>
            <w:r>
              <w:rPr>
                <w:b/>
                <w:color w:val="FFFFFF"/>
                <w:sz w:val="16"/>
              </w:rPr>
              <w:t>BLOCKER / REQUIRED APPROVAL</w:t>
            </w:r>
          </w:p>
        </w:tc>
      </w:tr>
      <w:tr>
        <w:trPr>
          <w:cantSplit/>
        </w:trPr>
        <w:tc>
          <w:tcPr>
            <w:tcW w:type="dxa" w:w="4831"/>
            <w:vAlign w:val="center"/>
          </w:tcPr>
          <w:p>
            <w:pPr>
              <w:spacing w:after="40"/>
            </w:pPr>
            <w:r>
              <w:rPr>
                <w:sz w:val="16"/>
              </w:rPr>
              <w:t>T01</w:t>
            </w:r>
          </w:p>
        </w:tc>
        <w:tc>
          <w:tcPr>
            <w:tcW w:type="dxa" w:w="4831"/>
            <w:vAlign w:val="center"/>
          </w:tcPr>
          <w:p>
            <w:pPr>
              <w:spacing w:after="40"/>
            </w:pPr>
            <w:r>
              <w:rPr>
                <w:sz w:val="16"/>
              </w:rPr>
              <w:t>ISO18190:2016 and ISO18562-1 source/approval and evidence</w:t>
            </w:r>
          </w:p>
        </w:tc>
      </w:tr>
      <w:tr>
        <w:trPr>
          <w:cantSplit/>
        </w:trPr>
        <w:tc>
          <w:tcPr>
            <w:tcW w:type="dxa" w:w="4831"/>
            <w:vAlign w:val="center"/>
            <w:shd w:fill="F1F4F7"/>
          </w:tcPr>
          <w:p>
            <w:pPr>
              <w:spacing w:after="40"/>
            </w:pPr>
            <w:r>
              <w:rPr>
                <w:sz w:val="16"/>
              </w:rPr>
              <w:t>T02</w:t>
            </w:r>
          </w:p>
        </w:tc>
        <w:tc>
          <w:tcPr>
            <w:tcW w:type="dxa" w:w="4831"/>
            <w:vAlign w:val="center"/>
            <w:shd w:fill="F1F4F7"/>
          </w:tcPr>
          <w:p>
            <w:pPr>
              <w:spacing w:after="40"/>
            </w:pPr>
            <w:r>
              <w:rPr>
                <w:sz w:val="16"/>
              </w:rPr>
              <w:t>ISO5356-1 / ISO80369-7 original source, valid connector verification protocols</w:t>
            </w:r>
          </w:p>
        </w:tc>
      </w:tr>
      <w:tr>
        <w:trPr>
          <w:cantSplit/>
        </w:trPr>
        <w:tc>
          <w:tcPr>
            <w:tcW w:type="dxa" w:w="4831"/>
            <w:vAlign w:val="center"/>
          </w:tcPr>
          <w:p>
            <w:pPr>
              <w:spacing w:after="40"/>
            </w:pPr>
            <w:r>
              <w:rPr>
                <w:sz w:val="16"/>
              </w:rPr>
              <w:t>T03</w:t>
            </w:r>
          </w:p>
        </w:tc>
        <w:tc>
          <w:tcPr>
            <w:tcW w:type="dxa" w:w="4831"/>
            <w:vAlign w:val="center"/>
          </w:tcPr>
          <w:p>
            <w:pPr>
              <w:spacing w:after="40"/>
            </w:pPr>
            <w:r>
              <w:rPr>
                <w:sz w:val="16"/>
              </w:rPr>
              <w:t>Approved drawings: nominal axes, Br OD, actual marked ID/cuff values by size/side</w:t>
            </w:r>
          </w:p>
        </w:tc>
      </w:tr>
      <w:tr>
        <w:trPr>
          <w:cantSplit/>
        </w:trPr>
        <w:tc>
          <w:tcPr>
            <w:tcW w:type="dxa" w:w="4831"/>
            <w:vAlign w:val="center"/>
            <w:shd w:fill="F1F4F7"/>
          </w:tcPr>
          <w:p>
            <w:pPr>
              <w:spacing w:after="40"/>
            </w:pPr>
            <w:r>
              <w:rPr>
                <w:sz w:val="16"/>
              </w:rPr>
              <w:t>T04</w:t>
            </w:r>
          </w:p>
        </w:tc>
        <w:tc>
          <w:tcPr>
            <w:tcW w:type="dxa" w:w="4831"/>
            <w:vAlign w:val="center"/>
            <w:shd w:fill="F1F4F7"/>
          </w:tcPr>
          <w:p>
            <w:pPr>
              <w:spacing w:after="40"/>
            </w:pPr>
            <w:r>
              <w:rPr>
                <w:sz w:val="16"/>
              </w:rPr>
              <w:t>Verified Endobronchial report ID/rev; SOP-8-2-6; company approved sampling plan</w:t>
            </w:r>
          </w:p>
        </w:tc>
      </w:tr>
      <w:tr>
        <w:trPr>
          <w:cantSplit/>
        </w:trPr>
        <w:tc>
          <w:tcPr>
            <w:tcW w:type="dxa" w:w="4831"/>
            <w:vAlign w:val="center"/>
          </w:tcPr>
          <w:p>
            <w:pPr>
              <w:spacing w:after="40"/>
            </w:pPr>
            <w:r>
              <w:rPr>
                <w:sz w:val="16"/>
              </w:rPr>
              <w:t>T05</w:t>
            </w:r>
          </w:p>
        </w:tc>
        <w:tc>
          <w:tcPr>
            <w:tcW w:type="dxa" w:w="4831"/>
            <w:vAlign w:val="center"/>
          </w:tcPr>
          <w:p>
            <w:pPr>
              <w:spacing w:after="40"/>
            </w:pPr>
            <w:r>
              <w:rPr>
                <w:sz w:val="16"/>
              </w:rPr>
              <w:t>Approved BOM and optional suction catheter applicability</w:t>
            </w:r>
          </w:p>
        </w:tc>
      </w:tr>
      <w:tr>
        <w:trPr>
          <w:cantSplit/>
        </w:trPr>
        <w:tc>
          <w:tcPr>
            <w:tcW w:type="dxa" w:w="4831"/>
            <w:vAlign w:val="center"/>
            <w:shd w:fill="F1F4F7"/>
          </w:tcPr>
          <w:p>
            <w:pPr>
              <w:spacing w:after="40"/>
            </w:pPr>
            <w:r>
              <w:rPr>
                <w:sz w:val="16"/>
              </w:rPr>
              <w:t>T06</w:t>
            </w:r>
          </w:p>
        </w:tc>
        <w:tc>
          <w:tcPr>
            <w:tcW w:type="dxa" w:w="4831"/>
            <w:vAlign w:val="center"/>
            <w:shd w:fill="F1F4F7"/>
          </w:tcPr>
          <w:p>
            <w:pPr>
              <w:spacing w:after="40"/>
            </w:pPr>
            <w:r>
              <w:rPr>
                <w:sz w:val="16"/>
              </w:rPr>
              <w:t>Risk file, marker exposure chemicals/duration; type-test strategy</w:t>
            </w:r>
          </w:p>
        </w:tc>
      </w:tr>
      <w:tr>
        <w:trPr>
          <w:cantSplit/>
        </w:trPr>
        <w:tc>
          <w:tcPr>
            <w:tcW w:type="dxa" w:w="4831"/>
            <w:vAlign w:val="center"/>
          </w:tcPr>
          <w:p>
            <w:pPr>
              <w:spacing w:after="40"/>
            </w:pPr>
            <w:r>
              <w:rPr>
                <w:sz w:val="16"/>
              </w:rPr>
              <w:t>T07</w:t>
            </w:r>
          </w:p>
        </w:tc>
        <w:tc>
          <w:tcPr>
            <w:tcW w:type="dxa" w:w="4831"/>
            <w:vAlign w:val="center"/>
          </w:tcPr>
          <w:p>
            <w:pPr>
              <w:spacing w:after="40"/>
            </w:pPr>
            <w:r>
              <w:rPr>
                <w:sz w:val="16"/>
              </w:rPr>
              <w:t>Sterilization, packaging integrity, labelling approvals and actual results</w:t>
            </w:r>
          </w:p>
        </w:tc>
      </w:tr>
    </w:tbl>
    <w:p/>
    <w:sectPr w:rsidR="00FC693F" w:rsidRPr="0006063C" w:rsidSect="00034616">
      <w:headerReference w:type="default" r:id="rId9"/>
      <w:footerReference w:type="default" r:id="rId10"/>
      <w:pgSz w:w="11909" w:h="16834"/>
      <w:pgMar w:top="1037" w:right="1123" w:bottom="965"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73"/>
        <w:sz w:val="14"/>
      </w:rPr>
      <w:t xml:space="preserve">DRAFT • 09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6373"/>
        <w:sz w:val="14"/>
      </w:rPr>
      <w:t>SAUDI MAIS | QC TECHNICAL REVIEW                                               CONTROLLED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38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42946"/>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42946"/>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429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60"/>
      <w:contextualSpacing/>
    </w:pPr>
    <w:rPr>
      <w:rFonts w:asciiTheme="majorHAnsi" w:eastAsiaTheme="majorEastAsia" w:hAnsiTheme="majorHAnsi" w:cstheme="majorBidi" w:ascii="Aptos Display" w:hAnsi="Aptos Display"/>
      <w:b/>
      <w:color w:val="1429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Endobronchial ISO 16628 source-based proposed controlled draft</dc:subject>
  <dc:creator>QC Technical Review -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