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EPIDURAL SET | REVISED WORK INSTRUCTION</w:t>
      </w:r>
    </w:p>
    <w:p>
      <w:r>
        <w:rPr>
          <w:b/>
        </w:rPr>
        <w:t>RECONSTRUCTED WI • PRESERVES ORIGINAL §§1–13  |  WI-DD-05 • PROPOSED Rev.02</w:t>
      </w:r>
    </w:p>
    <w:p>
      <w:r>
        <w:t>Epidural Set — DD-05  |  Source WI-DD-05 Rev.01  |  Evaluation date: 22 Oct 2026</w:t>
      </w:r>
    </w:p>
    <w:p>
      <w:r>
        <w:rPr>
          <w:b/>
          <w:color w:val="9B3C3C"/>
        </w:rPr>
        <w:t>DOCUMENT STATUS: PROPOSED CONTROLLED DRAFT — NOT IMPLEMENTED / NOT RELEASED</w:t>
      </w:r>
    </w:p>
    <w:p>
      <w:r>
        <w:t>Scope: Epidural Set in-process assembly and manual packaging controls. This document does not constitute final product inspection, final release, or evidence that product tests have passed.</w:t>
      </w:r>
    </w:p>
    <w:p>
      <w:pPr>
        <w:pStyle w:val="Heading1"/>
      </w:pPr>
      <w:r>
        <w:t>1. Purpose</w:t>
      </w:r>
    </w:p>
    <w:p>
      <w:r>
        <w:t>To define controlled receiving, component verification, issuance, assembly, packaging, in-process checking, sterilization hand-off and documentation for Epidural Set (DD-05). This draft builds on WI-DD-05 Rev.01 and requires approval of identified OPEN inputs before use. [GAP-002,003,022]</w:t>
      </w:r>
    </w:p>
    <w:p>
      <w:pPr>
        <w:pStyle w:val="Heading1"/>
      </w:pPr>
      <w:r>
        <w:t>2. Scope</w:t>
      </w:r>
    </w:p>
    <w:p>
      <w:r>
        <w:t>Applicable to DD-05 epidural kit configurations specifically approved in the controlled BOM and production order. Covers in-process controls; finished-product release remains governed by separately approved procedures and documented test records. ISO 7886-1 applies only to in-scope hypodermic syringes; ISO 80369-7 only to in-scope hypodermic/intravascular Luer connectors. [GAP-001,027]</w:t>
      </w:r>
    </w:p>
    <w:p>
      <w:pPr>
        <w:pStyle w:val="Heading1"/>
      </w:pPr>
      <w:r>
        <w:t>3. Definitions</w:t>
      </w:r>
    </w:p>
    <w:p>
      <w:r>
        <w:t>• In-process control: documented inspections during kit component assembly and manual pouch packaging; not final acceptance or batch release.</w:t>
      </w:r>
    </w:p>
    <w:p>
      <w:r>
        <w:t>• Approved BOM: current authorized configuration of part numbers, versions, sizes and quantities for each saleable kit SKU.</w:t>
      </w:r>
    </w:p>
    <w:p>
      <w:r>
        <w:t>• Qualification/type test: controlled design evidence that shall not be silently duplicated as a per-lot requirement.</w:t>
      </w:r>
    </w:p>
    <w:p>
      <w:r>
        <w:t>• NCR: nonconforming product record including affected scope and authorized disposition.</w:t>
      </w:r>
    </w:p>
    <w:p>
      <w:r>
        <w:t>• OPEN TECHNICAL INPUT REQUIRED: no acceptance or applicability basis was provided and approval is necessary.</w:t>
      </w:r>
    </w:p>
    <w:p>
      <w:pPr>
        <w:pStyle w:val="Heading1"/>
      </w:pPr>
      <w:r>
        <w:t>4. Responsibilities</w:t>
      </w:r>
    </w:p>
    <w:p>
      <w:r>
        <w:t>4.1 Production controller: issue approved production order and parts/lot traceability, reconcile quantities, enforce identification/line clearance.</w:t>
      </w:r>
    </w:p>
    <w:p>
      <w:r>
        <w:t>4.2 Assembly and packaging operators: assemble to approved BOM, record actual checks, stop work/segregate failures and notify QC.</w:t>
      </w:r>
    </w:p>
    <w:p>
      <w:r>
        <w:t>4.3 QC: verify incoming-approved status; execute documented in-process inspection and sampling; record data and NCR references.</w:t>
      </w:r>
    </w:p>
    <w:p>
      <w:r>
        <w:t>4.4 QC Supervisor/QCM: review in-process records and deviations; final batch authorization only according to controlled release procedure.</w:t>
      </w:r>
    </w:p>
    <w:p>
      <w:r>
        <w:t>4.5 QA/Engineering/Supplier Quality: approve product specifications, connector application matrix, design/type evidence, controlled machine settings and validations.</w:t>
      </w:r>
    </w:p>
    <w:p>
      <w:r>
        <w:t>4.6 Document Control: verify WI/forms/approved artwork revisions and release effective versions.</w:t>
      </w:r>
    </w:p>
    <w:p>
      <w:pPr>
        <w:pStyle w:val="Heading1"/>
      </w:pPr>
      <w:r>
        <w:t>5. Procedure: Receiving and component verification</w:t>
      </w:r>
    </w:p>
    <w:p>
      <w:pPr>
        <w:pStyle w:val="Heading2"/>
      </w:pPr>
      <w:r>
        <w:t>5.1 Receiving inspection of bulk components from supplier</w:t>
      </w:r>
    </w:p>
    <w:p>
      <w:r>
        <w:t>5.1.1 Confirm purchase order, authorized vendor, item description/part number/revision, supplier lot, quantity and pack integrity. 5.1.2 Verify product configuration against current DD-05-PS and DD-05-PDBM (NOT SUPPLIED). 5.1.3 Use an approved, item-specific incoming acceptance/sampling plan and record actual sample quantities and acceptance decisions. 5.1.4 Do not substitute a visually similar component or mix different unapproved grades. 5.1.5 A component may enter the line only with documented incoming approval and a traceable issue-slip. [GAP-003–005]</w:t>
      </w:r>
    </w:p>
    <w:p>
      <w:pPr>
        <w:pStyle w:val="Heading2"/>
      </w:pPr>
      <w:r>
        <w:t>5.2 Epidural catheter set bulk components — approved configuration</w:t>
      </w:r>
    </w:p>
    <w:p>
      <w:r>
        <w:t>The original WI Rev.01 includes Tuohy G19×80 mm, LOR syringe 5 ml, epidural catheter and related fittings, 0.2µ filter, gauze, syringes 3/5 ml, needles G21/G25, drapes, tray “Hips Tray-2”, etc. The current Rev.5 assembly form includes an additional 16×40 mm needle, straw filter 5µ and “BU-Hips Tray-1”. This is NOT resolved by this draft. The correct contents and quantities for each kit must be loaded exclusively from approved SKU-specific drawings and BOM, reviewed by QA/Engineering. [GAP-003]</w:t>
      </w:r>
    </w:p>
    <w:p>
      <w:pPr>
        <w:pStyle w:val="Heading2"/>
      </w:pPr>
      <w:r>
        <w:t>5.2.1 Incoming component-specific visual and functional requirements</w:t>
      </w:r>
    </w:p>
    <w:p>
      <w:r>
        <w:t>Tuohy needle/stylet: examine tip curvature/sharpness, no bending or obstruction, surface finish, visible graduation, controlled dimensional acceptance and attachment integrity. Catheter and guide: verify accurate type/gauge/length to approved drawing, visible legible graduations, movement, no cracks/deformation. LOR syringe: verify approved 5 ml catheter-tip type, clear barrel/graduations, gasket/fit, absence of visible foreign matter and approved LOR functional specification. 3/5 ml syringes: inspect packaging/status, clear graduations, smooth motion and visual damage; do not treat those as evidence of ISO syringe accuracy, leakage or chemical tests. Hypodermic needle: verify approved actual gauge/length, tip and hub integrity, no blockage. [GAP-003,006–014,029]</w:t>
      </w:r>
    </w:p>
    <w:p>
      <w:r>
        <w:t>Filter, catheter connector and catheter clamp: inspect correct part/route, integrity and approved mating/assembly specification. Gauze (50×50 and 75×75 mm), sponge, swab sticks, dressings, drapes, hospital wrap and trays: verify against approved part-specific drawings/visual acceptance guides, dimensions, contamination status, quantity and remaining expiry. Historic “3-year swab expiry” is not an approved substitute for supplier/controlled shelf-life evidence. [GAP-001,022,025]</w:t>
      </w:r>
    </w:p>
    <w:p>
      <w:pPr>
        <w:pStyle w:val="Heading2"/>
      </w:pPr>
      <w:r>
        <w:t>5.2.2 Connector route and clinical safety assessment</w:t>
      </w:r>
    </w:p>
    <w:p>
      <w:r>
        <w:t>Engineering/QA shall approve and maintain a component-level intended clinical route matrix. Clearly separate intravascular/hypodermic Luer connections in ISO 80369-7 from any neuraxial epidural interface. Obtain the applicable neuraxial connector standard and related test evidence before declaring conformity. Tests and dimensional tables apply only after the actual connector type and route are verified. Use a change-control gate before approving substitutions. OPEN TECHNICAL INPUT REQUIRED: route, device mating configuration and detailed 80369-6 source. [GAP-001,009,016]</w:t>
      </w:r>
    </w:p>
    <w:p>
      <w:pPr>
        <w:pStyle w:val="Heading2"/>
      </w:pPr>
      <w:r>
        <w:t>5.2.3 Design/type verification for syringes and in-scope Luer connectors</w:t>
      </w:r>
    </w:p>
    <w:p>
      <w:r>
        <w:t>For an in-scope 3 ml/5 ml manual syringe, supplier or manufacturer approved records must address ISO 7886-1 5–13, with test-method/calibration and validity: particle cleanliness (6.1), extracted pH/metals (6.2–6.3, Annex A), lubricant controls (7), graduated-volume accuracy and dimensions (8/9 and Table 1), flanges/stopper (10/11), nozzle (12), dead space (13.1/Annex C), air and liquid stopper leakage (13.2/Annex B/D), gravity-induced piston movement (13.4). The force-test in Annex E is informative/recommended and must be included only if adopted in approved specifications. ISO 7886-1 does NOT by itself define kit lot release. [GAP-006–014]</w:t>
      </w:r>
    </w:p>
    <w:p>
      <w:r>
        <w:t>For a clinically appropriate intravascular/hypodermic Luer connector, type verification shall document ISO 80369-7:2016 cl.4 material modulus/type testing, cl.5 applicable Annex B variant dimensions, cl.6.1 fluid leakage (one allowable method), cl.6.2 air-leak under vacuum, cl.6.3 post-stress crack performance, and cl.6.4–6.6 forces/torques as applicable to slip/lock geometry. The actual test method is ISO 80369-20:2015; obtain this standard and the applicable reference connectors. Do not use 80369-7 values for a different clinical route. [GAP-016–021]</w:t>
      </w:r>
    </w:p>
    <w:p>
      <w:pPr>
        <w:pStyle w:val="Heading2"/>
      </w:pPr>
      <w:r>
        <w:t>5.2.4 In-process acceptance criteria and evidence linking</w:t>
      </w:r>
    </w:p>
    <w:p>
      <w:r>
        <w:t>For every component characteristic in F-823-i22, the approved specification/drawing and revision shall be identified. The checker records actual observation/measurement, result, sample ID, time, kit and component lot, initials and deviation as applicable. If the specification is missing, identify OPEN TECHNICAL INPUT REQUIRED, prevent an unjustified Pass and request QA/Engineering disposition. In-process observations may use approved incoming qualification records when the characteristic is not suitable for routine retest. [GAP-004,022,030]</w:t>
      </w:r>
    </w:p>
    <w:p>
      <w:pPr>
        <w:pStyle w:val="Heading1"/>
      </w:pPr>
      <w:r>
        <w:t>6. Issuance and receipt of bulk components for assembly</w:t>
      </w:r>
    </w:p>
    <w:p>
      <w:r>
        <w:t>6.1 Issue: Production controller confirms production order, exact kit SKU/BOM revision and required quantities; record issue-slip, lot and QC-accepted status for each part. 6.2 Receipt: line personnel reconcile issued actual to approved kit BOM and check identification/physical integrity. 6.3 Traceability: link every issued component lot and qualified evidence source to the in-process kit lot. Any mismatch triggers hold/NCR. [GAP-003,005]</w:t>
      </w:r>
    </w:p>
    <w:p>
      <w:pPr>
        <w:pStyle w:val="Heading1"/>
      </w:pPr>
      <w:r>
        <w:t>7. Assembly of Epidural Set</w:t>
      </w:r>
    </w:p>
    <w:p>
      <w:r>
        <w:t>7.1 Confirm approved order, line clearance, cleanliness, location/equipment and kit components; segregate parts in labeled trays. 7.2 Assemble each component into its approved tray position and quantity; do not infer the required contents from conflicting WI and form lists. 7.3 QC executes checks using approved sampling/shift/control plan and revises frequency only through approval. 7.4 Check identity, lot approval, specific component condition, arrangement, completeness and accurate approved pouch label. 7.5 Enter actual results to F-823-i22, with sample/time/component lot and source evidence. 7.6 Hold failed or pending work, record affected output since last acceptable check and open NCR before rework/restart. [GAP-003,005,022,026,030]</w:t>
      </w:r>
    </w:p>
    <w:p>
      <w:pPr>
        <w:pStyle w:val="Heading1"/>
      </w:pPr>
      <w:r>
        <w:t>8. Packaging (manual pouch and cartons)</w:t>
      </w:r>
    </w:p>
    <w:p>
      <w:r>
        <w:t>8.1 Following authorized in-process checks, cover tray with specified hospital wrap and insert in the approved pouch material/size according to the current BOM and process instructions. 8.2 Before and during manual-machine sealing, confirm machine/calibration, approved process validation and recipe, record actual sealing width, temperature, dwell time, approved seal-integrity or peel result and sample/time. Existing F-823-i4-2 values (width 5.0–12.0 mm, temperature 200–370°C, dwell 2.0–10 s) are historical form values ONLY: they must not be made effective for DD-05 until engineering/QA verify the approved validation/specification. 8.3 Verify packing compatibility and intended sterile barrier. 8.4 Compare product, lot, manufacture/expiry dates, symbols, description and any CE/registration identification with current approved artwork; no universal hardcoded CE code. 8.5 Stop, contain and NCR nonconforming pouch, seal, label or carton. 8.6 Pack to order quantity and transfer segregated, in-process-approved units to sterilization with records. [GAP-015,023,024,026,030]</w:t>
      </w:r>
    </w:p>
    <w:p>
      <w:pPr>
        <w:pStyle w:val="Heading1"/>
      </w:pPr>
      <w:r>
        <w:t>9. Sterilization</w:t>
      </w:r>
    </w:p>
    <w:p>
      <w:r>
        <w:t>Finished kits shall be transferred under controlled lot/quantity identity and sterilized in accordance with WI-7-5-1-1 and applicable validated process (source not supplied). Link kit lot, pouch material, load, cycle record and lab/sterilization evidence. In-process check completion does not mean sterilization has passed. [GAP-027]</w:t>
      </w:r>
    </w:p>
    <w:p>
      <w:pPr>
        <w:pStyle w:val="Heading1"/>
      </w:pPr>
      <w:r>
        <w:t>10. Final Control and Release</w:t>
      </w:r>
    </w:p>
    <w:p>
      <w:r>
        <w:t>Retain the existing intent of QC check after sterilization, QA/QCM review of cycle parameters and inspection reports, laboratory results and signed final authorization. Finished product release must follow current controlled procedure and F-823-F20 (not supplied) with segregation until review completed. The in-process forms in this draft do not grant finished-good release. Production records actual quantities transferred to FG only following documented authorization. [GAP-027]</w:t>
      </w:r>
    </w:p>
    <w:p>
      <w:pPr>
        <w:pStyle w:val="Heading1"/>
      </w:pPr>
      <w:r>
        <w:t>11. Documentation and Records</w:t>
      </w:r>
    </w:p>
    <w:p>
      <w:r>
        <w:t>Original referenced records: F-823-T017 (Tuohy needle); F-823-T90 (general products); F-823-T37 (hypodermic needle); F-823-T61 (syringes); F-823-i22 (kit in-process); F-823-i4-2 (manual sealing in-process); F-823-F20 (final kit). Existing product form header additionally refers to WI-DD-05-1, DD-05-PS and DD-05-PDBM; reconcile approved cross-references before release. Preserve completed batch/lot source records, change control, deviations, test reports and approvals. [GAP-002,028]</w:t>
      </w:r>
    </w:p>
    <w:p>
      <w:pPr>
        <w:pStyle w:val="Heading1"/>
      </w:pPr>
      <w:r>
        <w:t>12. References</w:t>
      </w:r>
    </w:p>
    <w:p>
      <w:r>
        <w:t>Verified in this assessment: ISO 7886-1:2017(E), corrected 2019-08; ISO 80369-7:2016(E); WI-DD-05 Rev.01; F-823-i22 Rev.5; F-823-i4-2 Rev.6. Existing WI also lists BS 6196, ISO 7864, ISO 9626, ISO 80369-20, ISO 22610 and ISO 14079: these sources were NOT supplied or assessed. Neuraxial connector assessment requires an approved ISO 80369-6 source. Confirm all currently effective editions using the approved controlled standards register before WI approval.</w:t>
      </w:r>
    </w:p>
    <w:p>
      <w:pPr>
        <w:pStyle w:val="Heading1"/>
      </w:pPr>
      <w:r>
        <w:t>13. Modification / Documentation Change History</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469"/>
            <w:vAlign w:val="center"/>
            <w:shd w:fill="17324F"/>
          </w:tcPr>
          <w:p>
            <w:pPr>
              <w:spacing w:after="0" w:before="0"/>
            </w:pPr>
            <w:r/>
            <w:r>
              <w:rPr>
                <w:rFonts w:ascii="Aptos" w:hAnsi="Aptos"/>
                <w:b/>
                <w:color w:val="FFFFFF"/>
                <w:sz w:val="15"/>
              </w:rPr>
              <w:t>Revision</w:t>
            </w:r>
          </w:p>
        </w:tc>
        <w:tc>
          <w:tcPr>
            <w:tcW w:type="dxa" w:w="1728"/>
            <w:vAlign w:val="center"/>
            <w:shd w:fill="17324F"/>
          </w:tcPr>
          <w:p>
            <w:pPr>
              <w:spacing w:after="0" w:before="0"/>
            </w:pPr>
            <w:r/>
            <w:r>
              <w:rPr>
                <w:rFonts w:ascii="Aptos" w:hAnsi="Aptos"/>
                <w:b/>
                <w:color w:val="FFFFFF"/>
                <w:sz w:val="15"/>
              </w:rPr>
              <w:t>Date</w:t>
            </w:r>
          </w:p>
        </w:tc>
        <w:tc>
          <w:tcPr>
            <w:tcW w:type="dxa" w:w="4464"/>
            <w:vAlign w:val="center"/>
            <w:shd w:fill="17324F"/>
          </w:tcPr>
          <w:p>
            <w:pPr>
              <w:spacing w:after="0" w:before="0"/>
            </w:pPr>
            <w:r/>
            <w:r>
              <w:rPr>
                <w:rFonts w:ascii="Aptos" w:hAnsi="Aptos"/>
                <w:b/>
                <w:color w:val="FFFFFF"/>
                <w:sz w:val="15"/>
              </w:rPr>
              <w:t>Change</w:t>
            </w:r>
          </w:p>
        </w:tc>
        <w:tc>
          <w:tcPr>
            <w:tcW w:type="dxa" w:w="2016"/>
            <w:vAlign w:val="center"/>
            <w:shd w:fill="17324F"/>
          </w:tcPr>
          <w:p>
            <w:pPr>
              <w:spacing w:after="0" w:before="0"/>
            </w:pPr>
            <w:r/>
            <w:r>
              <w:rPr>
                <w:rFonts w:ascii="Aptos" w:hAnsi="Aptos"/>
                <w:b/>
                <w:color w:val="FFFFFF"/>
                <w:sz w:val="15"/>
              </w:rPr>
              <w:t>Release status</w:t>
            </w:r>
          </w:p>
        </w:tc>
      </w:tr>
      <w:tr>
        <w:tc>
          <w:tcPr>
            <w:tcW w:type="dxa" w:w="1469"/>
            <w:vAlign w:val="center"/>
          </w:tcPr>
          <w:p>
            <w:pPr>
              <w:spacing w:after="0" w:before="0"/>
            </w:pPr>
            <w:r/>
            <w:r>
              <w:rPr>
                <w:rFonts w:ascii="Aptos" w:hAnsi="Aptos"/>
                <w:b w:val="0"/>
                <w:sz w:val="15"/>
              </w:rPr>
              <w:t>00</w:t>
            </w:r>
          </w:p>
        </w:tc>
        <w:tc>
          <w:tcPr>
            <w:tcW w:type="dxa" w:w="1728"/>
            <w:vAlign w:val="center"/>
          </w:tcPr>
          <w:p>
            <w:pPr>
              <w:spacing w:after="0" w:before="0"/>
            </w:pPr>
            <w:r/>
            <w:r>
              <w:rPr>
                <w:rFonts w:ascii="Aptos" w:hAnsi="Aptos"/>
                <w:b w:val="0"/>
                <w:sz w:val="15"/>
              </w:rPr>
              <w:t>18.05.2021</w:t>
            </w:r>
          </w:p>
        </w:tc>
        <w:tc>
          <w:tcPr>
            <w:tcW w:type="dxa" w:w="4464"/>
            <w:vAlign w:val="center"/>
          </w:tcPr>
          <w:p>
            <w:pPr>
              <w:spacing w:after="0" w:before="0"/>
            </w:pPr>
            <w:r/>
            <w:r>
              <w:rPr>
                <w:rFonts w:ascii="Aptos" w:hAnsi="Aptos"/>
                <w:b w:val="0"/>
                <w:sz w:val="15"/>
              </w:rPr>
              <w:t>Original issue per WI history</w:t>
            </w:r>
          </w:p>
        </w:tc>
        <w:tc>
          <w:tcPr>
            <w:tcW w:type="dxa" w:w="2016"/>
            <w:vAlign w:val="center"/>
          </w:tcPr>
          <w:p>
            <w:pPr>
              <w:spacing w:after="0" w:before="0"/>
            </w:pPr>
            <w:r/>
            <w:r>
              <w:rPr>
                <w:rFonts w:ascii="Aptos" w:hAnsi="Aptos"/>
                <w:b w:val="0"/>
                <w:sz w:val="15"/>
              </w:rPr>
              <w:t>Historic</w:t>
            </w:r>
          </w:p>
        </w:tc>
      </w:tr>
      <w:tr>
        <w:tc>
          <w:tcPr>
            <w:tcW w:type="dxa" w:w="1469"/>
            <w:vAlign w:val="center"/>
            <w:shd w:fill="F3F6F8"/>
          </w:tcPr>
          <w:p>
            <w:pPr>
              <w:spacing w:after="0" w:before="0"/>
            </w:pPr>
            <w:r/>
            <w:r>
              <w:rPr>
                <w:rFonts w:ascii="Aptos" w:hAnsi="Aptos"/>
                <w:b w:val="0"/>
                <w:sz w:val="15"/>
              </w:rPr>
              <w:t>01</w:t>
            </w:r>
          </w:p>
        </w:tc>
        <w:tc>
          <w:tcPr>
            <w:tcW w:type="dxa" w:w="1728"/>
            <w:vAlign w:val="center"/>
            <w:shd w:fill="F3F6F8"/>
          </w:tcPr>
          <w:p>
            <w:pPr>
              <w:spacing w:after="0" w:before="0"/>
            </w:pPr>
            <w:r/>
            <w:r>
              <w:rPr>
                <w:rFonts w:ascii="Aptos" w:hAnsi="Aptos"/>
                <w:b w:val="0"/>
                <w:sz w:val="15"/>
              </w:rPr>
              <w:t>27.02.2023</w:t>
            </w:r>
          </w:p>
        </w:tc>
        <w:tc>
          <w:tcPr>
            <w:tcW w:type="dxa" w:w="4464"/>
            <w:vAlign w:val="center"/>
            <w:shd w:fill="F3F6F8"/>
          </w:tcPr>
          <w:p>
            <w:pPr>
              <w:spacing w:after="0" w:before="0"/>
            </w:pPr>
            <w:r/>
            <w:r>
              <w:rPr>
                <w:rFonts w:ascii="Aptos" w:hAnsi="Aptos"/>
                <w:b w:val="0"/>
                <w:sz w:val="15"/>
              </w:rPr>
              <w:t>Final control updated per WI history</w:t>
            </w:r>
          </w:p>
        </w:tc>
        <w:tc>
          <w:tcPr>
            <w:tcW w:type="dxa" w:w="2016"/>
            <w:vAlign w:val="center"/>
            <w:shd w:fill="F3F6F8"/>
          </w:tcPr>
          <w:p>
            <w:pPr>
              <w:spacing w:after="0" w:before="0"/>
            </w:pPr>
            <w:r/>
            <w:r>
              <w:rPr>
                <w:rFonts w:ascii="Aptos" w:hAnsi="Aptos"/>
                <w:b w:val="0"/>
                <w:sz w:val="15"/>
              </w:rPr>
              <w:t>Source</w:t>
            </w:r>
          </w:p>
        </w:tc>
      </w:tr>
      <w:tr>
        <w:tc>
          <w:tcPr>
            <w:tcW w:type="dxa" w:w="1469"/>
            <w:vAlign w:val="center"/>
          </w:tcPr>
          <w:p>
            <w:pPr>
              <w:spacing w:after="0" w:before="0"/>
            </w:pPr>
            <w:r/>
            <w:r>
              <w:rPr>
                <w:rFonts w:ascii="Aptos" w:hAnsi="Aptos"/>
                <w:b w:val="0"/>
                <w:sz w:val="15"/>
              </w:rPr>
              <w:t>02 (PROPOSED)</w:t>
            </w:r>
          </w:p>
        </w:tc>
        <w:tc>
          <w:tcPr>
            <w:tcW w:type="dxa" w:w="1728"/>
            <w:vAlign w:val="center"/>
          </w:tcPr>
          <w:p>
            <w:pPr>
              <w:spacing w:after="0" w:before="0"/>
            </w:pPr>
            <w:r/>
            <w:r>
              <w:rPr>
                <w:rFonts w:ascii="Aptos" w:hAnsi="Aptos"/>
                <w:b w:val="0"/>
                <w:sz w:val="15"/>
              </w:rPr>
              <w:t>22.10.2026</w:t>
            </w:r>
          </w:p>
        </w:tc>
        <w:tc>
          <w:tcPr>
            <w:tcW w:type="dxa" w:w="4464"/>
            <w:vAlign w:val="center"/>
          </w:tcPr>
          <w:p>
            <w:pPr>
              <w:spacing w:after="0" w:before="0"/>
            </w:pPr>
            <w:r/>
            <w:r>
              <w:rPr>
                <w:rFonts w:ascii="Aptos" w:hAnsi="Aptos"/>
                <w:b w:val="0"/>
                <w:sz w:val="15"/>
              </w:rPr>
              <w:t>Documentary reconstruction; component/ISO mapping; in-process traceability and validation link</w:t>
            </w:r>
          </w:p>
        </w:tc>
        <w:tc>
          <w:tcPr>
            <w:tcW w:type="dxa" w:w="2016"/>
            <w:vAlign w:val="center"/>
          </w:tcPr>
          <w:p>
            <w:pPr>
              <w:spacing w:after="0" w:before="0"/>
            </w:pPr>
            <w:r/>
            <w:r>
              <w:rPr>
                <w:rFonts w:ascii="Aptos" w:hAnsi="Aptos"/>
                <w:b w:val="0"/>
                <w:sz w:val="15"/>
              </w:rPr>
              <w:t>DRAFT — PENDING APPROVAL</w:t>
            </w:r>
          </w:p>
        </w:tc>
      </w:tr>
    </w:tbl>
    <w:p>
      <w:pPr>
        <w:pStyle w:val="Heading1"/>
      </w:pPr>
      <w:r>
        <w:t>Appendix A — Original In-Process Component List Reconciliation</w:t>
      </w:r>
    </w:p>
    <w:p>
      <w:r>
        <w:t>Historic F-823-i22 Rev.5 row numbering is preserved below; the listed criteria must be crosschecked with approved drawings and BOM. This table is NOT an approved product master specification.</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547"/>
            <w:vAlign w:val="center"/>
            <w:shd w:fill="17324F"/>
          </w:tcPr>
          <w:p>
            <w:pPr>
              <w:spacing w:after="0" w:before="0"/>
            </w:pPr>
            <w:r/>
            <w:r>
              <w:rPr>
                <w:rFonts w:ascii="Aptos" w:hAnsi="Aptos"/>
                <w:b/>
                <w:color w:val="FFFFFF"/>
                <w:sz w:val="15"/>
              </w:rPr>
              <w:t>Row</w:t>
            </w:r>
          </w:p>
        </w:tc>
        <w:tc>
          <w:tcPr>
            <w:tcW w:type="dxa" w:w="4032"/>
            <w:vAlign w:val="center"/>
            <w:shd w:fill="17324F"/>
          </w:tcPr>
          <w:p>
            <w:pPr>
              <w:spacing w:after="0" w:before="0"/>
            </w:pPr>
            <w:r/>
            <w:r>
              <w:rPr>
                <w:rFonts w:ascii="Aptos" w:hAnsi="Aptos"/>
                <w:b/>
                <w:color w:val="FFFFFF"/>
                <w:sz w:val="15"/>
              </w:rPr>
              <w:t>Original form component</w:t>
            </w:r>
          </w:p>
        </w:tc>
        <w:tc>
          <w:tcPr>
            <w:tcW w:type="dxa" w:w="5155"/>
            <w:vAlign w:val="center"/>
            <w:shd w:fill="17324F"/>
          </w:tcPr>
          <w:p>
            <w:pPr>
              <w:spacing w:after="0" w:before="0"/>
            </w:pPr>
            <w:r/>
            <w:r>
              <w:rPr>
                <w:rFonts w:ascii="Aptos" w:hAnsi="Aptos"/>
                <w:b/>
                <w:color w:val="FFFFFF"/>
                <w:sz w:val="15"/>
              </w:rPr>
              <w:t>Original requirement (condensed)</w:t>
            </w:r>
          </w:p>
        </w:tc>
      </w:tr>
      <w:tr>
        <w:tc>
          <w:tcPr>
            <w:tcW w:type="dxa" w:w="547"/>
            <w:vAlign w:val="center"/>
          </w:tcPr>
          <w:p>
            <w:pPr>
              <w:spacing w:after="0" w:before="0"/>
            </w:pPr>
            <w:r/>
            <w:r>
              <w:rPr>
                <w:rFonts w:ascii="Aptos" w:hAnsi="Aptos"/>
                <w:b w:val="0"/>
                <w:sz w:val="15"/>
              </w:rPr>
              <w:t>1</w:t>
            </w:r>
          </w:p>
        </w:tc>
        <w:tc>
          <w:tcPr>
            <w:tcW w:type="dxa" w:w="4032"/>
            <w:vAlign w:val="center"/>
          </w:tcPr>
          <w:p>
            <w:pPr>
              <w:spacing w:after="0" w:before="0"/>
            </w:pPr>
            <w:r/>
            <w:r>
              <w:rPr>
                <w:rFonts w:ascii="Aptos" w:hAnsi="Aptos"/>
                <w:b w:val="0"/>
                <w:sz w:val="15"/>
              </w:rPr>
              <w:t>Touhy needle status</w:t>
            </w:r>
          </w:p>
        </w:tc>
        <w:tc>
          <w:tcPr>
            <w:tcW w:type="dxa" w:w="5155"/>
            <w:vAlign w:val="center"/>
          </w:tcPr>
          <w:p>
            <w:pPr>
              <w:spacing w:after="0" w:before="0"/>
            </w:pPr>
            <w:r/>
            <w:r>
              <w:rPr>
                <w:rFonts w:ascii="Aptos" w:hAnsi="Aptos"/>
                <w:b w:val="0"/>
                <w:sz w:val="15"/>
              </w:rPr>
              <w:t>Sharp tip, without tip bend.</w:t>
            </w:r>
          </w:p>
        </w:tc>
      </w:tr>
      <w:tr>
        <w:tc>
          <w:tcPr>
            <w:tcW w:type="dxa" w:w="547"/>
            <w:vAlign w:val="center"/>
            <w:shd w:fill="F3F6F8"/>
          </w:tcPr>
          <w:p>
            <w:pPr>
              <w:spacing w:after="0" w:before="0"/>
            </w:pPr>
            <w:r/>
            <w:r>
              <w:rPr>
                <w:rFonts w:ascii="Aptos" w:hAnsi="Aptos"/>
                <w:b w:val="0"/>
                <w:sz w:val="15"/>
              </w:rPr>
              <w:t>2</w:t>
            </w:r>
          </w:p>
        </w:tc>
        <w:tc>
          <w:tcPr>
            <w:tcW w:type="dxa" w:w="4032"/>
            <w:vAlign w:val="center"/>
            <w:shd w:fill="F3F6F8"/>
          </w:tcPr>
          <w:p>
            <w:pPr>
              <w:spacing w:after="0" w:before="0"/>
            </w:pPr>
            <w:r/>
            <w:r>
              <w:rPr>
                <w:rFonts w:ascii="Aptos" w:hAnsi="Aptos"/>
                <w:b w:val="0"/>
                <w:sz w:val="15"/>
              </w:rPr>
              <w:t>Epidural catheter status</w:t>
            </w:r>
          </w:p>
        </w:tc>
        <w:tc>
          <w:tcPr>
            <w:tcW w:type="dxa" w:w="5155"/>
            <w:vAlign w:val="center"/>
            <w:shd w:fill="F3F6F8"/>
          </w:tcPr>
          <w:p>
            <w:pPr>
              <w:spacing w:after="0" w:before="0"/>
            </w:pPr>
            <w:r/>
            <w:r>
              <w:rPr>
                <w:rFonts w:ascii="Aptos" w:hAnsi="Aptos"/>
                <w:b w:val="0"/>
                <w:sz w:val="15"/>
              </w:rPr>
              <w:t>Accurate in length, graduation clearly printed.</w:t>
            </w:r>
          </w:p>
        </w:tc>
      </w:tr>
      <w:tr>
        <w:tc>
          <w:tcPr>
            <w:tcW w:type="dxa" w:w="547"/>
            <w:vAlign w:val="center"/>
          </w:tcPr>
          <w:p>
            <w:pPr>
              <w:spacing w:after="0" w:before="0"/>
            </w:pPr>
            <w:r/>
            <w:r>
              <w:rPr>
                <w:rFonts w:ascii="Aptos" w:hAnsi="Aptos"/>
                <w:b w:val="0"/>
                <w:sz w:val="15"/>
              </w:rPr>
              <w:t>3</w:t>
            </w:r>
          </w:p>
        </w:tc>
        <w:tc>
          <w:tcPr>
            <w:tcW w:type="dxa" w:w="4032"/>
            <w:vAlign w:val="center"/>
          </w:tcPr>
          <w:p>
            <w:pPr>
              <w:spacing w:after="0" w:before="0"/>
            </w:pPr>
            <w:r/>
            <w:r>
              <w:rPr>
                <w:rFonts w:ascii="Aptos" w:hAnsi="Aptos"/>
                <w:b w:val="0"/>
                <w:sz w:val="15"/>
              </w:rPr>
              <w:t>5 ml Syringe (Loss Resistance)</w:t>
            </w:r>
          </w:p>
        </w:tc>
        <w:tc>
          <w:tcPr>
            <w:tcW w:type="dxa" w:w="5155"/>
            <w:vAlign w:val="center"/>
          </w:tcPr>
          <w:p>
            <w:pPr>
              <w:spacing w:after="0" w:before="0"/>
            </w:pPr>
            <w:r/>
            <w:r>
              <w:rPr>
                <w:rFonts w:ascii="Aptos" w:hAnsi="Aptos"/>
                <w:b w:val="0"/>
                <w:sz w:val="15"/>
              </w:rPr>
              <w:t>Smooth movement, clear graduations.</w:t>
            </w:r>
          </w:p>
        </w:tc>
      </w:tr>
      <w:tr>
        <w:tc>
          <w:tcPr>
            <w:tcW w:type="dxa" w:w="547"/>
            <w:vAlign w:val="center"/>
            <w:shd w:fill="F3F6F8"/>
          </w:tcPr>
          <w:p>
            <w:pPr>
              <w:spacing w:after="0" w:before="0"/>
            </w:pPr>
            <w:r/>
            <w:r>
              <w:rPr>
                <w:rFonts w:ascii="Aptos" w:hAnsi="Aptos"/>
                <w:b w:val="0"/>
                <w:sz w:val="15"/>
              </w:rPr>
              <w:t>4</w:t>
            </w:r>
          </w:p>
        </w:tc>
        <w:tc>
          <w:tcPr>
            <w:tcW w:type="dxa" w:w="4032"/>
            <w:vAlign w:val="center"/>
            <w:shd w:fill="F3F6F8"/>
          </w:tcPr>
          <w:p>
            <w:pPr>
              <w:spacing w:after="0" w:before="0"/>
            </w:pPr>
            <w:r/>
            <w:r>
              <w:rPr>
                <w:rFonts w:ascii="Aptos" w:hAnsi="Aptos"/>
                <w:b w:val="0"/>
                <w:sz w:val="15"/>
              </w:rPr>
              <w:t>Luer lock flat filter (0.2µ)</w:t>
            </w:r>
          </w:p>
        </w:tc>
        <w:tc>
          <w:tcPr>
            <w:tcW w:type="dxa" w:w="5155"/>
            <w:vAlign w:val="center"/>
            <w:shd w:fill="F3F6F8"/>
          </w:tcPr>
          <w:p>
            <w:pPr>
              <w:spacing w:after="0" w:before="0"/>
            </w:pPr>
            <w:r/>
            <w:r>
              <w:rPr>
                <w:rFonts w:ascii="Aptos" w:hAnsi="Aptos"/>
                <w:b w:val="0"/>
                <w:sz w:val="15"/>
              </w:rPr>
              <w:t>Proper fitting. No leakage.</w:t>
            </w:r>
          </w:p>
        </w:tc>
      </w:tr>
      <w:tr>
        <w:tc>
          <w:tcPr>
            <w:tcW w:type="dxa" w:w="547"/>
            <w:vAlign w:val="center"/>
          </w:tcPr>
          <w:p>
            <w:pPr>
              <w:spacing w:after="0" w:before="0"/>
            </w:pPr>
            <w:r/>
            <w:r>
              <w:rPr>
                <w:rFonts w:ascii="Aptos" w:hAnsi="Aptos"/>
                <w:b w:val="0"/>
                <w:sz w:val="15"/>
              </w:rPr>
              <w:t>5</w:t>
            </w:r>
          </w:p>
        </w:tc>
        <w:tc>
          <w:tcPr>
            <w:tcW w:type="dxa" w:w="4032"/>
            <w:vAlign w:val="center"/>
          </w:tcPr>
          <w:p>
            <w:pPr>
              <w:spacing w:after="0" w:before="0"/>
            </w:pPr>
            <w:r/>
            <w:r>
              <w:rPr>
                <w:rFonts w:ascii="Aptos" w:hAnsi="Aptos"/>
                <w:b w:val="0"/>
                <w:sz w:val="15"/>
              </w:rPr>
              <w:t>Gauze swab white 50×50 mm</w:t>
            </w:r>
          </w:p>
        </w:tc>
        <w:tc>
          <w:tcPr>
            <w:tcW w:type="dxa" w:w="5155"/>
            <w:vAlign w:val="center"/>
          </w:tcPr>
          <w:p>
            <w:pPr>
              <w:spacing w:after="0" w:before="0"/>
            </w:pPr>
            <w:r/>
            <w:r>
              <w:rPr>
                <w:rFonts w:ascii="Aptos" w:hAnsi="Aptos"/>
                <w:b w:val="0"/>
                <w:sz w:val="15"/>
              </w:rPr>
              <w:t>Clean; size 50×50 mm.</w:t>
            </w:r>
          </w:p>
        </w:tc>
      </w:tr>
      <w:tr>
        <w:tc>
          <w:tcPr>
            <w:tcW w:type="dxa" w:w="547"/>
            <w:vAlign w:val="center"/>
            <w:shd w:fill="F3F6F8"/>
          </w:tcPr>
          <w:p>
            <w:pPr>
              <w:spacing w:after="0" w:before="0"/>
            </w:pPr>
            <w:r/>
            <w:r>
              <w:rPr>
                <w:rFonts w:ascii="Aptos" w:hAnsi="Aptos"/>
                <w:b w:val="0"/>
                <w:sz w:val="15"/>
              </w:rPr>
              <w:t>6</w:t>
            </w:r>
          </w:p>
        </w:tc>
        <w:tc>
          <w:tcPr>
            <w:tcW w:type="dxa" w:w="4032"/>
            <w:vAlign w:val="center"/>
            <w:shd w:fill="F3F6F8"/>
          </w:tcPr>
          <w:p>
            <w:pPr>
              <w:spacing w:after="0" w:before="0"/>
            </w:pPr>
            <w:r/>
            <w:r>
              <w:rPr>
                <w:rFonts w:ascii="Aptos" w:hAnsi="Aptos"/>
                <w:b w:val="0"/>
                <w:sz w:val="15"/>
              </w:rPr>
              <w:t>Gauze swab white 75×75 mm</w:t>
            </w:r>
          </w:p>
        </w:tc>
        <w:tc>
          <w:tcPr>
            <w:tcW w:type="dxa" w:w="5155"/>
            <w:vAlign w:val="center"/>
            <w:shd w:fill="F3F6F8"/>
          </w:tcPr>
          <w:p>
            <w:pPr>
              <w:spacing w:after="0" w:before="0"/>
            </w:pPr>
            <w:r/>
            <w:r>
              <w:rPr>
                <w:rFonts w:ascii="Aptos" w:hAnsi="Aptos"/>
                <w:b w:val="0"/>
                <w:sz w:val="15"/>
              </w:rPr>
              <w:t>Clean; size 75×75 mm.</w:t>
            </w:r>
          </w:p>
        </w:tc>
      </w:tr>
      <w:tr>
        <w:tc>
          <w:tcPr>
            <w:tcW w:type="dxa" w:w="547"/>
            <w:vAlign w:val="center"/>
          </w:tcPr>
          <w:p>
            <w:pPr>
              <w:spacing w:after="0" w:before="0"/>
            </w:pPr>
            <w:r/>
            <w:r>
              <w:rPr>
                <w:rFonts w:ascii="Aptos" w:hAnsi="Aptos"/>
                <w:b w:val="0"/>
                <w:sz w:val="15"/>
              </w:rPr>
              <w:t>7</w:t>
            </w:r>
          </w:p>
        </w:tc>
        <w:tc>
          <w:tcPr>
            <w:tcW w:type="dxa" w:w="4032"/>
            <w:vAlign w:val="center"/>
          </w:tcPr>
          <w:p>
            <w:pPr>
              <w:spacing w:after="0" w:before="0"/>
            </w:pPr>
            <w:r/>
            <w:r>
              <w:rPr>
                <w:rFonts w:ascii="Aptos" w:hAnsi="Aptos"/>
                <w:b w:val="0"/>
                <w:sz w:val="15"/>
              </w:rPr>
              <w:t>Hypodermic needle (white hub)</w:t>
            </w:r>
          </w:p>
        </w:tc>
        <w:tc>
          <w:tcPr>
            <w:tcW w:type="dxa" w:w="5155"/>
            <w:vAlign w:val="center"/>
          </w:tcPr>
          <w:p>
            <w:pPr>
              <w:spacing w:after="0" w:before="0"/>
            </w:pPr>
            <w:r/>
            <w:r>
              <w:rPr>
                <w:rFonts w:ascii="Aptos" w:hAnsi="Aptos"/>
                <w:b w:val="0"/>
                <w:sz w:val="15"/>
              </w:rPr>
              <w:t>16×40 mm, sharp tip, without bend.</w:t>
            </w:r>
          </w:p>
        </w:tc>
      </w:tr>
      <w:tr>
        <w:tc>
          <w:tcPr>
            <w:tcW w:type="dxa" w:w="547"/>
            <w:vAlign w:val="center"/>
            <w:shd w:fill="F3F6F8"/>
          </w:tcPr>
          <w:p>
            <w:pPr>
              <w:spacing w:after="0" w:before="0"/>
            </w:pPr>
            <w:r/>
            <w:r>
              <w:rPr>
                <w:rFonts w:ascii="Aptos" w:hAnsi="Aptos"/>
                <w:b w:val="0"/>
                <w:sz w:val="15"/>
              </w:rPr>
              <w:t>8</w:t>
            </w:r>
          </w:p>
        </w:tc>
        <w:tc>
          <w:tcPr>
            <w:tcW w:type="dxa" w:w="4032"/>
            <w:vAlign w:val="center"/>
            <w:shd w:fill="F3F6F8"/>
          </w:tcPr>
          <w:p>
            <w:pPr>
              <w:spacing w:after="0" w:before="0"/>
            </w:pPr>
            <w:r/>
            <w:r>
              <w:rPr>
                <w:rFonts w:ascii="Aptos" w:hAnsi="Aptos"/>
                <w:b w:val="0"/>
                <w:sz w:val="15"/>
              </w:rPr>
              <w:t>Hypodermic needle (green hub)</w:t>
            </w:r>
          </w:p>
        </w:tc>
        <w:tc>
          <w:tcPr>
            <w:tcW w:type="dxa" w:w="5155"/>
            <w:vAlign w:val="center"/>
            <w:shd w:fill="F3F6F8"/>
          </w:tcPr>
          <w:p>
            <w:pPr>
              <w:spacing w:after="0" w:before="0"/>
            </w:pPr>
            <w:r/>
            <w:r>
              <w:rPr>
                <w:rFonts w:ascii="Aptos" w:hAnsi="Aptos"/>
                <w:b w:val="0"/>
                <w:sz w:val="15"/>
              </w:rPr>
              <w:t>21×40 mm, sharp tip, without bend.</w:t>
            </w:r>
          </w:p>
        </w:tc>
      </w:tr>
      <w:tr>
        <w:tc>
          <w:tcPr>
            <w:tcW w:type="dxa" w:w="547"/>
            <w:vAlign w:val="center"/>
          </w:tcPr>
          <w:p>
            <w:pPr>
              <w:spacing w:after="0" w:before="0"/>
            </w:pPr>
            <w:r/>
            <w:r>
              <w:rPr>
                <w:rFonts w:ascii="Aptos" w:hAnsi="Aptos"/>
                <w:b w:val="0"/>
                <w:sz w:val="15"/>
              </w:rPr>
              <w:t>9</w:t>
            </w:r>
          </w:p>
        </w:tc>
        <w:tc>
          <w:tcPr>
            <w:tcW w:type="dxa" w:w="4032"/>
            <w:vAlign w:val="center"/>
          </w:tcPr>
          <w:p>
            <w:pPr>
              <w:spacing w:after="0" w:before="0"/>
            </w:pPr>
            <w:r/>
            <w:r>
              <w:rPr>
                <w:rFonts w:ascii="Aptos" w:hAnsi="Aptos"/>
                <w:b w:val="0"/>
                <w:sz w:val="15"/>
              </w:rPr>
              <w:t>Hypodermic needle (orange hub)</w:t>
            </w:r>
          </w:p>
        </w:tc>
        <w:tc>
          <w:tcPr>
            <w:tcW w:type="dxa" w:w="5155"/>
            <w:vAlign w:val="center"/>
          </w:tcPr>
          <w:p>
            <w:pPr>
              <w:spacing w:after="0" w:before="0"/>
            </w:pPr>
            <w:r/>
            <w:r>
              <w:rPr>
                <w:rFonts w:ascii="Aptos" w:hAnsi="Aptos"/>
                <w:b w:val="0"/>
                <w:sz w:val="15"/>
              </w:rPr>
              <w:t>25×16 mm, sharp tip, without bend.</w:t>
            </w:r>
          </w:p>
        </w:tc>
      </w:tr>
      <w:tr>
        <w:tc>
          <w:tcPr>
            <w:tcW w:type="dxa" w:w="547"/>
            <w:vAlign w:val="center"/>
            <w:shd w:fill="F3F6F8"/>
          </w:tcPr>
          <w:p>
            <w:pPr>
              <w:spacing w:after="0" w:before="0"/>
            </w:pPr>
            <w:r/>
            <w:r>
              <w:rPr>
                <w:rFonts w:ascii="Aptos" w:hAnsi="Aptos"/>
                <w:b w:val="0"/>
                <w:sz w:val="15"/>
              </w:rPr>
              <w:t>10</w:t>
            </w:r>
          </w:p>
        </w:tc>
        <w:tc>
          <w:tcPr>
            <w:tcW w:type="dxa" w:w="4032"/>
            <w:vAlign w:val="center"/>
            <w:shd w:fill="F3F6F8"/>
          </w:tcPr>
          <w:p>
            <w:pPr>
              <w:spacing w:after="0" w:before="0"/>
            </w:pPr>
            <w:r/>
            <w:r>
              <w:rPr>
                <w:rFonts w:ascii="Aptos" w:hAnsi="Aptos"/>
                <w:b w:val="0"/>
                <w:sz w:val="15"/>
              </w:rPr>
              <w:t>Straw filter 5µ (Introducer status)</w:t>
            </w:r>
          </w:p>
        </w:tc>
        <w:tc>
          <w:tcPr>
            <w:tcW w:type="dxa" w:w="5155"/>
            <w:vAlign w:val="center"/>
            <w:shd w:fill="F3F6F8"/>
          </w:tcPr>
          <w:p>
            <w:pPr>
              <w:spacing w:after="0" w:before="0"/>
            </w:pPr>
            <w:r/>
            <w:r>
              <w:rPr>
                <w:rFonts w:ascii="Aptos" w:hAnsi="Aptos"/>
                <w:b w:val="0"/>
                <w:sz w:val="15"/>
              </w:rPr>
              <w:t>Proper fitting, sharp tip, without bend.</w:t>
            </w:r>
          </w:p>
        </w:tc>
      </w:tr>
      <w:tr>
        <w:tc>
          <w:tcPr>
            <w:tcW w:type="dxa" w:w="547"/>
            <w:vAlign w:val="center"/>
          </w:tcPr>
          <w:p>
            <w:pPr>
              <w:spacing w:after="0" w:before="0"/>
            </w:pPr>
            <w:r/>
            <w:r>
              <w:rPr>
                <w:rFonts w:ascii="Aptos" w:hAnsi="Aptos"/>
                <w:b w:val="0"/>
                <w:sz w:val="15"/>
              </w:rPr>
              <w:t>11</w:t>
            </w:r>
          </w:p>
        </w:tc>
        <w:tc>
          <w:tcPr>
            <w:tcW w:type="dxa" w:w="4032"/>
            <w:vAlign w:val="center"/>
          </w:tcPr>
          <w:p>
            <w:pPr>
              <w:spacing w:after="0" w:before="0"/>
            </w:pPr>
            <w:r/>
            <w:r>
              <w:rPr>
                <w:rFonts w:ascii="Aptos" w:hAnsi="Aptos"/>
                <w:b w:val="0"/>
                <w:sz w:val="15"/>
              </w:rPr>
              <w:t>Applicator sponge</w:t>
            </w:r>
          </w:p>
        </w:tc>
        <w:tc>
          <w:tcPr>
            <w:tcW w:type="dxa" w:w="5155"/>
            <w:vAlign w:val="center"/>
          </w:tcPr>
          <w:p>
            <w:pPr>
              <w:spacing w:after="0" w:before="0"/>
            </w:pPr>
            <w:r/>
            <w:r>
              <w:rPr>
                <w:rFonts w:ascii="Aptos" w:hAnsi="Aptos"/>
                <w:b w:val="0"/>
                <w:sz w:val="15"/>
              </w:rPr>
              <w:t>Clean sponge with handle.</w:t>
            </w:r>
          </w:p>
        </w:tc>
      </w:tr>
      <w:tr>
        <w:tc>
          <w:tcPr>
            <w:tcW w:type="dxa" w:w="547"/>
            <w:vAlign w:val="center"/>
            <w:shd w:fill="F3F6F8"/>
          </w:tcPr>
          <w:p>
            <w:pPr>
              <w:spacing w:after="0" w:before="0"/>
            </w:pPr>
            <w:r/>
            <w:r>
              <w:rPr>
                <w:rFonts w:ascii="Aptos" w:hAnsi="Aptos"/>
                <w:b w:val="0"/>
                <w:sz w:val="15"/>
              </w:rPr>
              <w:t>12</w:t>
            </w:r>
          </w:p>
        </w:tc>
        <w:tc>
          <w:tcPr>
            <w:tcW w:type="dxa" w:w="4032"/>
            <w:vAlign w:val="center"/>
            <w:shd w:fill="F3F6F8"/>
          </w:tcPr>
          <w:p>
            <w:pPr>
              <w:spacing w:after="0" w:before="0"/>
            </w:pPr>
            <w:r/>
            <w:r>
              <w:rPr>
                <w:rFonts w:ascii="Aptos" w:hAnsi="Aptos"/>
                <w:b w:val="0"/>
                <w:sz w:val="15"/>
              </w:rPr>
              <w:t>3 ml Syringe Luer Lock</w:t>
            </w:r>
          </w:p>
        </w:tc>
        <w:tc>
          <w:tcPr>
            <w:tcW w:type="dxa" w:w="5155"/>
            <w:vAlign w:val="center"/>
            <w:shd w:fill="F3F6F8"/>
          </w:tcPr>
          <w:p>
            <w:pPr>
              <w:spacing w:after="0" w:before="0"/>
            </w:pPr>
            <w:r/>
            <w:r>
              <w:rPr>
                <w:rFonts w:ascii="Aptos" w:hAnsi="Aptos"/>
                <w:b w:val="0"/>
                <w:sz w:val="15"/>
              </w:rPr>
              <w:t>Smooth movement, clear graduations.</w:t>
            </w:r>
          </w:p>
        </w:tc>
      </w:tr>
      <w:tr>
        <w:tc>
          <w:tcPr>
            <w:tcW w:type="dxa" w:w="547"/>
            <w:vAlign w:val="center"/>
          </w:tcPr>
          <w:p>
            <w:pPr>
              <w:spacing w:after="0" w:before="0"/>
            </w:pPr>
            <w:r/>
            <w:r>
              <w:rPr>
                <w:rFonts w:ascii="Aptos" w:hAnsi="Aptos"/>
                <w:b w:val="0"/>
                <w:sz w:val="15"/>
              </w:rPr>
              <w:t>13</w:t>
            </w:r>
          </w:p>
        </w:tc>
        <w:tc>
          <w:tcPr>
            <w:tcW w:type="dxa" w:w="4032"/>
            <w:vAlign w:val="center"/>
          </w:tcPr>
          <w:p>
            <w:pPr>
              <w:spacing w:after="0" w:before="0"/>
            </w:pPr>
            <w:r/>
            <w:r>
              <w:rPr>
                <w:rFonts w:ascii="Aptos" w:hAnsi="Aptos"/>
                <w:b w:val="0"/>
                <w:sz w:val="15"/>
              </w:rPr>
              <w:t>5 ml Syringe Luer Lock</w:t>
            </w:r>
          </w:p>
        </w:tc>
        <w:tc>
          <w:tcPr>
            <w:tcW w:type="dxa" w:w="5155"/>
            <w:vAlign w:val="center"/>
          </w:tcPr>
          <w:p>
            <w:pPr>
              <w:spacing w:after="0" w:before="0"/>
            </w:pPr>
            <w:r/>
            <w:r>
              <w:rPr>
                <w:rFonts w:ascii="Aptos" w:hAnsi="Aptos"/>
                <w:b w:val="0"/>
                <w:sz w:val="15"/>
              </w:rPr>
              <w:t>Smooth movement, clear graduations.</w:t>
            </w:r>
          </w:p>
        </w:tc>
      </w:tr>
      <w:tr>
        <w:tc>
          <w:tcPr>
            <w:tcW w:type="dxa" w:w="547"/>
            <w:vAlign w:val="center"/>
            <w:shd w:fill="F3F6F8"/>
          </w:tcPr>
          <w:p>
            <w:pPr>
              <w:spacing w:after="0" w:before="0"/>
            </w:pPr>
            <w:r/>
            <w:r>
              <w:rPr>
                <w:rFonts w:ascii="Aptos" w:hAnsi="Aptos"/>
                <w:b w:val="0"/>
                <w:sz w:val="15"/>
              </w:rPr>
              <w:t>14</w:t>
            </w:r>
          </w:p>
        </w:tc>
        <w:tc>
          <w:tcPr>
            <w:tcW w:type="dxa" w:w="4032"/>
            <w:vAlign w:val="center"/>
            <w:shd w:fill="F3F6F8"/>
          </w:tcPr>
          <w:p>
            <w:pPr>
              <w:spacing w:after="0" w:before="0"/>
            </w:pPr>
            <w:r/>
            <w:r>
              <w:rPr>
                <w:rFonts w:ascii="Aptos" w:hAnsi="Aptos"/>
                <w:b w:val="0"/>
                <w:sz w:val="15"/>
              </w:rPr>
              <w:t>Epidural catheter clamp</w:t>
            </w:r>
          </w:p>
        </w:tc>
        <w:tc>
          <w:tcPr>
            <w:tcW w:type="dxa" w:w="5155"/>
            <w:vAlign w:val="center"/>
            <w:shd w:fill="F3F6F8"/>
          </w:tcPr>
          <w:p>
            <w:pPr>
              <w:spacing w:after="0" w:before="0"/>
            </w:pPr>
            <w:r/>
            <w:r>
              <w:rPr>
                <w:rFonts w:ascii="Aptos" w:hAnsi="Aptos"/>
                <w:b w:val="0"/>
                <w:sz w:val="15"/>
              </w:rPr>
              <w:t>Strong clamping, no loose fitting.</w:t>
            </w:r>
          </w:p>
        </w:tc>
      </w:tr>
      <w:tr>
        <w:tc>
          <w:tcPr>
            <w:tcW w:type="dxa" w:w="547"/>
            <w:vAlign w:val="center"/>
          </w:tcPr>
          <w:p>
            <w:pPr>
              <w:spacing w:after="0" w:before="0"/>
            </w:pPr>
            <w:r/>
            <w:r>
              <w:rPr>
                <w:rFonts w:ascii="Aptos" w:hAnsi="Aptos"/>
                <w:b w:val="0"/>
                <w:sz w:val="15"/>
              </w:rPr>
              <w:t>15</w:t>
            </w:r>
          </w:p>
        </w:tc>
        <w:tc>
          <w:tcPr>
            <w:tcW w:type="dxa" w:w="4032"/>
            <w:vAlign w:val="center"/>
          </w:tcPr>
          <w:p>
            <w:pPr>
              <w:spacing w:after="0" w:before="0"/>
            </w:pPr>
            <w:r/>
            <w:r>
              <w:rPr>
                <w:rFonts w:ascii="Aptos" w:hAnsi="Aptos"/>
                <w:b w:val="0"/>
                <w:sz w:val="15"/>
              </w:rPr>
              <w:t>Catheter connector</w:t>
            </w:r>
          </w:p>
        </w:tc>
        <w:tc>
          <w:tcPr>
            <w:tcW w:type="dxa" w:w="5155"/>
            <w:vAlign w:val="center"/>
          </w:tcPr>
          <w:p>
            <w:pPr>
              <w:spacing w:after="0" w:before="0"/>
            </w:pPr>
            <w:r/>
            <w:r>
              <w:rPr>
                <w:rFonts w:ascii="Aptos" w:hAnsi="Aptos"/>
                <w:b w:val="0"/>
                <w:sz w:val="15"/>
              </w:rPr>
              <w:t>Good fitting, accurate assembly.</w:t>
            </w:r>
          </w:p>
        </w:tc>
      </w:tr>
      <w:tr>
        <w:tc>
          <w:tcPr>
            <w:tcW w:type="dxa" w:w="547"/>
            <w:vAlign w:val="center"/>
            <w:shd w:fill="F3F6F8"/>
          </w:tcPr>
          <w:p>
            <w:pPr>
              <w:spacing w:after="0" w:before="0"/>
            </w:pPr>
            <w:r/>
            <w:r>
              <w:rPr>
                <w:rFonts w:ascii="Aptos" w:hAnsi="Aptos"/>
                <w:b w:val="0"/>
                <w:sz w:val="15"/>
              </w:rPr>
              <w:t>16</w:t>
            </w:r>
          </w:p>
        </w:tc>
        <w:tc>
          <w:tcPr>
            <w:tcW w:type="dxa" w:w="4032"/>
            <w:vAlign w:val="center"/>
            <w:shd w:fill="F3F6F8"/>
          </w:tcPr>
          <w:p>
            <w:pPr>
              <w:spacing w:after="0" w:before="0"/>
            </w:pPr>
            <w:r/>
            <w:r>
              <w:rPr>
                <w:rFonts w:ascii="Aptos" w:hAnsi="Aptos"/>
                <w:b w:val="0"/>
                <w:sz w:val="15"/>
              </w:rPr>
              <w:t>Catheter guide</w:t>
            </w:r>
          </w:p>
        </w:tc>
        <w:tc>
          <w:tcPr>
            <w:tcW w:type="dxa" w:w="5155"/>
            <w:vAlign w:val="center"/>
            <w:shd w:fill="F3F6F8"/>
          </w:tcPr>
          <w:p>
            <w:pPr>
              <w:spacing w:after="0" w:before="0"/>
            </w:pPr>
            <w:r/>
            <w:r>
              <w:rPr>
                <w:rFonts w:ascii="Aptos" w:hAnsi="Aptos"/>
                <w:b w:val="0"/>
                <w:sz w:val="15"/>
              </w:rPr>
              <w:t>Good quality, secured catheter.</w:t>
            </w:r>
          </w:p>
        </w:tc>
      </w:tr>
      <w:tr>
        <w:tc>
          <w:tcPr>
            <w:tcW w:type="dxa" w:w="547"/>
            <w:vAlign w:val="center"/>
          </w:tcPr>
          <w:p>
            <w:pPr>
              <w:spacing w:after="0" w:before="0"/>
            </w:pPr>
            <w:r/>
            <w:r>
              <w:rPr>
                <w:rFonts w:ascii="Aptos" w:hAnsi="Aptos"/>
                <w:b w:val="0"/>
                <w:sz w:val="15"/>
              </w:rPr>
              <w:t>17</w:t>
            </w:r>
          </w:p>
        </w:tc>
        <w:tc>
          <w:tcPr>
            <w:tcW w:type="dxa" w:w="4032"/>
            <w:vAlign w:val="center"/>
          </w:tcPr>
          <w:p>
            <w:pPr>
              <w:spacing w:after="0" w:before="0"/>
            </w:pPr>
            <w:r/>
            <w:r>
              <w:rPr>
                <w:rFonts w:ascii="Aptos" w:hAnsi="Aptos"/>
                <w:b w:val="0"/>
                <w:sz w:val="15"/>
              </w:rPr>
              <w:t>Non-woven fenestrated drape</w:t>
            </w:r>
          </w:p>
        </w:tc>
        <w:tc>
          <w:tcPr>
            <w:tcW w:type="dxa" w:w="5155"/>
            <w:vAlign w:val="center"/>
          </w:tcPr>
          <w:p>
            <w:pPr>
              <w:spacing w:after="0" w:before="0"/>
            </w:pPr>
            <w:r/>
            <w:r>
              <w:rPr>
                <w:rFonts w:ascii="Aptos" w:hAnsi="Aptos"/>
                <w:b w:val="0"/>
                <w:sz w:val="15"/>
              </w:rPr>
              <w:t>Per specification, dimensions.</w:t>
            </w:r>
          </w:p>
        </w:tc>
      </w:tr>
      <w:tr>
        <w:tc>
          <w:tcPr>
            <w:tcW w:type="dxa" w:w="547"/>
            <w:vAlign w:val="center"/>
            <w:shd w:fill="F3F6F8"/>
          </w:tcPr>
          <w:p>
            <w:pPr>
              <w:spacing w:after="0" w:before="0"/>
            </w:pPr>
            <w:r/>
            <w:r>
              <w:rPr>
                <w:rFonts w:ascii="Aptos" w:hAnsi="Aptos"/>
                <w:b w:val="0"/>
                <w:sz w:val="15"/>
              </w:rPr>
              <w:t>18</w:t>
            </w:r>
          </w:p>
        </w:tc>
        <w:tc>
          <w:tcPr>
            <w:tcW w:type="dxa" w:w="4032"/>
            <w:vAlign w:val="center"/>
            <w:shd w:fill="F3F6F8"/>
          </w:tcPr>
          <w:p>
            <w:pPr>
              <w:spacing w:after="0" w:before="0"/>
            </w:pPr>
            <w:r/>
            <w:r>
              <w:rPr>
                <w:rFonts w:ascii="Aptos" w:hAnsi="Aptos"/>
                <w:b w:val="0"/>
                <w:sz w:val="15"/>
              </w:rPr>
              <w:t>Paper fenestrated drape</w:t>
            </w:r>
          </w:p>
        </w:tc>
        <w:tc>
          <w:tcPr>
            <w:tcW w:type="dxa" w:w="5155"/>
            <w:vAlign w:val="center"/>
            <w:shd w:fill="F3F6F8"/>
          </w:tcPr>
          <w:p>
            <w:pPr>
              <w:spacing w:after="0" w:before="0"/>
            </w:pPr>
            <w:r/>
            <w:r>
              <w:rPr>
                <w:rFonts w:ascii="Aptos" w:hAnsi="Aptos"/>
                <w:b w:val="0"/>
                <w:sz w:val="15"/>
              </w:rPr>
              <w:t>Per specification, dimensions.</w:t>
            </w:r>
          </w:p>
        </w:tc>
      </w:tr>
      <w:tr>
        <w:tc>
          <w:tcPr>
            <w:tcW w:type="dxa" w:w="547"/>
            <w:vAlign w:val="center"/>
          </w:tcPr>
          <w:p>
            <w:pPr>
              <w:spacing w:after="0" w:before="0"/>
            </w:pPr>
            <w:r/>
            <w:r>
              <w:rPr>
                <w:rFonts w:ascii="Aptos" w:hAnsi="Aptos"/>
                <w:b w:val="0"/>
                <w:sz w:val="15"/>
              </w:rPr>
              <w:t>19</w:t>
            </w:r>
          </w:p>
        </w:tc>
        <w:tc>
          <w:tcPr>
            <w:tcW w:type="dxa" w:w="4032"/>
            <w:vAlign w:val="center"/>
          </w:tcPr>
          <w:p>
            <w:pPr>
              <w:spacing w:after="0" w:before="0"/>
            </w:pPr>
            <w:r/>
            <w:r>
              <w:rPr>
                <w:rFonts w:ascii="Aptos" w:hAnsi="Aptos"/>
                <w:b w:val="0"/>
                <w:sz w:val="15"/>
              </w:rPr>
              <w:t>Paper drape</w:t>
            </w:r>
          </w:p>
        </w:tc>
        <w:tc>
          <w:tcPr>
            <w:tcW w:type="dxa" w:w="5155"/>
            <w:vAlign w:val="center"/>
          </w:tcPr>
          <w:p>
            <w:pPr>
              <w:spacing w:after="0" w:before="0"/>
            </w:pPr>
            <w:r/>
            <w:r>
              <w:rPr>
                <w:rFonts w:ascii="Aptos" w:hAnsi="Aptos"/>
                <w:b w:val="0"/>
                <w:sz w:val="15"/>
              </w:rPr>
              <w:t>Per specification, dimensions.</w:t>
            </w:r>
          </w:p>
        </w:tc>
      </w:tr>
      <w:tr>
        <w:tc>
          <w:tcPr>
            <w:tcW w:type="dxa" w:w="547"/>
            <w:vAlign w:val="center"/>
            <w:shd w:fill="F3F6F8"/>
          </w:tcPr>
          <w:p>
            <w:pPr>
              <w:spacing w:after="0" w:before="0"/>
            </w:pPr>
            <w:r/>
            <w:r>
              <w:rPr>
                <w:rFonts w:ascii="Aptos" w:hAnsi="Aptos"/>
                <w:b w:val="0"/>
                <w:sz w:val="15"/>
              </w:rPr>
              <w:t>20</w:t>
            </w:r>
          </w:p>
        </w:tc>
        <w:tc>
          <w:tcPr>
            <w:tcW w:type="dxa" w:w="4032"/>
            <w:vAlign w:val="center"/>
            <w:shd w:fill="F3F6F8"/>
          </w:tcPr>
          <w:p>
            <w:pPr>
              <w:spacing w:after="0" w:before="0"/>
            </w:pPr>
            <w:r/>
            <w:r>
              <w:rPr>
                <w:rFonts w:ascii="Aptos" w:hAnsi="Aptos"/>
                <w:b w:val="0"/>
                <w:sz w:val="15"/>
              </w:rPr>
              <w:t>Povidone iodine swab stick</w:t>
            </w:r>
          </w:p>
        </w:tc>
        <w:tc>
          <w:tcPr>
            <w:tcW w:type="dxa" w:w="5155"/>
            <w:vAlign w:val="center"/>
            <w:shd w:fill="F3F6F8"/>
          </w:tcPr>
          <w:p>
            <w:pPr>
              <w:spacing w:after="0" w:before="0"/>
            </w:pPr>
            <w:r/>
            <w:r>
              <w:rPr>
                <w:rFonts w:ascii="Aptos" w:hAnsi="Aptos"/>
                <w:b w:val="0"/>
                <w:sz w:val="15"/>
              </w:rPr>
              <w:t>Check expiration 3 years [historical wording; unverified].</w:t>
            </w:r>
          </w:p>
        </w:tc>
      </w:tr>
      <w:tr>
        <w:tc>
          <w:tcPr>
            <w:tcW w:type="dxa" w:w="547"/>
            <w:vAlign w:val="center"/>
          </w:tcPr>
          <w:p>
            <w:pPr>
              <w:spacing w:after="0" w:before="0"/>
            </w:pPr>
            <w:r/>
            <w:r>
              <w:rPr>
                <w:rFonts w:ascii="Aptos" w:hAnsi="Aptos"/>
                <w:b w:val="0"/>
                <w:sz w:val="15"/>
              </w:rPr>
              <w:t>21</w:t>
            </w:r>
          </w:p>
        </w:tc>
        <w:tc>
          <w:tcPr>
            <w:tcW w:type="dxa" w:w="4032"/>
            <w:vAlign w:val="center"/>
          </w:tcPr>
          <w:p>
            <w:pPr>
              <w:spacing w:after="0" w:before="0"/>
            </w:pPr>
            <w:r/>
            <w:r>
              <w:rPr>
                <w:rFonts w:ascii="Aptos" w:hAnsi="Aptos"/>
                <w:b w:val="0"/>
                <w:sz w:val="15"/>
              </w:rPr>
              <w:t>Self-adhesive bandage</w:t>
            </w:r>
          </w:p>
        </w:tc>
        <w:tc>
          <w:tcPr>
            <w:tcW w:type="dxa" w:w="5155"/>
            <w:vAlign w:val="center"/>
          </w:tcPr>
          <w:p>
            <w:pPr>
              <w:spacing w:after="0" w:before="0"/>
            </w:pPr>
            <w:r/>
            <w:r>
              <w:rPr>
                <w:rFonts w:ascii="Aptos" w:hAnsi="Aptos"/>
                <w:b w:val="0"/>
                <w:sz w:val="15"/>
              </w:rPr>
              <w:t>Good quality; 2×7 cm.</w:t>
            </w:r>
          </w:p>
        </w:tc>
      </w:tr>
      <w:tr>
        <w:tc>
          <w:tcPr>
            <w:tcW w:type="dxa" w:w="547"/>
            <w:vAlign w:val="center"/>
            <w:shd w:fill="F3F6F8"/>
          </w:tcPr>
          <w:p>
            <w:pPr>
              <w:spacing w:after="0" w:before="0"/>
            </w:pPr>
            <w:r/>
            <w:r>
              <w:rPr>
                <w:rFonts w:ascii="Aptos" w:hAnsi="Aptos"/>
                <w:b w:val="0"/>
                <w:sz w:val="15"/>
              </w:rPr>
              <w:t>22</w:t>
            </w:r>
          </w:p>
        </w:tc>
        <w:tc>
          <w:tcPr>
            <w:tcW w:type="dxa" w:w="4032"/>
            <w:vAlign w:val="center"/>
            <w:shd w:fill="F3F6F8"/>
          </w:tcPr>
          <w:p>
            <w:pPr>
              <w:spacing w:after="0" w:before="0"/>
            </w:pPr>
            <w:r/>
            <w:r>
              <w:rPr>
                <w:rFonts w:ascii="Aptos" w:hAnsi="Aptos"/>
                <w:b w:val="0"/>
                <w:sz w:val="15"/>
              </w:rPr>
              <w:t>Self-adhesive bandage</w:t>
            </w:r>
          </w:p>
        </w:tc>
        <w:tc>
          <w:tcPr>
            <w:tcW w:type="dxa" w:w="5155"/>
            <w:vAlign w:val="center"/>
            <w:shd w:fill="F3F6F8"/>
          </w:tcPr>
          <w:p>
            <w:pPr>
              <w:spacing w:after="0" w:before="0"/>
            </w:pPr>
            <w:r/>
            <w:r>
              <w:rPr>
                <w:rFonts w:ascii="Aptos" w:hAnsi="Aptos"/>
                <w:b w:val="0"/>
                <w:sz w:val="15"/>
              </w:rPr>
              <w:t>Good quality; 6×7 cm.</w:t>
            </w:r>
          </w:p>
        </w:tc>
      </w:tr>
      <w:tr>
        <w:tc>
          <w:tcPr>
            <w:tcW w:type="dxa" w:w="547"/>
            <w:vAlign w:val="center"/>
          </w:tcPr>
          <w:p>
            <w:pPr>
              <w:spacing w:after="0" w:before="0"/>
            </w:pPr>
            <w:r/>
            <w:r>
              <w:rPr>
                <w:rFonts w:ascii="Aptos" w:hAnsi="Aptos"/>
                <w:b w:val="0"/>
                <w:sz w:val="15"/>
              </w:rPr>
              <w:t>23</w:t>
            </w:r>
          </w:p>
        </w:tc>
        <w:tc>
          <w:tcPr>
            <w:tcW w:type="dxa" w:w="4032"/>
            <w:vAlign w:val="center"/>
          </w:tcPr>
          <w:p>
            <w:pPr>
              <w:spacing w:after="0" w:before="0"/>
            </w:pPr>
            <w:r/>
            <w:r>
              <w:rPr>
                <w:rFonts w:ascii="Aptos" w:hAnsi="Aptos"/>
                <w:b w:val="0"/>
                <w:sz w:val="15"/>
              </w:rPr>
              <w:t>Non-woven adhesive bandage</w:t>
            </w:r>
          </w:p>
        </w:tc>
        <w:tc>
          <w:tcPr>
            <w:tcW w:type="dxa" w:w="5155"/>
            <w:vAlign w:val="center"/>
          </w:tcPr>
          <w:p>
            <w:pPr>
              <w:spacing w:after="0" w:before="0"/>
            </w:pPr>
            <w:r/>
            <w:r>
              <w:rPr>
                <w:rFonts w:ascii="Aptos" w:hAnsi="Aptos"/>
                <w:b w:val="0"/>
                <w:sz w:val="15"/>
              </w:rPr>
              <w:t>Strong; 6×30 cm.</w:t>
            </w:r>
          </w:p>
        </w:tc>
      </w:tr>
      <w:tr>
        <w:tc>
          <w:tcPr>
            <w:tcW w:type="dxa" w:w="547"/>
            <w:vAlign w:val="center"/>
            <w:shd w:fill="F3F6F8"/>
          </w:tcPr>
          <w:p>
            <w:pPr>
              <w:spacing w:after="0" w:before="0"/>
            </w:pPr>
            <w:r/>
            <w:r>
              <w:rPr>
                <w:rFonts w:ascii="Aptos" w:hAnsi="Aptos"/>
                <w:b w:val="0"/>
                <w:sz w:val="15"/>
              </w:rPr>
              <w:t>24</w:t>
            </w:r>
          </w:p>
        </w:tc>
        <w:tc>
          <w:tcPr>
            <w:tcW w:type="dxa" w:w="4032"/>
            <w:vAlign w:val="center"/>
            <w:shd w:fill="F3F6F8"/>
          </w:tcPr>
          <w:p>
            <w:pPr>
              <w:spacing w:after="0" w:before="0"/>
            </w:pPr>
            <w:r/>
            <w:r>
              <w:rPr>
                <w:rFonts w:ascii="Aptos" w:hAnsi="Aptos"/>
                <w:b w:val="0"/>
                <w:sz w:val="15"/>
              </w:rPr>
              <w:t>Tray (BU-Hips Tray-1)</w:t>
            </w:r>
          </w:p>
        </w:tc>
        <w:tc>
          <w:tcPr>
            <w:tcW w:type="dxa" w:w="5155"/>
            <w:vAlign w:val="center"/>
            <w:shd w:fill="F3F6F8"/>
          </w:tcPr>
          <w:p>
            <w:pPr>
              <w:spacing w:after="0" w:before="0"/>
            </w:pPr>
            <w:r/>
            <w:r>
              <w:rPr>
                <w:rFonts w:ascii="Aptos" w:hAnsi="Aptos"/>
                <w:b w:val="0"/>
                <w:sz w:val="15"/>
              </w:rPr>
              <w:t>Clean without damage [WI cites Tray-2].</w:t>
            </w:r>
          </w:p>
        </w:tc>
      </w:tr>
      <w:tr>
        <w:tc>
          <w:tcPr>
            <w:tcW w:type="dxa" w:w="547"/>
            <w:vAlign w:val="center"/>
          </w:tcPr>
          <w:p>
            <w:pPr>
              <w:spacing w:after="0" w:before="0"/>
            </w:pPr>
            <w:r/>
            <w:r>
              <w:rPr>
                <w:rFonts w:ascii="Aptos" w:hAnsi="Aptos"/>
                <w:b w:val="0"/>
                <w:sz w:val="15"/>
              </w:rPr>
              <w:t>25</w:t>
            </w:r>
          </w:p>
        </w:tc>
        <w:tc>
          <w:tcPr>
            <w:tcW w:type="dxa" w:w="4032"/>
            <w:vAlign w:val="center"/>
          </w:tcPr>
          <w:p>
            <w:pPr>
              <w:spacing w:after="0" w:before="0"/>
            </w:pPr>
            <w:r/>
            <w:r>
              <w:rPr>
                <w:rFonts w:ascii="Aptos" w:hAnsi="Aptos"/>
                <w:b w:val="0"/>
                <w:sz w:val="15"/>
              </w:rPr>
              <w:t>Hospital wrapping sheet</w:t>
            </w:r>
          </w:p>
        </w:tc>
        <w:tc>
          <w:tcPr>
            <w:tcW w:type="dxa" w:w="5155"/>
            <w:vAlign w:val="center"/>
          </w:tcPr>
          <w:p>
            <w:pPr>
              <w:spacing w:after="0" w:before="0"/>
            </w:pPr>
            <w:r/>
            <w:r>
              <w:rPr>
                <w:rFonts w:ascii="Aptos" w:hAnsi="Aptos"/>
                <w:b w:val="0"/>
                <w:sz w:val="15"/>
              </w:rPr>
              <w:t>Size 75×75 cm.</w:t>
            </w:r>
          </w:p>
        </w:tc>
      </w:tr>
      <w:tr>
        <w:tc>
          <w:tcPr>
            <w:tcW w:type="dxa" w:w="547"/>
            <w:vAlign w:val="center"/>
            <w:shd w:fill="F3F6F8"/>
          </w:tcPr>
          <w:p>
            <w:pPr>
              <w:spacing w:after="0" w:before="0"/>
            </w:pPr>
            <w:r/>
            <w:r>
              <w:rPr>
                <w:rFonts w:ascii="Aptos" w:hAnsi="Aptos"/>
                <w:b w:val="0"/>
                <w:sz w:val="15"/>
              </w:rPr>
              <w:t>26</w:t>
            </w:r>
          </w:p>
        </w:tc>
        <w:tc>
          <w:tcPr>
            <w:tcW w:type="dxa" w:w="4032"/>
            <w:vAlign w:val="center"/>
            <w:shd w:fill="F3F6F8"/>
          </w:tcPr>
          <w:p>
            <w:pPr>
              <w:spacing w:after="0" w:before="0"/>
            </w:pPr>
            <w:r/>
            <w:r>
              <w:rPr>
                <w:rFonts w:ascii="Aptos" w:hAnsi="Aptos"/>
                <w:b w:val="0"/>
                <w:sz w:val="15"/>
              </w:rPr>
              <w:t>Ready pouch</w:t>
            </w:r>
          </w:p>
        </w:tc>
        <w:tc>
          <w:tcPr>
            <w:tcW w:type="dxa" w:w="5155"/>
            <w:vAlign w:val="center"/>
            <w:shd w:fill="F3F6F8"/>
          </w:tcPr>
          <w:p>
            <w:pPr>
              <w:spacing w:after="0" w:before="0"/>
            </w:pPr>
            <w:r/>
            <w:r>
              <w:rPr>
                <w:rFonts w:ascii="Aptos" w:hAnsi="Aptos"/>
                <w:b w:val="0"/>
                <w:sz w:val="15"/>
              </w:rPr>
              <w:t>Size 50×30 cm.</w:t>
            </w:r>
          </w:p>
        </w:tc>
      </w:tr>
      <w:tr>
        <w:tc>
          <w:tcPr>
            <w:tcW w:type="dxa" w:w="547"/>
            <w:vAlign w:val="center"/>
          </w:tcPr>
          <w:p>
            <w:pPr>
              <w:spacing w:after="0" w:before="0"/>
            </w:pPr>
            <w:r/>
            <w:r>
              <w:rPr>
                <w:rFonts w:ascii="Aptos" w:hAnsi="Aptos"/>
                <w:b w:val="0"/>
                <w:sz w:val="15"/>
              </w:rPr>
              <w:t>27</w:t>
            </w:r>
          </w:p>
        </w:tc>
        <w:tc>
          <w:tcPr>
            <w:tcW w:type="dxa" w:w="4032"/>
            <w:vAlign w:val="center"/>
          </w:tcPr>
          <w:p>
            <w:pPr>
              <w:spacing w:after="0" w:before="0"/>
            </w:pPr>
            <w:r/>
            <w:r>
              <w:rPr>
                <w:rFonts w:ascii="Aptos" w:hAnsi="Aptos"/>
                <w:b w:val="0"/>
                <w:sz w:val="15"/>
              </w:rPr>
              <w:t>Components arrangement</w:t>
            </w:r>
          </w:p>
        </w:tc>
        <w:tc>
          <w:tcPr>
            <w:tcW w:type="dxa" w:w="5155"/>
            <w:vAlign w:val="center"/>
          </w:tcPr>
          <w:p>
            <w:pPr>
              <w:spacing w:after="0" w:before="0"/>
            </w:pPr>
            <w:r/>
            <w:r>
              <w:rPr>
                <w:rFonts w:ascii="Aptos" w:hAnsi="Aptos"/>
                <w:b w:val="0"/>
                <w:sz w:val="15"/>
              </w:rPr>
              <w:t>Arrange completely.</w:t>
            </w:r>
          </w:p>
        </w:tc>
      </w:tr>
      <w:tr>
        <w:tc>
          <w:tcPr>
            <w:tcW w:type="dxa" w:w="547"/>
            <w:vAlign w:val="center"/>
            <w:shd w:fill="F3F6F8"/>
          </w:tcPr>
          <w:p>
            <w:pPr>
              <w:spacing w:after="0" w:before="0"/>
            </w:pPr>
            <w:r/>
            <w:r>
              <w:rPr>
                <w:rFonts w:ascii="Aptos" w:hAnsi="Aptos"/>
                <w:b w:val="0"/>
                <w:sz w:val="15"/>
              </w:rPr>
              <w:t>28</w:t>
            </w:r>
          </w:p>
        </w:tc>
        <w:tc>
          <w:tcPr>
            <w:tcW w:type="dxa" w:w="4032"/>
            <w:vAlign w:val="center"/>
            <w:shd w:fill="F3F6F8"/>
          </w:tcPr>
          <w:p>
            <w:pPr>
              <w:spacing w:after="0" w:before="0"/>
            </w:pPr>
            <w:r/>
            <w:r>
              <w:rPr>
                <w:rFonts w:ascii="Aptos" w:hAnsi="Aptos"/>
                <w:b w:val="0"/>
                <w:sz w:val="15"/>
              </w:rPr>
              <w:t>Label Printing on Pouch</w:t>
            </w:r>
          </w:p>
        </w:tc>
        <w:tc>
          <w:tcPr>
            <w:tcW w:type="dxa" w:w="5155"/>
            <w:vAlign w:val="center"/>
            <w:shd w:fill="F3F6F8"/>
          </w:tcPr>
          <w:p>
            <w:pPr>
              <w:spacing w:after="0" w:before="0"/>
            </w:pPr>
            <w:r/>
            <w:r>
              <w:rPr>
                <w:rFonts w:ascii="Aptos" w:hAnsi="Aptos"/>
                <w:b w:val="0"/>
                <w:sz w:val="15"/>
              </w:rPr>
              <w:t>Clear printed.</w:t>
            </w:r>
          </w:p>
        </w:tc>
      </w:tr>
    </w:tbl>
    <w:p>
      <w:pPr>
        <w:pStyle w:val="Heading1"/>
      </w:pPr>
      <w:r>
        <w:t>Appendix B — Verification Routes and Holding Points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42"/>
            <w:vAlign w:val="center"/>
            <w:shd w:fill="17324F"/>
          </w:tcPr>
          <w:p>
            <w:pPr>
              <w:spacing w:after="0" w:before="0"/>
            </w:pPr>
            <w:r/>
            <w:r>
              <w:rPr>
                <w:rFonts w:ascii="Aptos" w:hAnsi="Aptos"/>
                <w:b/>
                <w:color w:val="FFFFFF"/>
                <w:sz w:val="15"/>
              </w:rPr>
              <w:t>Stage</w:t>
            </w:r>
          </w:p>
        </w:tc>
        <w:tc>
          <w:tcPr>
            <w:tcW w:type="dxa" w:w="4147"/>
            <w:vAlign w:val="center"/>
            <w:shd w:fill="17324F"/>
          </w:tcPr>
          <w:p>
            <w:pPr>
              <w:spacing w:after="0" w:before="0"/>
            </w:pPr>
            <w:r/>
            <w:r>
              <w:rPr>
                <w:rFonts w:ascii="Aptos" w:hAnsi="Aptos"/>
                <w:b/>
                <w:color w:val="FFFFFF"/>
                <w:sz w:val="15"/>
              </w:rPr>
              <w:t>Documented control</w:t>
            </w:r>
          </w:p>
        </w:tc>
        <w:tc>
          <w:tcPr>
            <w:tcW w:type="dxa" w:w="3946"/>
            <w:vAlign w:val="center"/>
            <w:shd w:fill="17324F"/>
          </w:tcPr>
          <w:p>
            <w:pPr>
              <w:spacing w:after="0" w:before="0"/>
            </w:pPr>
            <w:r/>
            <w:r>
              <w:rPr>
                <w:rFonts w:ascii="Aptos" w:hAnsi="Aptos"/>
                <w:b/>
                <w:color w:val="FFFFFF"/>
                <w:sz w:val="15"/>
              </w:rPr>
              <w:t>Action if missing/failed</w:t>
            </w:r>
          </w:p>
        </w:tc>
      </w:tr>
      <w:tr>
        <w:tc>
          <w:tcPr>
            <w:tcW w:type="dxa" w:w="1642"/>
            <w:vAlign w:val="center"/>
          </w:tcPr>
          <w:p>
            <w:pPr>
              <w:spacing w:after="0" w:before="0"/>
            </w:pPr>
            <w:r/>
            <w:r>
              <w:rPr>
                <w:rFonts w:ascii="Aptos" w:hAnsi="Aptos"/>
                <w:b w:val="0"/>
                <w:sz w:val="15"/>
              </w:rPr>
              <w:t>Receiving</w:t>
            </w:r>
          </w:p>
        </w:tc>
        <w:tc>
          <w:tcPr>
            <w:tcW w:type="dxa" w:w="4147"/>
            <w:vAlign w:val="center"/>
          </w:tcPr>
          <w:p>
            <w:pPr>
              <w:spacing w:after="0" w:before="0"/>
            </w:pPr>
            <w:r/>
            <w:r>
              <w:rPr>
                <w:rFonts w:ascii="Aptos" w:hAnsi="Aptos"/>
                <w:b w:val="0"/>
                <w:sz w:val="15"/>
              </w:rPr>
              <w:t>Accepted lot + incoming F-823 source + specification</w:t>
            </w:r>
          </w:p>
        </w:tc>
        <w:tc>
          <w:tcPr>
            <w:tcW w:type="dxa" w:w="3946"/>
            <w:vAlign w:val="center"/>
          </w:tcPr>
          <w:p>
            <w:pPr>
              <w:spacing w:after="0" w:before="0"/>
            </w:pPr>
            <w:r/>
            <w:r>
              <w:rPr>
                <w:rFonts w:ascii="Aptos" w:hAnsi="Aptos"/>
                <w:b w:val="0"/>
                <w:sz w:val="15"/>
              </w:rPr>
              <w:t>Hold at incoming</w:t>
            </w:r>
          </w:p>
        </w:tc>
      </w:tr>
      <w:tr>
        <w:tc>
          <w:tcPr>
            <w:tcW w:type="dxa" w:w="1642"/>
            <w:vAlign w:val="center"/>
            <w:shd w:fill="F3F6F8"/>
          </w:tcPr>
          <w:p>
            <w:pPr>
              <w:spacing w:after="0" w:before="0"/>
            </w:pPr>
            <w:r/>
            <w:r>
              <w:rPr>
                <w:rFonts w:ascii="Aptos" w:hAnsi="Aptos"/>
                <w:b w:val="0"/>
                <w:sz w:val="15"/>
              </w:rPr>
              <w:t>Kit assembly</w:t>
            </w:r>
          </w:p>
        </w:tc>
        <w:tc>
          <w:tcPr>
            <w:tcW w:type="dxa" w:w="4147"/>
            <w:vAlign w:val="center"/>
            <w:shd w:fill="F3F6F8"/>
          </w:tcPr>
          <w:p>
            <w:pPr>
              <w:spacing w:after="0" w:before="0"/>
            </w:pPr>
            <w:r/>
            <w:r>
              <w:rPr>
                <w:rFonts w:ascii="Aptos" w:hAnsi="Aptos"/>
                <w:b w:val="0"/>
                <w:sz w:val="15"/>
              </w:rPr>
              <w:t>Correct BOM, linked lots, actual timed checks and QC</w:t>
            </w:r>
          </w:p>
        </w:tc>
        <w:tc>
          <w:tcPr>
            <w:tcW w:type="dxa" w:w="3946"/>
            <w:vAlign w:val="center"/>
            <w:shd w:fill="F3F6F8"/>
          </w:tcPr>
          <w:p>
            <w:pPr>
              <w:spacing w:after="0" w:before="0"/>
            </w:pPr>
            <w:r/>
            <w:r>
              <w:rPr>
                <w:rFonts w:ascii="Aptos" w:hAnsi="Aptos"/>
                <w:b w:val="0"/>
                <w:sz w:val="15"/>
              </w:rPr>
              <w:t>Stop line / NCR / segregate</w:t>
            </w:r>
          </w:p>
        </w:tc>
      </w:tr>
      <w:tr>
        <w:tc>
          <w:tcPr>
            <w:tcW w:type="dxa" w:w="1642"/>
            <w:vAlign w:val="center"/>
          </w:tcPr>
          <w:p>
            <w:pPr>
              <w:spacing w:after="0" w:before="0"/>
            </w:pPr>
            <w:r/>
            <w:r>
              <w:rPr>
                <w:rFonts w:ascii="Aptos" w:hAnsi="Aptos"/>
                <w:b w:val="0"/>
                <w:sz w:val="15"/>
              </w:rPr>
              <w:t>Pouch sealing</w:t>
            </w:r>
          </w:p>
        </w:tc>
        <w:tc>
          <w:tcPr>
            <w:tcW w:type="dxa" w:w="4147"/>
            <w:vAlign w:val="center"/>
          </w:tcPr>
          <w:p>
            <w:pPr>
              <w:spacing w:after="0" w:before="0"/>
            </w:pPr>
            <w:r/>
            <w:r>
              <w:rPr>
                <w:rFonts w:ascii="Aptos" w:hAnsi="Aptos"/>
                <w:b w:val="0"/>
                <w:sz w:val="15"/>
              </w:rPr>
              <w:t>Validated recipe, actual width/temp/time, seal check</w:t>
            </w:r>
          </w:p>
        </w:tc>
        <w:tc>
          <w:tcPr>
            <w:tcW w:type="dxa" w:w="3946"/>
            <w:vAlign w:val="center"/>
          </w:tcPr>
          <w:p>
            <w:pPr>
              <w:spacing w:after="0" w:before="0"/>
            </w:pPr>
            <w:r/>
            <w:r>
              <w:rPr>
                <w:rFonts w:ascii="Aptos" w:hAnsi="Aptos"/>
                <w:b w:val="0"/>
                <w:sz w:val="15"/>
              </w:rPr>
              <w:t>Stop/segregate affected interval</w:t>
            </w:r>
          </w:p>
        </w:tc>
      </w:tr>
      <w:tr>
        <w:tc>
          <w:tcPr>
            <w:tcW w:type="dxa" w:w="1642"/>
            <w:vAlign w:val="center"/>
            <w:shd w:fill="F3F6F8"/>
          </w:tcPr>
          <w:p>
            <w:pPr>
              <w:spacing w:after="0" w:before="0"/>
            </w:pPr>
            <w:r/>
            <w:r>
              <w:rPr>
                <w:rFonts w:ascii="Aptos" w:hAnsi="Aptos"/>
                <w:b w:val="0"/>
                <w:sz w:val="15"/>
              </w:rPr>
              <w:t>Type / Supplier</w:t>
            </w:r>
          </w:p>
        </w:tc>
        <w:tc>
          <w:tcPr>
            <w:tcW w:type="dxa" w:w="4147"/>
            <w:vAlign w:val="center"/>
            <w:shd w:fill="F3F6F8"/>
          </w:tcPr>
          <w:p>
            <w:pPr>
              <w:spacing w:after="0" w:before="0"/>
            </w:pPr>
            <w:r/>
            <w:r>
              <w:rPr>
                <w:rFonts w:ascii="Aptos" w:hAnsi="Aptos"/>
                <w:b w:val="0"/>
                <w:sz w:val="15"/>
              </w:rPr>
              <w:t>Syringe/connector qualification evidence</w:t>
            </w:r>
          </w:p>
        </w:tc>
        <w:tc>
          <w:tcPr>
            <w:tcW w:type="dxa" w:w="3946"/>
            <w:vAlign w:val="center"/>
            <w:shd w:fill="F3F6F8"/>
          </w:tcPr>
          <w:p>
            <w:pPr>
              <w:spacing w:after="0" w:before="0"/>
            </w:pPr>
            <w:r/>
            <w:r>
              <w:rPr>
                <w:rFonts w:ascii="Aptos" w:hAnsi="Aptos"/>
                <w:b w:val="0"/>
                <w:sz w:val="15"/>
              </w:rPr>
              <w:t>Block unqualified substitution; engineering/QA decision</w:t>
            </w:r>
          </w:p>
        </w:tc>
      </w:tr>
      <w:tr>
        <w:tc>
          <w:tcPr>
            <w:tcW w:type="dxa" w:w="1642"/>
            <w:vAlign w:val="center"/>
          </w:tcPr>
          <w:p>
            <w:pPr>
              <w:spacing w:after="0" w:before="0"/>
            </w:pPr>
            <w:r/>
            <w:r>
              <w:rPr>
                <w:rFonts w:ascii="Aptos" w:hAnsi="Aptos"/>
                <w:b w:val="0"/>
                <w:sz w:val="15"/>
              </w:rPr>
              <w:t>Sterilization / final</w:t>
            </w:r>
          </w:p>
        </w:tc>
        <w:tc>
          <w:tcPr>
            <w:tcW w:type="dxa" w:w="4147"/>
            <w:vAlign w:val="center"/>
          </w:tcPr>
          <w:p>
            <w:pPr>
              <w:spacing w:after="0" w:before="0"/>
            </w:pPr>
            <w:r/>
            <w:r>
              <w:rPr>
                <w:rFonts w:ascii="Aptos" w:hAnsi="Aptos"/>
                <w:b w:val="0"/>
                <w:sz w:val="15"/>
              </w:rPr>
              <w:t>Executed cycle, labs, F-823-F20, authorized release</w:t>
            </w:r>
          </w:p>
        </w:tc>
        <w:tc>
          <w:tcPr>
            <w:tcW w:type="dxa" w:w="3946"/>
            <w:vAlign w:val="center"/>
          </w:tcPr>
          <w:p>
            <w:pPr>
              <w:spacing w:after="0" w:before="0"/>
            </w:pPr>
            <w:r/>
            <w:r>
              <w:rPr>
                <w:rFonts w:ascii="Aptos" w:hAnsi="Aptos"/>
                <w:b w:val="0"/>
                <w:sz w:val="15"/>
              </w:rPr>
              <w:t>No FG release</w:t>
            </w:r>
          </w:p>
        </w:tc>
      </w:tr>
    </w:tbl>
    <w:p>
      <w:pPr>
        <w:pStyle w:val="Heading1"/>
      </w:pPr>
      <w:r>
        <w:t>Appendix C — Verified Technical Criteria for Conditional Component Qualification</w:t>
      </w:r>
    </w:p>
    <w:p>
      <w:r>
        <w:t>The source-derived criteria below are required only for the component/design for which Engineering/QA confirms the standard applies. They are not routine inspection or acceptance limits for the whole Epidural Set. Record the test with approved equipment, actual values, sample ID, report and scope; link those reports from the in-process form. Never mark a product or kit compliant solely because a test row appears below. [GAP-007–021]</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vAlign w:val="center"/>
            <w:shd w:fill="17324F"/>
          </w:tcPr>
          <w:p>
            <w:pPr>
              <w:spacing w:after="0" w:before="0"/>
            </w:pPr>
            <w:r/>
            <w:r>
              <w:rPr>
                <w:rFonts w:ascii="Aptos" w:hAnsi="Aptos"/>
                <w:b/>
                <w:color w:val="FFFFFF"/>
                <w:sz w:val="15"/>
              </w:rPr>
              <w:t>Source / clause</w:t>
            </w:r>
          </w:p>
        </w:tc>
        <w:tc>
          <w:tcPr>
            <w:tcW w:type="dxa" w:w="2088"/>
            <w:vAlign w:val="center"/>
            <w:shd w:fill="17324F"/>
          </w:tcPr>
          <w:p>
            <w:pPr>
              <w:spacing w:after="0" w:before="0"/>
            </w:pPr>
            <w:r/>
            <w:r>
              <w:rPr>
                <w:rFonts w:ascii="Aptos" w:hAnsi="Aptos"/>
                <w:b/>
                <w:color w:val="FFFFFF"/>
                <w:sz w:val="15"/>
              </w:rPr>
              <w:t>Applies to</w:t>
            </w:r>
          </w:p>
        </w:tc>
        <w:tc>
          <w:tcPr>
            <w:tcW w:type="dxa" w:w="5688"/>
            <w:vAlign w:val="center"/>
            <w:shd w:fill="17324F"/>
          </w:tcPr>
          <w:p>
            <w:pPr>
              <w:spacing w:after="0" w:before="0"/>
            </w:pPr>
            <w:r/>
            <w:r>
              <w:rPr>
                <w:rFonts w:ascii="Aptos" w:hAnsi="Aptos"/>
                <w:b/>
                <w:color w:val="FFFFFF"/>
                <w:sz w:val="15"/>
              </w:rPr>
              <w:t>Technical acceptance and verification conditions (source-derived)</w:t>
            </w:r>
          </w:p>
        </w:tc>
      </w:tr>
      <w:tr>
        <w:tc>
          <w:tcPr>
            <w:tcW w:type="dxa" w:w="1944"/>
            <w:vAlign w:val="center"/>
          </w:tcPr>
          <w:p>
            <w:pPr>
              <w:spacing w:after="0" w:before="0"/>
            </w:pPr>
            <w:r/>
            <w:r>
              <w:rPr>
                <w:rFonts w:ascii="Aptos" w:hAnsi="Aptos"/>
                <w:b w:val="0"/>
                <w:sz w:val="14"/>
              </w:rPr>
              <w:t>ISO 7886-1 §6.2–6.3; Annex A</w:t>
            </w:r>
          </w:p>
        </w:tc>
        <w:tc>
          <w:tcPr>
            <w:tcW w:type="dxa" w:w="2088"/>
            <w:vAlign w:val="center"/>
          </w:tcPr>
          <w:p>
            <w:pPr>
              <w:spacing w:after="0" w:before="0"/>
            </w:pPr>
            <w:r/>
            <w:r>
              <w:rPr>
                <w:rFonts w:ascii="Aptos" w:hAnsi="Aptos"/>
                <w:b w:val="0"/>
                <w:sz w:val="14"/>
              </w:rPr>
              <w:t>In-scope sterile hypodermic syringe</w:t>
            </w:r>
          </w:p>
        </w:tc>
        <w:tc>
          <w:tcPr>
            <w:tcW w:type="dxa" w:w="5688"/>
            <w:vAlign w:val="center"/>
          </w:tcPr>
          <w:p>
            <w:pPr>
              <w:spacing w:after="0" w:before="0"/>
            </w:pPr>
            <w:r/>
            <w:r>
              <w:rPr>
                <w:rFonts w:ascii="Aptos" w:hAnsi="Aptos"/>
                <w:b w:val="0"/>
                <w:sz w:val="14"/>
              </w:rPr>
              <w:t>Extract at least 3 syringes: distilled water at 37–40 °C for 8 h to 8 h 15 min; pH shift ≤1.0 unit vs control; combined rise in Pb/Sn/Zn/Fe ≤5 mg/kg and Cd &lt;0.1 mg/kg. Record extraction and lab analysis.</w:t>
            </w:r>
          </w:p>
        </w:tc>
      </w:tr>
      <w:tr>
        <w:tc>
          <w:tcPr>
            <w:tcW w:type="dxa" w:w="1944"/>
            <w:vAlign w:val="center"/>
            <w:shd w:fill="F3F6F8"/>
          </w:tcPr>
          <w:p>
            <w:pPr>
              <w:spacing w:after="0" w:before="0"/>
            </w:pPr>
            <w:r/>
            <w:r>
              <w:rPr>
                <w:rFonts w:ascii="Aptos" w:hAnsi="Aptos"/>
                <w:b w:val="0"/>
                <w:sz w:val="14"/>
              </w:rPr>
              <w:t>ISO 7886-1 §7</w:t>
            </w:r>
          </w:p>
        </w:tc>
        <w:tc>
          <w:tcPr>
            <w:tcW w:type="dxa" w:w="2088"/>
            <w:vAlign w:val="center"/>
            <w:shd w:fill="F3F6F8"/>
          </w:tcPr>
          <w:p>
            <w:pPr>
              <w:spacing w:after="0" w:before="0"/>
            </w:pPr>
            <w:r/>
            <w:r>
              <w:rPr>
                <w:rFonts w:ascii="Aptos" w:hAnsi="Aptos"/>
                <w:b w:val="0"/>
                <w:sz w:val="14"/>
              </w:rPr>
              <w:t>Syringe lubricant</w:t>
            </w:r>
          </w:p>
        </w:tc>
        <w:tc>
          <w:tcPr>
            <w:tcW w:type="dxa" w:w="5688"/>
            <w:vAlign w:val="center"/>
            <w:shd w:fill="F3F6F8"/>
          </w:tcPr>
          <w:p>
            <w:pPr>
              <w:spacing w:after="0" w:before="0"/>
            </w:pPr>
            <w:r/>
            <w:r>
              <w:rPr>
                <w:rFonts w:ascii="Aptos" w:hAnsi="Aptos"/>
                <w:b w:val="0"/>
                <w:sz w:val="14"/>
              </w:rPr>
              <w:t>Surface-applied lubricant ≤0.25 mg/cm²; incorporated lubricant ≤0.6% by mass; applied lubricant shall not enter Luer channel when plunger fully inserted. Source Annex F method informative.</w:t>
            </w:r>
          </w:p>
        </w:tc>
      </w:tr>
      <w:tr>
        <w:tc>
          <w:tcPr>
            <w:tcW w:type="dxa" w:w="1944"/>
            <w:vAlign w:val="center"/>
          </w:tcPr>
          <w:p>
            <w:pPr>
              <w:spacing w:after="0" w:before="0"/>
            </w:pPr>
            <w:r/>
            <w:r>
              <w:rPr>
                <w:rFonts w:ascii="Aptos" w:hAnsi="Aptos"/>
                <w:b w:val="0"/>
                <w:sz w:val="14"/>
              </w:rPr>
              <w:t>ISO 7886-1 §8, Table 1</w:t>
            </w:r>
          </w:p>
        </w:tc>
        <w:tc>
          <w:tcPr>
            <w:tcW w:type="dxa" w:w="2088"/>
            <w:vAlign w:val="center"/>
          </w:tcPr>
          <w:p>
            <w:pPr>
              <w:spacing w:after="0" w:before="0"/>
            </w:pPr>
            <w:r/>
            <w:r>
              <w:rPr>
                <w:rFonts w:ascii="Aptos" w:hAnsi="Aptos"/>
                <w:b w:val="0"/>
                <w:sz w:val="14"/>
              </w:rPr>
              <w:t>3 ml syringe: 2≤V&lt;5 ml</w:t>
            </w:r>
          </w:p>
        </w:tc>
        <w:tc>
          <w:tcPr>
            <w:tcW w:type="dxa" w:w="5688"/>
            <w:vAlign w:val="center"/>
          </w:tcPr>
          <w:p>
            <w:pPr>
              <w:spacing w:after="0" w:before="0"/>
            </w:pPr>
            <w:r/>
            <w:r>
              <w:rPr>
                <w:rFonts w:ascii="Aptos" w:hAnsi="Aptos"/>
                <w:b w:val="0"/>
                <w:sz w:val="14"/>
              </w:rPr>
              <w:t>Below half nominal capacity: ±(1.5% of V + 2% of expelled volume). At/above half: ±5% of expelled volume. Record tested graduation, target ml, measured ml and absolute error.</w:t>
            </w:r>
          </w:p>
        </w:tc>
      </w:tr>
      <w:tr>
        <w:tc>
          <w:tcPr>
            <w:tcW w:type="dxa" w:w="1944"/>
            <w:vAlign w:val="center"/>
            <w:shd w:fill="F3F6F8"/>
          </w:tcPr>
          <w:p>
            <w:pPr>
              <w:spacing w:after="0" w:before="0"/>
            </w:pPr>
            <w:r/>
            <w:r>
              <w:rPr>
                <w:rFonts w:ascii="Aptos" w:hAnsi="Aptos"/>
                <w:b w:val="0"/>
                <w:sz w:val="14"/>
              </w:rPr>
              <w:t>ISO 7886-1 §8, Table 1</w:t>
            </w:r>
          </w:p>
        </w:tc>
        <w:tc>
          <w:tcPr>
            <w:tcW w:type="dxa" w:w="2088"/>
            <w:vAlign w:val="center"/>
            <w:shd w:fill="F3F6F8"/>
          </w:tcPr>
          <w:p>
            <w:pPr>
              <w:spacing w:after="0" w:before="0"/>
            </w:pPr>
            <w:r/>
            <w:r>
              <w:rPr>
                <w:rFonts w:ascii="Aptos" w:hAnsi="Aptos"/>
                <w:b w:val="0"/>
                <w:sz w:val="14"/>
              </w:rPr>
              <w:t>5 ml syringe: 5≤V&lt;10 ml</w:t>
            </w:r>
          </w:p>
        </w:tc>
        <w:tc>
          <w:tcPr>
            <w:tcW w:type="dxa" w:w="5688"/>
            <w:vAlign w:val="center"/>
            <w:shd w:fill="F3F6F8"/>
          </w:tcPr>
          <w:p>
            <w:pPr>
              <w:spacing w:after="0" w:before="0"/>
            </w:pPr>
            <w:r/>
            <w:r>
              <w:rPr>
                <w:rFonts w:ascii="Aptos" w:hAnsi="Aptos"/>
                <w:b w:val="0"/>
                <w:sz w:val="14"/>
              </w:rPr>
              <w:t>Below half nominal capacity: ±(1.5% of V + 1% of expelled volume). At/above half: ±4% of expelled volume. Record target, measurement and error.</w:t>
            </w:r>
          </w:p>
        </w:tc>
      </w:tr>
      <w:tr>
        <w:tc>
          <w:tcPr>
            <w:tcW w:type="dxa" w:w="1944"/>
            <w:vAlign w:val="center"/>
          </w:tcPr>
          <w:p>
            <w:pPr>
              <w:spacing w:after="0" w:before="0"/>
            </w:pPr>
            <w:r/>
            <w:r>
              <w:rPr>
                <w:rFonts w:ascii="Aptos" w:hAnsi="Aptos"/>
                <w:b w:val="0"/>
                <w:sz w:val="14"/>
              </w:rPr>
              <w:t>ISO 7886-1 §9 Table 1</w:t>
            </w:r>
          </w:p>
        </w:tc>
        <w:tc>
          <w:tcPr>
            <w:tcW w:type="dxa" w:w="2088"/>
            <w:vAlign w:val="center"/>
          </w:tcPr>
          <w:p>
            <w:pPr>
              <w:spacing w:after="0" w:before="0"/>
            </w:pPr>
            <w:r/>
            <w:r>
              <w:rPr>
                <w:rFonts w:ascii="Aptos" w:hAnsi="Aptos"/>
                <w:b w:val="0"/>
                <w:sz w:val="14"/>
              </w:rPr>
              <w:t>3 ml / 5 ml scale design</w:t>
            </w:r>
          </w:p>
        </w:tc>
        <w:tc>
          <w:tcPr>
            <w:tcW w:type="dxa" w:w="5688"/>
            <w:vAlign w:val="center"/>
          </w:tcPr>
          <w:p>
            <w:pPr>
              <w:spacing w:after="0" w:before="0"/>
            </w:pPr>
            <w:r/>
            <w:r>
              <w:rPr>
                <w:rFonts w:ascii="Aptos" w:hAnsi="Aptos"/>
                <w:b w:val="0"/>
                <w:sz w:val="14"/>
              </w:rPr>
              <w:t>3 ml: maximum interval 0.2 ml, scale numbering every 1 ml and overall scale length ≥27 mm; 5 ml: interval 0.5 ml, numbering every 1 ml and scale length ≥36 mm. Clauses 9.1–9.4 also govern scale marking, arrangement and zero alignment.</w:t>
            </w:r>
          </w:p>
        </w:tc>
      </w:tr>
      <w:tr>
        <w:tc>
          <w:tcPr>
            <w:tcW w:type="dxa" w:w="1944"/>
            <w:vAlign w:val="center"/>
            <w:shd w:fill="F3F6F8"/>
          </w:tcPr>
          <w:p>
            <w:pPr>
              <w:spacing w:after="0" w:before="0"/>
            </w:pPr>
            <w:r/>
            <w:r>
              <w:rPr>
                <w:rFonts w:ascii="Aptos" w:hAnsi="Aptos"/>
                <w:b w:val="0"/>
                <w:sz w:val="14"/>
              </w:rPr>
              <w:t>ISO 7886-1 §11–12</w:t>
            </w:r>
          </w:p>
        </w:tc>
        <w:tc>
          <w:tcPr>
            <w:tcW w:type="dxa" w:w="2088"/>
            <w:vAlign w:val="center"/>
            <w:shd w:fill="F3F6F8"/>
          </w:tcPr>
          <w:p>
            <w:pPr>
              <w:spacing w:after="0" w:before="0"/>
            </w:pPr>
            <w:r/>
            <w:r>
              <w:rPr>
                <w:rFonts w:ascii="Aptos" w:hAnsi="Aptos"/>
                <w:b w:val="0"/>
                <w:sz w:val="14"/>
              </w:rPr>
              <w:t>Relevant nozzle/plunger</w:t>
            </w:r>
          </w:p>
        </w:tc>
        <w:tc>
          <w:tcPr>
            <w:tcW w:type="dxa" w:w="5688"/>
            <w:vAlign w:val="center"/>
            <w:shd w:fill="F3F6F8"/>
          </w:tcPr>
          <w:p>
            <w:pPr>
              <w:spacing w:after="0" w:before="0"/>
            </w:pPr>
            <w:r/>
            <w:r>
              <w:rPr>
                <w:rFonts w:ascii="Aptos" w:hAnsi="Aptos"/>
                <w:b w:val="0"/>
                <w:sz w:val="14"/>
              </w:rPr>
              <w:t>Minimum plunger projection ≥8 mm at zero. 3 ml nozzle central; 5 ml nozzle central or eccentrically positioned per §12.2; nozzle lumen ≥1.2 mm. Nozzle Luer shall comply with applicable ISO 80369-7 where clinically appropriate.</w:t>
            </w:r>
          </w:p>
        </w:tc>
      </w:tr>
      <w:tr>
        <w:tc>
          <w:tcPr>
            <w:tcW w:type="dxa" w:w="1944"/>
            <w:vAlign w:val="center"/>
          </w:tcPr>
          <w:p>
            <w:pPr>
              <w:spacing w:after="0" w:before="0"/>
            </w:pPr>
            <w:r/>
            <w:r>
              <w:rPr>
                <w:rFonts w:ascii="Aptos" w:hAnsi="Aptos"/>
                <w:b w:val="0"/>
                <w:sz w:val="14"/>
              </w:rPr>
              <w:t>ISO 7886-1 §13.1, Table 1, Annex C</w:t>
            </w:r>
          </w:p>
        </w:tc>
        <w:tc>
          <w:tcPr>
            <w:tcW w:type="dxa" w:w="2088"/>
            <w:vAlign w:val="center"/>
          </w:tcPr>
          <w:p>
            <w:pPr>
              <w:spacing w:after="0" w:before="0"/>
            </w:pPr>
            <w:r/>
            <w:r>
              <w:rPr>
                <w:rFonts w:ascii="Aptos" w:hAnsi="Aptos"/>
                <w:b w:val="0"/>
                <w:sz w:val="14"/>
              </w:rPr>
              <w:t>3 ml / 5 ml syringe dead space</w:t>
            </w:r>
          </w:p>
        </w:tc>
        <w:tc>
          <w:tcPr>
            <w:tcW w:type="dxa" w:w="5688"/>
            <w:vAlign w:val="center"/>
          </w:tcPr>
          <w:p>
            <w:pPr>
              <w:spacing w:after="0" w:before="0"/>
            </w:pPr>
            <w:r/>
            <w:r>
              <w:rPr>
                <w:rFonts w:ascii="Aptos" w:hAnsi="Aptos"/>
                <w:b w:val="0"/>
                <w:sz w:val="14"/>
              </w:rPr>
              <w:t>Maximum dead space: 3 ml ≤0.070 ml; 5 ml ≤0.075 ml. Annex C uses a balance with resolution 1 mg or better and residual water mass after expulsion.</w:t>
            </w:r>
          </w:p>
        </w:tc>
      </w:tr>
      <w:tr>
        <w:tc>
          <w:tcPr>
            <w:tcW w:type="dxa" w:w="1944"/>
            <w:vAlign w:val="center"/>
            <w:shd w:fill="F3F6F8"/>
          </w:tcPr>
          <w:p>
            <w:pPr>
              <w:spacing w:after="0" w:before="0"/>
            </w:pPr>
            <w:r/>
            <w:r>
              <w:rPr>
                <w:rFonts w:ascii="Aptos" w:hAnsi="Aptos"/>
                <w:b w:val="0"/>
                <w:sz w:val="14"/>
              </w:rPr>
              <w:t>ISO 7886-1 §13.2, Annex B</w:t>
            </w:r>
          </w:p>
        </w:tc>
        <w:tc>
          <w:tcPr>
            <w:tcW w:type="dxa" w:w="2088"/>
            <w:vAlign w:val="center"/>
            <w:shd w:fill="F3F6F8"/>
          </w:tcPr>
          <w:p>
            <w:pPr>
              <w:spacing w:after="0" w:before="0"/>
            </w:pPr>
            <w:r/>
            <w:r>
              <w:rPr>
                <w:rFonts w:ascii="Aptos" w:hAnsi="Aptos"/>
                <w:b w:val="0"/>
                <w:sz w:val="14"/>
              </w:rPr>
              <w:t>Syringe air leakage</w:t>
            </w:r>
          </w:p>
        </w:tc>
        <w:tc>
          <w:tcPr>
            <w:tcW w:type="dxa" w:w="5688"/>
            <w:vAlign w:val="center"/>
            <w:shd w:fill="F3F6F8"/>
          </w:tcPr>
          <w:p>
            <w:pPr>
              <w:spacing w:after="0" w:before="0"/>
            </w:pPr>
            <w:r/>
            <w:r>
              <w:rPr>
                <w:rFonts w:ascii="Aptos" w:hAnsi="Aptos"/>
                <w:b w:val="0"/>
                <w:sz w:val="14"/>
              </w:rPr>
              <w:t>Draw at least 25% nominal capacity of water at 18–28°C; reach 88 kPa below ambient, isolate and observe 60 s. No leakage past plunger/stopper and no fall in manometer reading; no stopper separation.</w:t>
            </w:r>
          </w:p>
        </w:tc>
      </w:tr>
      <w:tr>
        <w:tc>
          <w:tcPr>
            <w:tcW w:type="dxa" w:w="1944"/>
            <w:vAlign w:val="center"/>
          </w:tcPr>
          <w:p>
            <w:pPr>
              <w:spacing w:after="0" w:before="0"/>
            </w:pPr>
            <w:r/>
            <w:r>
              <w:rPr>
                <w:rFonts w:ascii="Aptos" w:hAnsi="Aptos"/>
                <w:b w:val="0"/>
                <w:sz w:val="14"/>
              </w:rPr>
              <w:t>ISO 7886-1 §13.2, Annex D, Table 1</w:t>
            </w:r>
          </w:p>
        </w:tc>
        <w:tc>
          <w:tcPr>
            <w:tcW w:type="dxa" w:w="2088"/>
            <w:vAlign w:val="center"/>
          </w:tcPr>
          <w:p>
            <w:pPr>
              <w:spacing w:after="0" w:before="0"/>
            </w:pPr>
            <w:r/>
            <w:r>
              <w:rPr>
                <w:rFonts w:ascii="Aptos" w:hAnsi="Aptos"/>
                <w:b w:val="0"/>
                <w:sz w:val="14"/>
              </w:rPr>
              <w:t>3 ml / 5 ml syringe liquid leakage</w:t>
            </w:r>
          </w:p>
        </w:tc>
        <w:tc>
          <w:tcPr>
            <w:tcW w:type="dxa" w:w="5688"/>
            <w:vAlign w:val="center"/>
          </w:tcPr>
          <w:p>
            <w:pPr>
              <w:spacing w:after="0" w:before="0"/>
            </w:pPr>
            <w:r/>
            <w:r>
              <w:rPr>
                <w:rFonts w:ascii="Aptos" w:hAnsi="Aptos"/>
                <w:b w:val="0"/>
                <w:sz w:val="14"/>
              </w:rPr>
              <w:t>Water leakage under compression: Table 1 axial gauge pressure 300 kPa (±5%) for both sizes, sideways force 1.0 N (±5%) for 3 ml, 2.0 N (±5%) for 5 ml; apply pressure for 30–35 s; no leakage past stopper except allowable small droplets between seals.</w:t>
            </w:r>
          </w:p>
        </w:tc>
      </w:tr>
      <w:tr>
        <w:tc>
          <w:tcPr>
            <w:tcW w:type="dxa" w:w="1944"/>
            <w:vAlign w:val="center"/>
            <w:shd w:fill="F3F6F8"/>
          </w:tcPr>
          <w:p>
            <w:pPr>
              <w:spacing w:after="0" w:before="0"/>
            </w:pPr>
            <w:r/>
            <w:r>
              <w:rPr>
                <w:rFonts w:ascii="Aptos" w:hAnsi="Aptos"/>
                <w:b w:val="0"/>
                <w:sz w:val="14"/>
              </w:rPr>
              <w:t>ISO 80369-7 §4.2–4.3</w:t>
            </w:r>
          </w:p>
        </w:tc>
        <w:tc>
          <w:tcPr>
            <w:tcW w:type="dxa" w:w="2088"/>
            <w:vAlign w:val="center"/>
            <w:shd w:fill="F3F6F8"/>
          </w:tcPr>
          <w:p>
            <w:pPr>
              <w:spacing w:after="0" w:before="0"/>
            </w:pPr>
            <w:r/>
            <w:r>
              <w:rPr>
                <w:rFonts w:ascii="Aptos" w:hAnsi="Aptos"/>
                <w:b w:val="0"/>
                <w:sz w:val="14"/>
              </w:rPr>
              <w:t>Clinically applicable IV/hypodermic Luer</w:t>
            </w:r>
          </w:p>
        </w:tc>
        <w:tc>
          <w:tcPr>
            <w:tcW w:type="dxa" w:w="5688"/>
            <w:vAlign w:val="center"/>
            <w:shd w:fill="F3F6F8"/>
          </w:tcPr>
          <w:p>
            <w:pPr>
              <w:spacing w:after="0" w:before="0"/>
            </w:pPr>
            <w:r/>
            <w:r>
              <w:rPr>
                <w:rFonts w:ascii="Aptos" w:hAnsi="Aptos"/>
                <w:b w:val="0"/>
                <w:sz w:val="14"/>
              </w:rPr>
              <w:t>Connector nominal tensile/flexural modulus &gt;700 MPa by ASTM D638-14 or D790-15e2; test by TYPE TEST and identify component material revision.</w:t>
            </w:r>
          </w:p>
        </w:tc>
      </w:tr>
      <w:tr>
        <w:tc>
          <w:tcPr>
            <w:tcW w:type="dxa" w:w="1944"/>
            <w:vAlign w:val="center"/>
          </w:tcPr>
          <w:p>
            <w:pPr>
              <w:spacing w:after="0" w:before="0"/>
            </w:pPr>
            <w:r/>
            <w:r>
              <w:rPr>
                <w:rFonts w:ascii="Aptos" w:hAnsi="Aptos"/>
                <w:b w:val="0"/>
                <w:sz w:val="14"/>
              </w:rPr>
              <w:t>ISO 80369-7 §5; Annex B</w:t>
            </w:r>
          </w:p>
        </w:tc>
        <w:tc>
          <w:tcPr>
            <w:tcW w:type="dxa" w:w="2088"/>
            <w:vAlign w:val="center"/>
          </w:tcPr>
          <w:p>
            <w:pPr>
              <w:spacing w:after="0" w:before="0"/>
            </w:pPr>
            <w:r/>
            <w:r>
              <w:rPr>
                <w:rFonts w:ascii="Aptos" w:hAnsi="Aptos"/>
                <w:b w:val="0"/>
                <w:sz w:val="14"/>
              </w:rPr>
              <w:t>Approved L1/L2 Luer variant</w:t>
            </w:r>
          </w:p>
        </w:tc>
        <w:tc>
          <w:tcPr>
            <w:tcW w:type="dxa" w:w="5688"/>
            <w:vAlign w:val="center"/>
          </w:tcPr>
          <w:p>
            <w:pPr>
              <w:spacing w:after="0" w:before="0"/>
            </w:pPr>
            <w:r/>
            <w:r>
              <w:rPr>
                <w:rFonts w:ascii="Aptos" w:hAnsi="Aptos"/>
                <w:b w:val="0"/>
                <w:sz w:val="14"/>
              </w:rPr>
              <w:t>Perform dimensions/tolerances for the specific chosen male/female slip/lock variant using matching Annex B Fig. B.1–B.8 and Tables B.1–B.8. OPEN TECHNICAL INPUT REQUIRED: actual connector variant and controlled drawing.</w:t>
            </w:r>
          </w:p>
        </w:tc>
      </w:tr>
      <w:tr>
        <w:tc>
          <w:tcPr>
            <w:tcW w:type="dxa" w:w="1944"/>
            <w:vAlign w:val="center"/>
            <w:shd w:fill="F3F6F8"/>
          </w:tcPr>
          <w:p>
            <w:pPr>
              <w:spacing w:after="0" w:before="0"/>
            </w:pPr>
            <w:r/>
            <w:r>
              <w:rPr>
                <w:rFonts w:ascii="Aptos" w:hAnsi="Aptos"/>
                <w:b w:val="0"/>
                <w:sz w:val="14"/>
              </w:rPr>
              <w:t>ISO 80369-7 §6.1</w:t>
            </w:r>
          </w:p>
        </w:tc>
        <w:tc>
          <w:tcPr>
            <w:tcW w:type="dxa" w:w="2088"/>
            <w:vAlign w:val="center"/>
            <w:shd w:fill="F3F6F8"/>
          </w:tcPr>
          <w:p>
            <w:pPr>
              <w:spacing w:after="0" w:before="0"/>
            </w:pPr>
            <w:r/>
            <w:r>
              <w:rPr>
                <w:rFonts w:ascii="Aptos" w:hAnsi="Aptos"/>
                <w:b w:val="0"/>
                <w:sz w:val="14"/>
              </w:rPr>
              <w:t>Applicable IV/hypodermic Luer</w:t>
            </w:r>
          </w:p>
        </w:tc>
        <w:tc>
          <w:tcPr>
            <w:tcW w:type="dxa" w:w="5688"/>
            <w:vAlign w:val="center"/>
            <w:shd w:fill="F3F6F8"/>
          </w:tcPr>
          <w:p>
            <w:pPr>
              <w:spacing w:after="0" w:before="0"/>
            </w:pPr>
            <w:r/>
            <w:r>
              <w:rPr>
                <w:rFonts w:ascii="Aptos" w:hAnsi="Aptos"/>
                <w:b w:val="0"/>
                <w:sz w:val="14"/>
              </w:rPr>
              <w:t>Choose one design type-test: (A) pressure-decay leak ≤0.005 Pa·m³/s at 300–330 kPa for 15–20 s, OR (B) no falling drop at 300–330 kPa liquid pressure over 30–35 s. ISO 80369-20 test method and Annex C mating reference connector required.</w:t>
            </w:r>
          </w:p>
        </w:tc>
      </w:tr>
      <w:tr>
        <w:tc>
          <w:tcPr>
            <w:tcW w:type="dxa" w:w="1944"/>
            <w:vAlign w:val="center"/>
          </w:tcPr>
          <w:p>
            <w:pPr>
              <w:spacing w:after="0" w:before="0"/>
            </w:pPr>
            <w:r/>
            <w:r>
              <w:rPr>
                <w:rFonts w:ascii="Aptos" w:hAnsi="Aptos"/>
                <w:b w:val="0"/>
                <w:sz w:val="14"/>
              </w:rPr>
              <w:t>ISO 80369-7 §6.2–6.3</w:t>
            </w:r>
          </w:p>
        </w:tc>
        <w:tc>
          <w:tcPr>
            <w:tcW w:type="dxa" w:w="2088"/>
            <w:vAlign w:val="center"/>
          </w:tcPr>
          <w:p>
            <w:pPr>
              <w:spacing w:after="0" w:before="0"/>
            </w:pPr>
            <w:r/>
            <w:r>
              <w:rPr>
                <w:rFonts w:ascii="Aptos" w:hAnsi="Aptos"/>
                <w:b w:val="0"/>
                <w:sz w:val="14"/>
              </w:rPr>
              <w:t>Applicable IV/hypodermic Luer</w:t>
            </w:r>
          </w:p>
        </w:tc>
        <w:tc>
          <w:tcPr>
            <w:tcW w:type="dxa" w:w="5688"/>
            <w:vAlign w:val="center"/>
          </w:tcPr>
          <w:p>
            <w:pPr>
              <w:spacing w:after="0" w:before="0"/>
            </w:pPr>
            <w:r/>
            <w:r>
              <w:rPr>
                <w:rFonts w:ascii="Aptos" w:hAnsi="Aptos"/>
                <w:b w:val="0"/>
                <w:sz w:val="14"/>
              </w:rPr>
              <w:t>Vacuum air leak ≤0.005 Pa·m³/s under 80–88 kPa sub-atmospheric pressure, 15–20 s. Stress cracking: after ISO 80369-20 Annex E stress exposure still meet §6.1 fluid leakage; keep post-stress test report.</w:t>
            </w:r>
          </w:p>
        </w:tc>
      </w:tr>
      <w:tr>
        <w:tc>
          <w:tcPr>
            <w:tcW w:type="dxa" w:w="1944"/>
            <w:vAlign w:val="center"/>
            <w:shd w:fill="F3F6F8"/>
          </w:tcPr>
          <w:p>
            <w:pPr>
              <w:spacing w:after="0" w:before="0"/>
            </w:pPr>
            <w:r/>
            <w:r>
              <w:rPr>
                <w:rFonts w:ascii="Aptos" w:hAnsi="Aptos"/>
                <w:b w:val="0"/>
                <w:sz w:val="14"/>
              </w:rPr>
              <w:t>ISO 80369-7 §6.4–6.6</w:t>
            </w:r>
          </w:p>
        </w:tc>
        <w:tc>
          <w:tcPr>
            <w:tcW w:type="dxa" w:w="2088"/>
            <w:vAlign w:val="center"/>
            <w:shd w:fill="F3F6F8"/>
          </w:tcPr>
          <w:p>
            <w:pPr>
              <w:spacing w:after="0" w:before="0"/>
            </w:pPr>
            <w:r/>
            <w:r>
              <w:rPr>
                <w:rFonts w:ascii="Aptos" w:hAnsi="Aptos"/>
                <w:b w:val="0"/>
                <w:sz w:val="14"/>
              </w:rPr>
              <w:t>Slip / lock interface according to variant</w:t>
            </w:r>
          </w:p>
        </w:tc>
        <w:tc>
          <w:tcPr>
            <w:tcW w:type="dxa" w:w="5688"/>
            <w:vAlign w:val="center"/>
            <w:shd w:fill="F3F6F8"/>
          </w:tcPr>
          <w:p>
            <w:pPr>
              <w:spacing w:after="0" w:before="0"/>
            </w:pPr>
            <w:r/>
            <w:r>
              <w:rPr>
                <w:rFonts w:ascii="Aptos" w:hAnsi="Aptos"/>
                <w:b w:val="0"/>
                <w:sz w:val="14"/>
              </w:rPr>
              <w:t>Axial nonseparation 10–15 s: Luer slip at 23–25 N; Luer lock at 32–35 N. Luer lock no unscrewing at 0.0198–0.0200 N·m over 10–15 s; no overriding at 0.15–0.17 N·m over 5–10 s. Confirm exact variant and appropriate ISO 80369-20 test/report.</w:t>
            </w:r>
          </w:p>
        </w:tc>
      </w:tr>
      <w:tr>
        <w:tc>
          <w:tcPr>
            <w:tcW w:type="dxa" w:w="1944"/>
            <w:vAlign w:val="center"/>
          </w:tcPr>
          <w:p>
            <w:pPr>
              <w:spacing w:after="0" w:before="0"/>
            </w:pPr>
            <w:r/>
            <w:r>
              <w:rPr>
                <w:rFonts w:ascii="Aptos" w:hAnsi="Aptos"/>
                <w:b w:val="0"/>
                <w:sz w:val="14"/>
              </w:rPr>
              <w:t>ISO 7886-1 §13.3, Annex E</w:t>
            </w:r>
          </w:p>
        </w:tc>
        <w:tc>
          <w:tcPr>
            <w:tcW w:type="dxa" w:w="2088"/>
            <w:vAlign w:val="center"/>
          </w:tcPr>
          <w:p>
            <w:pPr>
              <w:spacing w:after="0" w:before="0"/>
            </w:pPr>
            <w:r/>
            <w:r>
              <w:rPr>
                <w:rFonts w:ascii="Aptos" w:hAnsi="Aptos"/>
                <w:b w:val="0"/>
                <w:sz w:val="14"/>
              </w:rPr>
              <w:t>Piston force</w:t>
            </w:r>
          </w:p>
        </w:tc>
        <w:tc>
          <w:tcPr>
            <w:tcW w:type="dxa" w:w="5688"/>
            <w:vAlign w:val="center"/>
          </w:tcPr>
          <w:p>
            <w:pPr>
              <w:spacing w:after="0" w:before="0"/>
            </w:pPr>
            <w:r/>
            <w:r>
              <w:rPr>
                <w:rFonts w:ascii="Aptos" w:hAnsi="Aptos"/>
                <w:b w:val="0"/>
                <w:sz w:val="14"/>
              </w:rPr>
              <w:t>Force measurement recommended/informative, not an ISO mandatory numeric force threshold. Apply only if controlled syringe functional specification adopts a value; OPEN TECHNICAL INPUT REQUIRED for LOR performance.</w:t>
            </w:r>
          </w:p>
        </w:tc>
      </w:tr>
    </w:tbl>
    <w:p>
      <w:pPr>
        <w:pStyle w:val="Heading1"/>
      </w:pPr>
      <w:r>
        <w:t>Appendix D — Change-Control Traceability for Every GAP ID</w:t>
      </w:r>
    </w:p>
    <w:p>
      <w:r>
        <w:t>This index links every proposed GAP ID to the relevant reconstructed WI section. It does not indicate acceptance or approval; use the Master Gap table for full corrective wording.</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296"/>
            <w:vAlign w:val="center"/>
            <w:shd w:fill="17324F"/>
          </w:tcPr>
          <w:p>
            <w:pPr>
              <w:spacing w:after="0" w:before="0"/>
            </w:pPr>
            <w:r/>
            <w:r>
              <w:rPr>
                <w:rFonts w:ascii="Aptos" w:hAnsi="Aptos"/>
                <w:b/>
                <w:color w:val="FFFFFF"/>
                <w:sz w:val="15"/>
              </w:rPr>
              <w:t>Gap ID</w:t>
            </w:r>
          </w:p>
        </w:tc>
        <w:tc>
          <w:tcPr>
            <w:tcW w:type="dxa" w:w="749"/>
            <w:vAlign w:val="center"/>
            <w:shd w:fill="17324F"/>
          </w:tcPr>
          <w:p>
            <w:pPr>
              <w:spacing w:after="0" w:before="0"/>
            </w:pPr>
            <w:r/>
            <w:r>
              <w:rPr>
                <w:rFonts w:ascii="Aptos" w:hAnsi="Aptos"/>
                <w:b/>
                <w:color w:val="FFFFFF"/>
                <w:sz w:val="15"/>
              </w:rPr>
              <w:t>Priority</w:t>
            </w:r>
          </w:p>
        </w:tc>
        <w:tc>
          <w:tcPr>
            <w:tcW w:type="dxa" w:w="2678"/>
            <w:vAlign w:val="center"/>
            <w:shd w:fill="17324F"/>
          </w:tcPr>
          <w:p>
            <w:pPr>
              <w:spacing w:after="0" w:before="0"/>
            </w:pPr>
            <w:r/>
            <w:r>
              <w:rPr>
                <w:rFonts w:ascii="Aptos" w:hAnsi="Aptos"/>
                <w:b/>
                <w:color w:val="FFFFFF"/>
                <w:sz w:val="15"/>
              </w:rPr>
              <w:t>Related WI section(s)</w:t>
            </w:r>
          </w:p>
        </w:tc>
        <w:tc>
          <w:tcPr>
            <w:tcW w:type="dxa" w:w="4997"/>
            <w:vAlign w:val="center"/>
            <w:shd w:fill="17324F"/>
          </w:tcPr>
          <w:p>
            <w:pPr>
              <w:spacing w:after="0" w:before="0"/>
            </w:pPr>
            <w:r/>
            <w:r>
              <w:rPr>
                <w:rFonts w:ascii="Aptos" w:hAnsi="Aptos"/>
                <w:b/>
                <w:color w:val="FFFFFF"/>
                <w:sz w:val="15"/>
              </w:rPr>
              <w:t>Change / remaining evidence</w:t>
            </w:r>
          </w:p>
        </w:tc>
      </w:tr>
      <w:tr>
        <w:tc>
          <w:tcPr>
            <w:tcW w:type="dxa" w:w="1296"/>
            <w:vAlign w:val="center"/>
          </w:tcPr>
          <w:p>
            <w:pPr>
              <w:spacing w:after="0" w:before="0"/>
            </w:pPr>
            <w:r/>
            <w:r>
              <w:rPr>
                <w:rFonts w:ascii="Aptos" w:hAnsi="Aptos"/>
                <w:b w:val="0"/>
                <w:sz w:val="15"/>
              </w:rPr>
              <w:t>GAP-001</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5.2.2 / 5.2.3</w:t>
            </w:r>
          </w:p>
        </w:tc>
        <w:tc>
          <w:tcPr>
            <w:tcW w:type="dxa" w:w="4997"/>
            <w:vAlign w:val="center"/>
          </w:tcPr>
          <w:p>
            <w:pPr>
              <w:spacing w:after="0" w:before="0"/>
            </w:pPr>
            <w:r/>
            <w:r>
              <w:rPr>
                <w:rFonts w:ascii="Aptos" w:hAnsi="Aptos"/>
                <w:b w:val="0"/>
                <w:sz w:val="15"/>
              </w:rPr>
              <w:t>Clinical connector-route applicability; Open — Technical Input</w:t>
            </w:r>
          </w:p>
        </w:tc>
      </w:tr>
      <w:tr>
        <w:tc>
          <w:tcPr>
            <w:tcW w:type="dxa" w:w="1296"/>
            <w:vAlign w:val="center"/>
            <w:shd w:fill="F3F6F8"/>
          </w:tcPr>
          <w:p>
            <w:pPr>
              <w:spacing w:after="0" w:before="0"/>
            </w:pPr>
            <w:r/>
            <w:r>
              <w:rPr>
                <w:rFonts w:ascii="Aptos" w:hAnsi="Aptos"/>
                <w:b w:val="0"/>
                <w:sz w:val="15"/>
              </w:rPr>
              <w:t>GAP-002</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WI cross-reference and document revisions; Open — Approval</w:t>
            </w:r>
          </w:p>
        </w:tc>
      </w:tr>
      <w:tr>
        <w:tc>
          <w:tcPr>
            <w:tcW w:type="dxa" w:w="1296"/>
            <w:vAlign w:val="center"/>
          </w:tcPr>
          <w:p>
            <w:pPr>
              <w:spacing w:after="0" w:before="0"/>
            </w:pPr>
            <w:r/>
            <w:r>
              <w:rPr>
                <w:rFonts w:ascii="Aptos" w:hAnsi="Aptos"/>
                <w:b w:val="0"/>
                <w:sz w:val="15"/>
              </w:rPr>
              <w:t>GAP-003</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5.1 / 5.2 / 6 / 7 / 8 / 9 / 10 / 11</w:t>
            </w:r>
          </w:p>
        </w:tc>
        <w:tc>
          <w:tcPr>
            <w:tcW w:type="dxa" w:w="4997"/>
            <w:vAlign w:val="center"/>
          </w:tcPr>
          <w:p>
            <w:pPr>
              <w:spacing w:after="0" w:before="0"/>
            </w:pPr>
            <w:r/>
            <w:r>
              <w:rPr>
                <w:rFonts w:ascii="Aptos" w:hAnsi="Aptos"/>
                <w:b w:val="0"/>
                <w:sz w:val="15"/>
              </w:rPr>
              <w:t>Conflicting component configuration / BOM; Open — Technical Input</w:t>
            </w:r>
          </w:p>
        </w:tc>
      </w:tr>
      <w:tr>
        <w:tc>
          <w:tcPr>
            <w:tcW w:type="dxa" w:w="1296"/>
            <w:vAlign w:val="center"/>
            <w:shd w:fill="F3F6F8"/>
          </w:tcPr>
          <w:p>
            <w:pPr>
              <w:spacing w:after="0" w:before="0"/>
            </w:pPr>
            <w:r/>
            <w:r>
              <w:rPr>
                <w:rFonts w:ascii="Aptos" w:hAnsi="Aptos"/>
                <w:b w:val="0"/>
                <w:sz w:val="15"/>
              </w:rPr>
              <w:t>GAP-004</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Incoming component acceptance and sampling basis; Open — Technical Input</w:t>
            </w:r>
          </w:p>
        </w:tc>
      </w:tr>
      <w:tr>
        <w:tc>
          <w:tcPr>
            <w:tcW w:type="dxa" w:w="1296"/>
            <w:vAlign w:val="center"/>
          </w:tcPr>
          <w:p>
            <w:pPr>
              <w:spacing w:after="0" w:before="0"/>
            </w:pPr>
            <w:r/>
            <w:r>
              <w:rPr>
                <w:rFonts w:ascii="Aptos" w:hAnsi="Aptos"/>
                <w:b w:val="0"/>
                <w:sz w:val="15"/>
              </w:rPr>
              <w:t>GAP-005</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5.1 / 5.2 / 6 / 7 / 8 / 9 / 10 / 11</w:t>
            </w:r>
          </w:p>
        </w:tc>
        <w:tc>
          <w:tcPr>
            <w:tcW w:type="dxa" w:w="4997"/>
            <w:vAlign w:val="center"/>
          </w:tcPr>
          <w:p>
            <w:pPr>
              <w:spacing w:after="0" w:before="0"/>
            </w:pPr>
            <w:r/>
            <w:r>
              <w:rPr>
                <w:rFonts w:ascii="Aptos" w:hAnsi="Aptos"/>
                <w:b w:val="0"/>
                <w:sz w:val="15"/>
              </w:rPr>
              <w:t>Assembly lot and component traceability; Open — Evidence</w:t>
            </w:r>
          </w:p>
        </w:tc>
      </w:tr>
      <w:tr>
        <w:tc>
          <w:tcPr>
            <w:tcW w:type="dxa" w:w="1296"/>
            <w:vAlign w:val="center"/>
            <w:shd w:fill="F3F6F8"/>
          </w:tcPr>
          <w:p>
            <w:pPr>
              <w:spacing w:after="0" w:before="0"/>
            </w:pPr>
            <w:r/>
            <w:r>
              <w:rPr>
                <w:rFonts w:ascii="Aptos" w:hAnsi="Aptos"/>
                <w:b w:val="0"/>
                <w:sz w:val="15"/>
              </w:rPr>
              <w:t>GAP-006</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5.2.1 / 5.2.3 / Appendix C</w:t>
            </w:r>
          </w:p>
        </w:tc>
        <w:tc>
          <w:tcPr>
            <w:tcW w:type="dxa" w:w="4997"/>
            <w:vAlign w:val="center"/>
            <w:shd w:fill="F3F6F8"/>
          </w:tcPr>
          <w:p>
            <w:pPr>
              <w:spacing w:after="0" w:before="0"/>
            </w:pPr>
            <w:r/>
            <w:r>
              <w:rPr>
                <w:rFonts w:ascii="Aptos" w:hAnsi="Aptos"/>
                <w:b w:val="0"/>
                <w:sz w:val="15"/>
              </w:rPr>
              <w:t>Syringe internal surfaces / particulate checks; Open — Evidence</w:t>
            </w:r>
          </w:p>
        </w:tc>
      </w:tr>
      <w:tr>
        <w:tc>
          <w:tcPr>
            <w:tcW w:type="dxa" w:w="1296"/>
            <w:vAlign w:val="center"/>
          </w:tcPr>
          <w:p>
            <w:pPr>
              <w:spacing w:after="0" w:before="0"/>
            </w:pPr>
            <w:r/>
            <w:r>
              <w:rPr>
                <w:rFonts w:ascii="Aptos" w:hAnsi="Aptos"/>
                <w:b w:val="0"/>
                <w:sz w:val="15"/>
              </w:rPr>
              <w:t>GAP-007</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5.2.1 / 5.2.3 / Appendix C</w:t>
            </w:r>
          </w:p>
        </w:tc>
        <w:tc>
          <w:tcPr>
            <w:tcW w:type="dxa" w:w="4997"/>
            <w:vAlign w:val="center"/>
          </w:tcPr>
          <w:p>
            <w:pPr>
              <w:spacing w:after="0" w:before="0"/>
            </w:pPr>
            <w:r/>
            <w:r>
              <w:rPr>
                <w:rFonts w:ascii="Aptos" w:hAnsi="Aptos"/>
                <w:b w:val="0"/>
                <w:sz w:val="15"/>
              </w:rPr>
              <w:t>Syringe delivered-volume / graduation accuracy; Open — Evidence</w:t>
            </w:r>
          </w:p>
        </w:tc>
      </w:tr>
      <w:tr>
        <w:tc>
          <w:tcPr>
            <w:tcW w:type="dxa" w:w="1296"/>
            <w:vAlign w:val="center"/>
            <w:shd w:fill="F3F6F8"/>
          </w:tcPr>
          <w:p>
            <w:pPr>
              <w:spacing w:after="0" w:before="0"/>
            </w:pPr>
            <w:r/>
            <w:r>
              <w:rPr>
                <w:rFonts w:ascii="Aptos" w:hAnsi="Aptos"/>
                <w:b w:val="0"/>
                <w:sz w:val="15"/>
              </w:rPr>
              <w:t>GAP-008</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5.2.1 / 5.2.3 / Appendix C</w:t>
            </w:r>
          </w:p>
        </w:tc>
        <w:tc>
          <w:tcPr>
            <w:tcW w:type="dxa" w:w="4997"/>
            <w:vAlign w:val="center"/>
            <w:shd w:fill="F3F6F8"/>
          </w:tcPr>
          <w:p>
            <w:pPr>
              <w:spacing w:after="0" w:before="0"/>
            </w:pPr>
            <w:r/>
            <w:r>
              <w:rPr>
                <w:rFonts w:ascii="Aptos" w:hAnsi="Aptos"/>
                <w:b w:val="0"/>
                <w:sz w:val="15"/>
              </w:rPr>
              <w:t>Syringe scales, fiducial alignment and legibility; Open — Evidence</w:t>
            </w:r>
          </w:p>
        </w:tc>
      </w:tr>
      <w:tr>
        <w:tc>
          <w:tcPr>
            <w:tcW w:type="dxa" w:w="1296"/>
            <w:vAlign w:val="center"/>
          </w:tcPr>
          <w:p>
            <w:pPr>
              <w:spacing w:after="0" w:before="0"/>
            </w:pPr>
            <w:r/>
            <w:r>
              <w:rPr>
                <w:rFonts w:ascii="Aptos" w:hAnsi="Aptos"/>
                <w:b w:val="0"/>
                <w:sz w:val="15"/>
              </w:rPr>
              <w:t>GAP-009</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5.2.2 / 5.2.3</w:t>
            </w:r>
          </w:p>
        </w:tc>
        <w:tc>
          <w:tcPr>
            <w:tcW w:type="dxa" w:w="4997"/>
            <w:vAlign w:val="center"/>
          </w:tcPr>
          <w:p>
            <w:pPr>
              <w:spacing w:after="0" w:before="0"/>
            </w:pPr>
            <w:r/>
            <w:r>
              <w:rPr>
                <w:rFonts w:ascii="Aptos" w:hAnsi="Aptos"/>
                <w:b w:val="0"/>
                <w:sz w:val="15"/>
              </w:rPr>
              <w:t>Syringe nozzle configuration and correct connection; Open — Technical Input</w:t>
            </w:r>
          </w:p>
        </w:tc>
      </w:tr>
      <w:tr>
        <w:tc>
          <w:tcPr>
            <w:tcW w:type="dxa" w:w="1296"/>
            <w:vAlign w:val="center"/>
            <w:shd w:fill="F3F6F8"/>
          </w:tcPr>
          <w:p>
            <w:pPr>
              <w:spacing w:after="0" w:before="0"/>
            </w:pPr>
            <w:r/>
            <w:r>
              <w:rPr>
                <w:rFonts w:ascii="Aptos" w:hAnsi="Aptos"/>
                <w:b w:val="0"/>
                <w:sz w:val="15"/>
              </w:rPr>
              <w:t>GAP-010</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5.2.1 / 5.2.3 / Appendix C</w:t>
            </w:r>
          </w:p>
        </w:tc>
        <w:tc>
          <w:tcPr>
            <w:tcW w:type="dxa" w:w="4997"/>
            <w:vAlign w:val="center"/>
            <w:shd w:fill="F3F6F8"/>
          </w:tcPr>
          <w:p>
            <w:pPr>
              <w:spacing w:after="0" w:before="0"/>
            </w:pPr>
            <w:r/>
            <w:r>
              <w:rPr>
                <w:rFonts w:ascii="Aptos" w:hAnsi="Aptos"/>
                <w:b w:val="0"/>
                <w:sz w:val="15"/>
              </w:rPr>
              <w:t>Syringe dead-space design verification; Open — Evidence</w:t>
            </w:r>
          </w:p>
        </w:tc>
      </w:tr>
      <w:tr>
        <w:tc>
          <w:tcPr>
            <w:tcW w:type="dxa" w:w="1296"/>
            <w:vAlign w:val="center"/>
          </w:tcPr>
          <w:p>
            <w:pPr>
              <w:spacing w:after="0" w:before="0"/>
            </w:pPr>
            <w:r/>
            <w:r>
              <w:rPr>
                <w:rFonts w:ascii="Aptos" w:hAnsi="Aptos"/>
                <w:b w:val="0"/>
                <w:sz w:val="15"/>
              </w:rPr>
              <w:t>GAP-011</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5.2.1 / 5.2.3 / Appendix C</w:t>
            </w:r>
          </w:p>
        </w:tc>
        <w:tc>
          <w:tcPr>
            <w:tcW w:type="dxa" w:w="4997"/>
            <w:vAlign w:val="center"/>
          </w:tcPr>
          <w:p>
            <w:pPr>
              <w:spacing w:after="0" w:before="0"/>
            </w:pPr>
            <w:r/>
            <w:r>
              <w:rPr>
                <w:rFonts w:ascii="Aptos" w:hAnsi="Aptos"/>
                <w:b w:val="0"/>
                <w:sz w:val="15"/>
              </w:rPr>
              <w:t>Syringe piston air and water tightness; Open — Evidence</w:t>
            </w:r>
          </w:p>
        </w:tc>
      </w:tr>
      <w:tr>
        <w:tc>
          <w:tcPr>
            <w:tcW w:type="dxa" w:w="1296"/>
            <w:vAlign w:val="center"/>
            <w:shd w:fill="F3F6F8"/>
          </w:tcPr>
          <w:p>
            <w:pPr>
              <w:spacing w:after="0" w:before="0"/>
            </w:pPr>
            <w:r/>
            <w:r>
              <w:rPr>
                <w:rFonts w:ascii="Aptos" w:hAnsi="Aptos"/>
                <w:b w:val="0"/>
                <w:sz w:val="15"/>
              </w:rPr>
              <w:t>GAP-012</w:t>
            </w:r>
          </w:p>
        </w:tc>
        <w:tc>
          <w:tcPr>
            <w:tcW w:type="dxa" w:w="749"/>
            <w:vAlign w:val="center"/>
            <w:shd w:fill="F3F6F8"/>
          </w:tcPr>
          <w:p>
            <w:pPr>
              <w:spacing w:after="0" w:before="0"/>
            </w:pPr>
            <w:r/>
            <w:r>
              <w:rPr>
                <w:rFonts w:ascii="Aptos" w:hAnsi="Aptos"/>
                <w:b w:val="0"/>
                <w:sz w:val="15"/>
              </w:rPr>
              <w:t>P1</w:t>
            </w:r>
          </w:p>
        </w:tc>
        <w:tc>
          <w:tcPr>
            <w:tcW w:type="dxa" w:w="2678"/>
            <w:vAlign w:val="center"/>
            <w:shd w:fill="F3F6F8"/>
          </w:tcPr>
          <w:p>
            <w:pPr>
              <w:spacing w:after="0" w:before="0"/>
            </w:pPr>
            <w:r/>
            <w:r>
              <w:rPr>
                <w:rFonts w:ascii="Aptos" w:hAnsi="Aptos"/>
                <w:b w:val="0"/>
                <w:sz w:val="15"/>
              </w:rPr>
              <w:t>5.2.1 / 5.2.3 / Appendix C</w:t>
            </w:r>
          </w:p>
        </w:tc>
        <w:tc>
          <w:tcPr>
            <w:tcW w:type="dxa" w:w="4997"/>
            <w:vAlign w:val="center"/>
            <w:shd w:fill="F3F6F8"/>
          </w:tcPr>
          <w:p>
            <w:pPr>
              <w:spacing w:after="0" w:before="0"/>
            </w:pPr>
            <w:r/>
            <w:r>
              <w:rPr>
                <w:rFonts w:ascii="Aptos" w:hAnsi="Aptos"/>
                <w:b w:val="0"/>
                <w:sz w:val="15"/>
              </w:rPr>
              <w:t>Syringe extractables and chemical performance; Open — Evidence</w:t>
            </w:r>
          </w:p>
        </w:tc>
      </w:tr>
      <w:tr>
        <w:tc>
          <w:tcPr>
            <w:tcW w:type="dxa" w:w="1296"/>
            <w:vAlign w:val="center"/>
          </w:tcPr>
          <w:p>
            <w:pPr>
              <w:spacing w:after="0" w:before="0"/>
            </w:pPr>
            <w:r/>
            <w:r>
              <w:rPr>
                <w:rFonts w:ascii="Aptos" w:hAnsi="Aptos"/>
                <w:b w:val="0"/>
                <w:sz w:val="15"/>
              </w:rPr>
              <w:t>GAP-013</w:t>
            </w:r>
          </w:p>
        </w:tc>
        <w:tc>
          <w:tcPr>
            <w:tcW w:type="dxa" w:w="749"/>
            <w:vAlign w:val="center"/>
          </w:tcPr>
          <w:p>
            <w:pPr>
              <w:spacing w:after="0" w:before="0"/>
            </w:pPr>
            <w:r/>
            <w:r>
              <w:rPr>
                <w:rFonts w:ascii="Aptos" w:hAnsi="Aptos"/>
                <w:b w:val="0"/>
                <w:sz w:val="15"/>
              </w:rPr>
              <w:t>P2</w:t>
            </w:r>
          </w:p>
        </w:tc>
        <w:tc>
          <w:tcPr>
            <w:tcW w:type="dxa" w:w="2678"/>
            <w:vAlign w:val="center"/>
          </w:tcPr>
          <w:p>
            <w:pPr>
              <w:spacing w:after="0" w:before="0"/>
            </w:pPr>
            <w:r/>
            <w:r>
              <w:rPr>
                <w:rFonts w:ascii="Aptos" w:hAnsi="Aptos"/>
                <w:b w:val="0"/>
                <w:sz w:val="15"/>
              </w:rPr>
              <w:t>5.2.1 / 5.2.3 / Appendix C</w:t>
            </w:r>
          </w:p>
        </w:tc>
        <w:tc>
          <w:tcPr>
            <w:tcW w:type="dxa" w:w="4997"/>
            <w:vAlign w:val="center"/>
          </w:tcPr>
          <w:p>
            <w:pPr>
              <w:spacing w:after="0" w:before="0"/>
            </w:pPr>
            <w:r/>
            <w:r>
              <w:rPr>
                <w:rFonts w:ascii="Aptos" w:hAnsi="Aptos"/>
                <w:b w:val="0"/>
                <w:sz w:val="15"/>
              </w:rPr>
              <w:t>Syringe lubricant limits and process evidence; Open — Evidence</w:t>
            </w:r>
          </w:p>
        </w:tc>
      </w:tr>
      <w:tr>
        <w:tc>
          <w:tcPr>
            <w:tcW w:type="dxa" w:w="1296"/>
            <w:vAlign w:val="center"/>
            <w:shd w:fill="F3F6F8"/>
          </w:tcPr>
          <w:p>
            <w:pPr>
              <w:spacing w:after="0" w:before="0"/>
            </w:pPr>
            <w:r/>
            <w:r>
              <w:rPr>
                <w:rFonts w:ascii="Aptos" w:hAnsi="Aptos"/>
                <w:b w:val="0"/>
                <w:sz w:val="15"/>
              </w:rPr>
              <w:t>GAP-014</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5.2.1 / 5.2.3 / Appendix C</w:t>
            </w:r>
          </w:p>
        </w:tc>
        <w:tc>
          <w:tcPr>
            <w:tcW w:type="dxa" w:w="4997"/>
            <w:vAlign w:val="center"/>
            <w:shd w:fill="F3F6F8"/>
          </w:tcPr>
          <w:p>
            <w:pPr>
              <w:spacing w:after="0" w:before="0"/>
            </w:pPr>
            <w:r/>
            <w:r>
              <w:rPr>
                <w:rFonts w:ascii="Aptos" w:hAnsi="Aptos"/>
                <w:b w:val="0"/>
                <w:sz w:val="15"/>
              </w:rPr>
              <w:t>Piston retention, fit, flanges and dimensional safety; Open — Evidence</w:t>
            </w:r>
          </w:p>
        </w:tc>
      </w:tr>
      <w:tr>
        <w:tc>
          <w:tcPr>
            <w:tcW w:type="dxa" w:w="1296"/>
            <w:vAlign w:val="center"/>
          </w:tcPr>
          <w:p>
            <w:pPr>
              <w:spacing w:after="0" w:before="0"/>
            </w:pPr>
            <w:r/>
            <w:r>
              <w:rPr>
                <w:rFonts w:ascii="Aptos" w:hAnsi="Aptos"/>
                <w:b w:val="0"/>
                <w:sz w:val="15"/>
              </w:rPr>
              <w:t>GAP-015</w:t>
            </w:r>
          </w:p>
        </w:tc>
        <w:tc>
          <w:tcPr>
            <w:tcW w:type="dxa" w:w="749"/>
            <w:vAlign w:val="center"/>
          </w:tcPr>
          <w:p>
            <w:pPr>
              <w:spacing w:after="0" w:before="0"/>
            </w:pPr>
            <w:r/>
            <w:r>
              <w:rPr>
                <w:rFonts w:ascii="Aptos" w:hAnsi="Aptos"/>
                <w:b w:val="0"/>
                <w:sz w:val="15"/>
              </w:rPr>
              <w:t>P2</w:t>
            </w:r>
          </w:p>
        </w:tc>
        <w:tc>
          <w:tcPr>
            <w:tcW w:type="dxa" w:w="2678"/>
            <w:vAlign w:val="center"/>
          </w:tcPr>
          <w:p>
            <w:pPr>
              <w:spacing w:after="0" w:before="0"/>
            </w:pPr>
            <w:r/>
            <w:r>
              <w:rPr>
                <w:rFonts w:ascii="Aptos" w:hAnsi="Aptos"/>
                <w:b w:val="0"/>
                <w:sz w:val="15"/>
              </w:rPr>
              <w:t>5.2.1 / 5.2.3 / Appendix C</w:t>
            </w:r>
          </w:p>
        </w:tc>
        <w:tc>
          <w:tcPr>
            <w:tcW w:type="dxa" w:w="4997"/>
            <w:vAlign w:val="center"/>
          </w:tcPr>
          <w:p>
            <w:pPr>
              <w:spacing w:after="0" w:before="0"/>
            </w:pPr>
            <w:r/>
            <w:r>
              <w:rPr>
                <w:rFonts w:ascii="Aptos" w:hAnsi="Aptos"/>
                <w:b w:val="0"/>
                <w:sz w:val="15"/>
              </w:rPr>
              <w:t>Syringe-specific package / information applicability; Open — Technical Input</w:t>
            </w:r>
          </w:p>
        </w:tc>
      </w:tr>
      <w:tr>
        <w:tc>
          <w:tcPr>
            <w:tcW w:type="dxa" w:w="1296"/>
            <w:vAlign w:val="center"/>
            <w:shd w:fill="F3F6F8"/>
          </w:tcPr>
          <w:p>
            <w:pPr>
              <w:spacing w:after="0" w:before="0"/>
            </w:pPr>
            <w:r/>
            <w:r>
              <w:rPr>
                <w:rFonts w:ascii="Aptos" w:hAnsi="Aptos"/>
                <w:b w:val="0"/>
                <w:sz w:val="15"/>
              </w:rPr>
              <w:t>GAP-016</w:t>
            </w:r>
          </w:p>
        </w:tc>
        <w:tc>
          <w:tcPr>
            <w:tcW w:type="dxa" w:w="749"/>
            <w:vAlign w:val="center"/>
            <w:shd w:fill="F3F6F8"/>
          </w:tcPr>
          <w:p>
            <w:pPr>
              <w:spacing w:after="0" w:before="0"/>
            </w:pPr>
            <w:r/>
            <w:r>
              <w:rPr>
                <w:rFonts w:ascii="Aptos" w:hAnsi="Aptos"/>
                <w:b w:val="0"/>
                <w:sz w:val="15"/>
              </w:rPr>
              <w:t>P1</w:t>
            </w:r>
          </w:p>
        </w:tc>
        <w:tc>
          <w:tcPr>
            <w:tcW w:type="dxa" w:w="2678"/>
            <w:vAlign w:val="center"/>
            <w:shd w:fill="F3F6F8"/>
          </w:tcPr>
          <w:p>
            <w:pPr>
              <w:spacing w:after="0" w:before="0"/>
            </w:pPr>
            <w:r/>
            <w:r>
              <w:rPr>
                <w:rFonts w:ascii="Aptos" w:hAnsi="Aptos"/>
                <w:b w:val="0"/>
                <w:sz w:val="15"/>
              </w:rPr>
              <w:t>5.2.2 / 5.2.3</w:t>
            </w:r>
          </w:p>
        </w:tc>
        <w:tc>
          <w:tcPr>
            <w:tcW w:type="dxa" w:w="4997"/>
            <w:vAlign w:val="center"/>
            <w:shd w:fill="F3F6F8"/>
          </w:tcPr>
          <w:p>
            <w:pPr>
              <w:spacing w:after="0" w:before="0"/>
            </w:pPr>
            <w:r/>
            <w:r>
              <w:rPr>
                <w:rFonts w:ascii="Aptos" w:hAnsi="Aptos"/>
                <w:b w:val="0"/>
                <w:sz w:val="15"/>
              </w:rPr>
              <w:t>Intravascular/hypodermic connector geometry and variant; Open — Technical Input</w:t>
            </w:r>
          </w:p>
        </w:tc>
      </w:tr>
      <w:tr>
        <w:tc>
          <w:tcPr>
            <w:tcW w:type="dxa" w:w="1296"/>
            <w:vAlign w:val="center"/>
          </w:tcPr>
          <w:p>
            <w:pPr>
              <w:spacing w:after="0" w:before="0"/>
            </w:pPr>
            <w:r/>
            <w:r>
              <w:rPr>
                <w:rFonts w:ascii="Aptos" w:hAnsi="Aptos"/>
                <w:b w:val="0"/>
                <w:sz w:val="15"/>
              </w:rPr>
              <w:t>GAP-017</w:t>
            </w:r>
          </w:p>
        </w:tc>
        <w:tc>
          <w:tcPr>
            <w:tcW w:type="dxa" w:w="749"/>
            <w:vAlign w:val="center"/>
          </w:tcPr>
          <w:p>
            <w:pPr>
              <w:spacing w:after="0" w:before="0"/>
            </w:pPr>
            <w:r/>
            <w:r>
              <w:rPr>
                <w:rFonts w:ascii="Aptos" w:hAnsi="Aptos"/>
                <w:b w:val="0"/>
                <w:sz w:val="15"/>
              </w:rPr>
              <w:t>P2</w:t>
            </w:r>
          </w:p>
        </w:tc>
        <w:tc>
          <w:tcPr>
            <w:tcW w:type="dxa" w:w="2678"/>
            <w:vAlign w:val="center"/>
          </w:tcPr>
          <w:p>
            <w:pPr>
              <w:spacing w:after="0" w:before="0"/>
            </w:pPr>
            <w:r/>
            <w:r>
              <w:rPr>
                <w:rFonts w:ascii="Aptos" w:hAnsi="Aptos"/>
                <w:b w:val="0"/>
                <w:sz w:val="15"/>
              </w:rPr>
              <w:t>5.2.2 / 5.2.3</w:t>
            </w:r>
          </w:p>
        </w:tc>
        <w:tc>
          <w:tcPr>
            <w:tcW w:type="dxa" w:w="4997"/>
            <w:vAlign w:val="center"/>
          </w:tcPr>
          <w:p>
            <w:pPr>
              <w:spacing w:after="0" w:before="0"/>
            </w:pPr>
            <w:r/>
            <w:r>
              <w:rPr>
                <w:rFonts w:ascii="Aptos" w:hAnsi="Aptos"/>
                <w:b w:val="0"/>
                <w:sz w:val="15"/>
              </w:rPr>
              <w:t>Luer material modulus and type-test control; Open — Evidence</w:t>
            </w:r>
          </w:p>
        </w:tc>
      </w:tr>
      <w:tr>
        <w:tc>
          <w:tcPr>
            <w:tcW w:type="dxa" w:w="1296"/>
            <w:vAlign w:val="center"/>
            <w:shd w:fill="F3F6F8"/>
          </w:tcPr>
          <w:p>
            <w:pPr>
              <w:spacing w:after="0" w:before="0"/>
            </w:pPr>
            <w:r/>
            <w:r>
              <w:rPr>
                <w:rFonts w:ascii="Aptos" w:hAnsi="Aptos"/>
                <w:b w:val="0"/>
                <w:sz w:val="15"/>
              </w:rPr>
              <w:t>GAP-018</w:t>
            </w:r>
          </w:p>
        </w:tc>
        <w:tc>
          <w:tcPr>
            <w:tcW w:type="dxa" w:w="749"/>
            <w:vAlign w:val="center"/>
            <w:shd w:fill="F3F6F8"/>
          </w:tcPr>
          <w:p>
            <w:pPr>
              <w:spacing w:after="0" w:before="0"/>
            </w:pPr>
            <w:r/>
            <w:r>
              <w:rPr>
                <w:rFonts w:ascii="Aptos" w:hAnsi="Aptos"/>
                <w:b w:val="0"/>
                <w:sz w:val="15"/>
              </w:rPr>
              <w:t>P1</w:t>
            </w:r>
          </w:p>
        </w:tc>
        <w:tc>
          <w:tcPr>
            <w:tcW w:type="dxa" w:w="2678"/>
            <w:vAlign w:val="center"/>
            <w:shd w:fill="F3F6F8"/>
          </w:tcPr>
          <w:p>
            <w:pPr>
              <w:spacing w:after="0" w:before="0"/>
            </w:pPr>
            <w:r/>
            <w:r>
              <w:rPr>
                <w:rFonts w:ascii="Aptos" w:hAnsi="Aptos"/>
                <w:b w:val="0"/>
                <w:sz w:val="15"/>
              </w:rPr>
              <w:t>5.2.2 / 5.2.3</w:t>
            </w:r>
          </w:p>
        </w:tc>
        <w:tc>
          <w:tcPr>
            <w:tcW w:type="dxa" w:w="4997"/>
            <w:vAlign w:val="center"/>
            <w:shd w:fill="F3F6F8"/>
          </w:tcPr>
          <w:p>
            <w:pPr>
              <w:spacing w:after="0" w:before="0"/>
            </w:pPr>
            <w:r/>
            <w:r>
              <w:rPr>
                <w:rFonts w:ascii="Aptos" w:hAnsi="Aptos"/>
                <w:b w:val="0"/>
                <w:sz w:val="15"/>
              </w:rPr>
              <w:t>Luer fluid leakage evidence; Open — Evidence</w:t>
            </w:r>
          </w:p>
        </w:tc>
      </w:tr>
      <w:tr>
        <w:tc>
          <w:tcPr>
            <w:tcW w:type="dxa" w:w="1296"/>
            <w:vAlign w:val="center"/>
          </w:tcPr>
          <w:p>
            <w:pPr>
              <w:spacing w:after="0" w:before="0"/>
            </w:pPr>
            <w:r/>
            <w:r>
              <w:rPr>
                <w:rFonts w:ascii="Aptos" w:hAnsi="Aptos"/>
                <w:b w:val="0"/>
                <w:sz w:val="15"/>
              </w:rPr>
              <w:t>GAP-019</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5.2.2 / 5.2.3</w:t>
            </w:r>
          </w:p>
        </w:tc>
        <w:tc>
          <w:tcPr>
            <w:tcW w:type="dxa" w:w="4997"/>
            <w:vAlign w:val="center"/>
          </w:tcPr>
          <w:p>
            <w:pPr>
              <w:spacing w:after="0" w:before="0"/>
            </w:pPr>
            <w:r/>
            <w:r>
              <w:rPr>
                <w:rFonts w:ascii="Aptos" w:hAnsi="Aptos"/>
                <w:b w:val="0"/>
                <w:sz w:val="15"/>
              </w:rPr>
              <w:t>Luer sub-atmospheric air leakage; Open — Evidence</w:t>
            </w:r>
          </w:p>
        </w:tc>
      </w:tr>
      <w:tr>
        <w:tc>
          <w:tcPr>
            <w:tcW w:type="dxa" w:w="1296"/>
            <w:vAlign w:val="center"/>
            <w:shd w:fill="F3F6F8"/>
          </w:tcPr>
          <w:p>
            <w:pPr>
              <w:spacing w:after="0" w:before="0"/>
            </w:pPr>
            <w:r/>
            <w:r>
              <w:rPr>
                <w:rFonts w:ascii="Aptos" w:hAnsi="Aptos"/>
                <w:b w:val="0"/>
                <w:sz w:val="15"/>
              </w:rPr>
              <w:t>GAP-020</w:t>
            </w:r>
          </w:p>
        </w:tc>
        <w:tc>
          <w:tcPr>
            <w:tcW w:type="dxa" w:w="749"/>
            <w:vAlign w:val="center"/>
            <w:shd w:fill="F3F6F8"/>
          </w:tcPr>
          <w:p>
            <w:pPr>
              <w:spacing w:after="0" w:before="0"/>
            </w:pPr>
            <w:r/>
            <w:r>
              <w:rPr>
                <w:rFonts w:ascii="Aptos" w:hAnsi="Aptos"/>
                <w:b w:val="0"/>
                <w:sz w:val="15"/>
              </w:rPr>
              <w:t>P1</w:t>
            </w:r>
          </w:p>
        </w:tc>
        <w:tc>
          <w:tcPr>
            <w:tcW w:type="dxa" w:w="2678"/>
            <w:vAlign w:val="center"/>
            <w:shd w:fill="F3F6F8"/>
          </w:tcPr>
          <w:p>
            <w:pPr>
              <w:spacing w:after="0" w:before="0"/>
            </w:pPr>
            <w:r/>
            <w:r>
              <w:rPr>
                <w:rFonts w:ascii="Aptos" w:hAnsi="Aptos"/>
                <w:b w:val="0"/>
                <w:sz w:val="15"/>
              </w:rPr>
              <w:t>5.2.2 / 5.2.3</w:t>
            </w:r>
          </w:p>
        </w:tc>
        <w:tc>
          <w:tcPr>
            <w:tcW w:type="dxa" w:w="4997"/>
            <w:vAlign w:val="center"/>
            <w:shd w:fill="F3F6F8"/>
          </w:tcPr>
          <w:p>
            <w:pPr>
              <w:spacing w:after="0" w:before="0"/>
            </w:pPr>
            <w:r/>
            <w:r>
              <w:rPr>
                <w:rFonts w:ascii="Aptos" w:hAnsi="Aptos"/>
                <w:b w:val="0"/>
                <w:sz w:val="15"/>
              </w:rPr>
              <w:t>Luer stress cracking after loading; Open — Evidence</w:t>
            </w:r>
          </w:p>
        </w:tc>
      </w:tr>
      <w:tr>
        <w:tc>
          <w:tcPr>
            <w:tcW w:type="dxa" w:w="1296"/>
            <w:vAlign w:val="center"/>
          </w:tcPr>
          <w:p>
            <w:pPr>
              <w:spacing w:after="0" w:before="0"/>
            </w:pPr>
            <w:r/>
            <w:r>
              <w:rPr>
                <w:rFonts w:ascii="Aptos" w:hAnsi="Aptos"/>
                <w:b w:val="0"/>
                <w:sz w:val="15"/>
              </w:rPr>
              <w:t>GAP-021</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5.2.2 / 5.2.3</w:t>
            </w:r>
          </w:p>
        </w:tc>
        <w:tc>
          <w:tcPr>
            <w:tcW w:type="dxa" w:w="4997"/>
            <w:vAlign w:val="center"/>
          </w:tcPr>
          <w:p>
            <w:pPr>
              <w:spacing w:after="0" w:before="0"/>
            </w:pPr>
            <w:r/>
            <w:r>
              <w:rPr>
                <w:rFonts w:ascii="Aptos" w:hAnsi="Aptos"/>
                <w:b w:val="0"/>
                <w:sz w:val="15"/>
              </w:rPr>
              <w:t>Luer mechanical connection integrity; Open — Evidence</w:t>
            </w:r>
          </w:p>
        </w:tc>
      </w:tr>
      <w:tr>
        <w:tc>
          <w:tcPr>
            <w:tcW w:type="dxa" w:w="1296"/>
            <w:vAlign w:val="center"/>
            <w:shd w:fill="F3F6F8"/>
          </w:tcPr>
          <w:p>
            <w:pPr>
              <w:spacing w:after="0" w:before="0"/>
            </w:pPr>
            <w:r/>
            <w:r>
              <w:rPr>
                <w:rFonts w:ascii="Aptos" w:hAnsi="Aptos"/>
                <w:b w:val="0"/>
                <w:sz w:val="15"/>
              </w:rPr>
              <w:t>GAP-022</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Non-measurable in-process component criteria; Open — Technical Input</w:t>
            </w:r>
          </w:p>
        </w:tc>
      </w:tr>
      <w:tr>
        <w:tc>
          <w:tcPr>
            <w:tcW w:type="dxa" w:w="1296"/>
            <w:vAlign w:val="center"/>
          </w:tcPr>
          <w:p>
            <w:pPr>
              <w:spacing w:after="0" w:before="0"/>
            </w:pPr>
            <w:r/>
            <w:r>
              <w:rPr>
                <w:rFonts w:ascii="Aptos" w:hAnsi="Aptos"/>
                <w:b w:val="0"/>
                <w:sz w:val="15"/>
              </w:rPr>
              <w:t>GAP-023</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5.1 / 5.2 / 6 / 7 / 8 / 9 / 10 / 11</w:t>
            </w:r>
          </w:p>
        </w:tc>
        <w:tc>
          <w:tcPr>
            <w:tcW w:type="dxa" w:w="4997"/>
            <w:vAlign w:val="center"/>
          </w:tcPr>
          <w:p>
            <w:pPr>
              <w:spacing w:after="0" w:before="0"/>
            </w:pPr>
            <w:r/>
            <w:r>
              <w:rPr>
                <w:rFonts w:ascii="Aptos" w:hAnsi="Aptos"/>
                <w:b w:val="0"/>
                <w:sz w:val="15"/>
              </w:rPr>
              <w:t>Manual pouch sealing parameter approval and evidence; Open — Technical Input</w:t>
            </w:r>
          </w:p>
        </w:tc>
      </w:tr>
      <w:tr>
        <w:tc>
          <w:tcPr>
            <w:tcW w:type="dxa" w:w="1296"/>
            <w:vAlign w:val="center"/>
            <w:shd w:fill="F3F6F8"/>
          </w:tcPr>
          <w:p>
            <w:pPr>
              <w:spacing w:after="0" w:before="0"/>
            </w:pPr>
            <w:r/>
            <w:r>
              <w:rPr>
                <w:rFonts w:ascii="Aptos" w:hAnsi="Aptos"/>
                <w:b w:val="0"/>
                <w:sz w:val="15"/>
              </w:rPr>
              <w:t>GAP-024</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Packaging and label requirements ambiguity; Open — Approval</w:t>
            </w:r>
          </w:p>
        </w:tc>
      </w:tr>
      <w:tr>
        <w:tc>
          <w:tcPr>
            <w:tcW w:type="dxa" w:w="1296"/>
            <w:vAlign w:val="center"/>
          </w:tcPr>
          <w:p>
            <w:pPr>
              <w:spacing w:after="0" w:before="0"/>
            </w:pPr>
            <w:r/>
            <w:r>
              <w:rPr>
                <w:rFonts w:ascii="Aptos" w:hAnsi="Aptos"/>
                <w:b w:val="0"/>
                <w:sz w:val="15"/>
              </w:rPr>
              <w:t>GAP-025</w:t>
            </w:r>
          </w:p>
        </w:tc>
        <w:tc>
          <w:tcPr>
            <w:tcW w:type="dxa" w:w="749"/>
            <w:vAlign w:val="center"/>
          </w:tcPr>
          <w:p>
            <w:pPr>
              <w:spacing w:after="0" w:before="0"/>
            </w:pPr>
            <w:r/>
            <w:r>
              <w:rPr>
                <w:rFonts w:ascii="Aptos" w:hAnsi="Aptos"/>
                <w:b w:val="0"/>
                <w:sz w:val="15"/>
              </w:rPr>
              <w:t>P2</w:t>
            </w:r>
          </w:p>
        </w:tc>
        <w:tc>
          <w:tcPr>
            <w:tcW w:type="dxa" w:w="2678"/>
            <w:vAlign w:val="center"/>
          </w:tcPr>
          <w:p>
            <w:pPr>
              <w:spacing w:after="0" w:before="0"/>
            </w:pPr>
            <w:r/>
            <w:r>
              <w:rPr>
                <w:rFonts w:ascii="Aptos" w:hAnsi="Aptos"/>
                <w:b w:val="0"/>
                <w:sz w:val="15"/>
              </w:rPr>
              <w:t>5.1 / 5.2 / 6 / 7 / 8 / 9 / 10 / 11</w:t>
            </w:r>
          </w:p>
        </w:tc>
        <w:tc>
          <w:tcPr>
            <w:tcW w:type="dxa" w:w="4997"/>
            <w:vAlign w:val="center"/>
          </w:tcPr>
          <w:p>
            <w:pPr>
              <w:spacing w:after="0" w:before="0"/>
            </w:pPr>
            <w:r/>
            <w:r>
              <w:rPr>
                <w:rFonts w:ascii="Aptos" w:hAnsi="Aptos"/>
                <w:b w:val="0"/>
                <w:sz w:val="15"/>
              </w:rPr>
              <w:t>Povidone iodine shelf-life reference; Open — Technical Input</w:t>
            </w:r>
          </w:p>
        </w:tc>
      </w:tr>
      <w:tr>
        <w:tc>
          <w:tcPr>
            <w:tcW w:type="dxa" w:w="1296"/>
            <w:vAlign w:val="center"/>
            <w:shd w:fill="F3F6F8"/>
          </w:tcPr>
          <w:p>
            <w:pPr>
              <w:spacing w:after="0" w:before="0"/>
            </w:pPr>
            <w:r/>
            <w:r>
              <w:rPr>
                <w:rFonts w:ascii="Aptos" w:hAnsi="Aptos"/>
                <w:b w:val="0"/>
                <w:sz w:val="15"/>
              </w:rPr>
              <w:t>GAP-026</w:t>
            </w:r>
          </w:p>
        </w:tc>
        <w:tc>
          <w:tcPr>
            <w:tcW w:type="dxa" w:w="749"/>
            <w:vAlign w:val="center"/>
            <w:shd w:fill="F3F6F8"/>
          </w:tcPr>
          <w:p>
            <w:pPr>
              <w:spacing w:after="0" w:before="0"/>
            </w:pPr>
            <w:r/>
            <w:r>
              <w:rPr>
                <w:rFonts w:ascii="Aptos" w:hAnsi="Aptos"/>
                <w:b w:val="0"/>
                <w:sz w:val="15"/>
              </w:rPr>
              <w:t>P1</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Nonconforming kit handling and result dispositions; Open — Evidence</w:t>
            </w:r>
          </w:p>
        </w:tc>
      </w:tr>
      <w:tr>
        <w:tc>
          <w:tcPr>
            <w:tcW w:type="dxa" w:w="1296"/>
            <w:vAlign w:val="center"/>
          </w:tcPr>
          <w:p>
            <w:pPr>
              <w:spacing w:after="0" w:before="0"/>
            </w:pPr>
            <w:r/>
            <w:r>
              <w:rPr>
                <w:rFonts w:ascii="Aptos" w:hAnsi="Aptos"/>
                <w:b w:val="0"/>
                <w:sz w:val="15"/>
              </w:rPr>
              <w:t>GAP-027</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5.1 / 5.2 / 6 / 7 / 8 / 9 / 10 / 11</w:t>
            </w:r>
          </w:p>
        </w:tc>
        <w:tc>
          <w:tcPr>
            <w:tcW w:type="dxa" w:w="4997"/>
            <w:vAlign w:val="center"/>
          </w:tcPr>
          <w:p>
            <w:pPr>
              <w:spacing w:after="0" w:before="0"/>
            </w:pPr>
            <w:r/>
            <w:r>
              <w:rPr>
                <w:rFonts w:ascii="Aptos" w:hAnsi="Aptos"/>
                <w:b w:val="0"/>
                <w:sz w:val="15"/>
              </w:rPr>
              <w:t>Sterilization and final release evidence linkage; Open — Evidence</w:t>
            </w:r>
          </w:p>
        </w:tc>
      </w:tr>
      <w:tr>
        <w:tc>
          <w:tcPr>
            <w:tcW w:type="dxa" w:w="1296"/>
            <w:vAlign w:val="center"/>
            <w:shd w:fill="F3F6F8"/>
          </w:tcPr>
          <w:p>
            <w:pPr>
              <w:spacing w:after="0" w:before="0"/>
            </w:pPr>
            <w:r/>
            <w:r>
              <w:rPr>
                <w:rFonts w:ascii="Aptos" w:hAnsi="Aptos"/>
                <w:b w:val="0"/>
                <w:sz w:val="15"/>
              </w:rPr>
              <w:t>GAP-028</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Missing referenced source inspection / test records; Open — Evidence</w:t>
            </w:r>
          </w:p>
        </w:tc>
      </w:tr>
      <w:tr>
        <w:tc>
          <w:tcPr>
            <w:tcW w:type="dxa" w:w="1296"/>
            <w:vAlign w:val="center"/>
          </w:tcPr>
          <w:p>
            <w:pPr>
              <w:spacing w:after="0" w:before="0"/>
            </w:pPr>
            <w:r/>
            <w:r>
              <w:rPr>
                <w:rFonts w:ascii="Aptos" w:hAnsi="Aptos"/>
                <w:b w:val="0"/>
                <w:sz w:val="15"/>
              </w:rPr>
              <w:t>GAP-029</w:t>
            </w:r>
          </w:p>
        </w:tc>
        <w:tc>
          <w:tcPr>
            <w:tcW w:type="dxa" w:w="749"/>
            <w:vAlign w:val="center"/>
          </w:tcPr>
          <w:p>
            <w:pPr>
              <w:spacing w:after="0" w:before="0"/>
            </w:pPr>
            <w:r/>
            <w:r>
              <w:rPr>
                <w:rFonts w:ascii="Aptos" w:hAnsi="Aptos"/>
                <w:b w:val="0"/>
                <w:sz w:val="15"/>
              </w:rPr>
              <w:t>P1</w:t>
            </w:r>
          </w:p>
        </w:tc>
        <w:tc>
          <w:tcPr>
            <w:tcW w:type="dxa" w:w="2678"/>
            <w:vAlign w:val="center"/>
          </w:tcPr>
          <w:p>
            <w:pPr>
              <w:spacing w:after="0" w:before="0"/>
            </w:pPr>
            <w:r/>
            <w:r>
              <w:rPr>
                <w:rFonts w:ascii="Aptos" w:hAnsi="Aptos"/>
                <w:b w:val="0"/>
                <w:sz w:val="15"/>
              </w:rPr>
              <w:t>5.2.1 / 5.2.3 / Appendix C</w:t>
            </w:r>
          </w:p>
        </w:tc>
        <w:tc>
          <w:tcPr>
            <w:tcW w:type="dxa" w:w="4997"/>
            <w:vAlign w:val="center"/>
          </w:tcPr>
          <w:p>
            <w:pPr>
              <w:spacing w:after="0" w:before="0"/>
            </w:pPr>
            <w:r/>
            <w:r>
              <w:rPr>
                <w:rFonts w:ascii="Aptos" w:hAnsi="Aptos"/>
                <w:b w:val="0"/>
                <w:sz w:val="15"/>
              </w:rPr>
              <w:t>Loss-of-resistance syringe applicability and clinical function; Open — Technical Input</w:t>
            </w:r>
          </w:p>
        </w:tc>
      </w:tr>
      <w:tr>
        <w:tc>
          <w:tcPr>
            <w:tcW w:type="dxa" w:w="1296"/>
            <w:vAlign w:val="center"/>
            <w:shd w:fill="F3F6F8"/>
          </w:tcPr>
          <w:p>
            <w:pPr>
              <w:spacing w:after="0" w:before="0"/>
            </w:pPr>
            <w:r/>
            <w:r>
              <w:rPr>
                <w:rFonts w:ascii="Aptos" w:hAnsi="Aptos"/>
                <w:b w:val="0"/>
                <w:sz w:val="15"/>
              </w:rPr>
              <w:t>GAP-030</w:t>
            </w:r>
          </w:p>
        </w:tc>
        <w:tc>
          <w:tcPr>
            <w:tcW w:type="dxa" w:w="749"/>
            <w:vAlign w:val="center"/>
            <w:shd w:fill="F3F6F8"/>
          </w:tcPr>
          <w:p>
            <w:pPr>
              <w:spacing w:after="0" w:before="0"/>
            </w:pPr>
            <w:r/>
            <w:r>
              <w:rPr>
                <w:rFonts w:ascii="Aptos" w:hAnsi="Aptos"/>
                <w:b w:val="0"/>
                <w:sz w:val="15"/>
              </w:rPr>
              <w:t>P2</w:t>
            </w:r>
          </w:p>
        </w:tc>
        <w:tc>
          <w:tcPr>
            <w:tcW w:type="dxa" w:w="2678"/>
            <w:vAlign w:val="center"/>
            <w:shd w:fill="F3F6F8"/>
          </w:tcPr>
          <w:p>
            <w:pPr>
              <w:spacing w:after="0" w:before="0"/>
            </w:pPr>
            <w:r/>
            <w:r>
              <w:rPr>
                <w:rFonts w:ascii="Aptos" w:hAnsi="Aptos"/>
                <w:b w:val="0"/>
                <w:sz w:val="15"/>
              </w:rPr>
              <w:t>5.1 / 5.2 / 6 / 7 / 8 / 9 / 10 / 11</w:t>
            </w:r>
          </w:p>
        </w:tc>
        <w:tc>
          <w:tcPr>
            <w:tcW w:type="dxa" w:w="4997"/>
            <w:vAlign w:val="center"/>
            <w:shd w:fill="F3F6F8"/>
          </w:tcPr>
          <w:p>
            <w:pPr>
              <w:spacing w:after="0" w:before="0"/>
            </w:pPr>
            <w:r/>
            <w:r>
              <w:rPr>
                <w:rFonts w:ascii="Aptos" w:hAnsi="Aptos"/>
                <w:b w:val="0"/>
                <w:sz w:val="15"/>
              </w:rPr>
              <w:t>Sampling / timing and cross-shift control methodology; Open — Technical Input</w:t>
            </w:r>
          </w:p>
        </w:tc>
      </w:tr>
    </w:tbl>
    <w:p>
      <w:pPr>
        <w:pStyle w:val="Heading1"/>
      </w:pPr>
      <w:r>
        <w:t>Approval block — must be completed on controlled release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168"/>
            <w:vAlign w:val="center"/>
            <w:shd w:fill="17324F"/>
          </w:tcPr>
          <w:p>
            <w:pPr>
              <w:spacing w:after="0" w:before="0"/>
            </w:pPr>
            <w:r/>
            <w:r>
              <w:rPr>
                <w:rFonts w:ascii="Aptos" w:hAnsi="Aptos"/>
                <w:b/>
                <w:color w:val="FFFFFF"/>
                <w:sz w:val="15"/>
              </w:rPr>
              <w:t>Prepared / function</w:t>
            </w:r>
          </w:p>
        </w:tc>
        <w:tc>
          <w:tcPr>
            <w:tcW w:type="dxa" w:w="3240"/>
            <w:vAlign w:val="center"/>
            <w:shd w:fill="17324F"/>
          </w:tcPr>
          <w:p>
            <w:pPr>
              <w:spacing w:after="0" w:before="0"/>
            </w:pPr>
            <w:r/>
            <w:r>
              <w:rPr>
                <w:rFonts w:ascii="Aptos" w:hAnsi="Aptos"/>
                <w:b/>
                <w:color w:val="FFFFFF"/>
                <w:sz w:val="15"/>
              </w:rPr>
              <w:t>Technically reviewed / function</w:t>
            </w:r>
          </w:p>
        </w:tc>
        <w:tc>
          <w:tcPr>
            <w:tcW w:type="dxa" w:w="3312"/>
            <w:vAlign w:val="center"/>
            <w:shd w:fill="17324F"/>
          </w:tcPr>
          <w:p>
            <w:pPr>
              <w:spacing w:after="0" w:before="0"/>
            </w:pPr>
            <w:r/>
            <w:r>
              <w:rPr>
                <w:rFonts w:ascii="Aptos" w:hAnsi="Aptos"/>
                <w:b/>
                <w:color w:val="FFFFFF"/>
                <w:sz w:val="15"/>
              </w:rPr>
              <w:t>QA / QCM approval</w:t>
            </w:r>
          </w:p>
        </w:tc>
      </w:tr>
      <w:tr>
        <w:tc>
          <w:tcPr>
            <w:tcW w:type="dxa" w:w="3168"/>
            <w:vAlign w:val="center"/>
          </w:tcPr>
          <w:p>
            <w:pPr>
              <w:spacing w:after="0" w:before="0"/>
            </w:pPr>
            <w:r/>
            <w:r>
              <w:rPr>
                <w:rFonts w:ascii="Aptos" w:hAnsi="Aptos"/>
                <w:b w:val="0"/>
                <w:sz w:val="16"/>
              </w:rPr>
              <w:t>Name: __________________ Date: ______ Signature: ______</w:t>
            </w:r>
          </w:p>
        </w:tc>
        <w:tc>
          <w:tcPr>
            <w:tcW w:type="dxa" w:w="3240"/>
            <w:vAlign w:val="center"/>
          </w:tcPr>
          <w:p>
            <w:pPr>
              <w:spacing w:after="0" w:before="0"/>
            </w:pPr>
            <w:r/>
            <w:r>
              <w:rPr>
                <w:rFonts w:ascii="Aptos" w:hAnsi="Aptos"/>
                <w:b w:val="0"/>
                <w:sz w:val="16"/>
              </w:rPr>
              <w:t>Name: __________________ Date: ______ Signature: ______</w:t>
            </w:r>
          </w:p>
        </w:tc>
        <w:tc>
          <w:tcPr>
            <w:tcW w:type="dxa" w:w="3312"/>
            <w:vAlign w:val="center"/>
          </w:tcPr>
          <w:p>
            <w:pPr>
              <w:spacing w:after="0" w:before="0"/>
            </w:pPr>
            <w:r/>
            <w:r>
              <w:rPr>
                <w:rFonts w:ascii="Aptos" w:hAnsi="Aptos"/>
                <w:b w:val="0"/>
                <w:sz w:val="16"/>
              </w:rPr>
              <w:t>Name: __________________ Date: ______ Signature: ______</w:t>
            </w:r>
          </w:p>
        </w:tc>
      </w:tr>
    </w:tbl>
    <w:sectPr w:rsidR="00FC693F" w:rsidRPr="0006063C" w:rsidSect="00034616">
      <w:headerReference w:type="default" r:id="rId9"/>
      <w:footerReference w:type="default" r:id="rId10"/>
      <w:pgSz w:w="11909" w:h="16834"/>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Controlled draft for technical review  •  RECONSTRUCTED WI • PRESERVES ORIGINAL §§1–13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QC / QA TECHNICAL REVIEW                                     WI-DD-05 • PROPOSED Rev.02  •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32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98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6D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