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Infusion Set - Proposed Revised WI</w:t>
      </w:r>
    </w:p>
    <w:p>
      <w:pPr>
        <w:pStyle w:val="Subtitle"/>
      </w:pPr>
      <w:r>
        <w:t>Controlled draft based on WI-8-2-2-20 Rev.4; not an approved replacement</w:t>
      </w:r>
    </w:p>
    <w:p>
      <w:pPr>
        <w:pStyle w:val="Caption"/>
      </w:pPr>
      <w:r>
        <w:t>DRAFT FOR QC/QA TECHNICAL REVIEW - NOT APPROVED; NO VERIFIED OPERATIONAL CLOSURE</w:t>
      </w:r>
    </w:p>
    <w:p>
      <w:r>
        <w:rPr>
          <w:b/>
        </w:rPr>
        <w:t xml:space="preserve">Document ID:  </w:t>
      </w:r>
      <w:r>
        <w:t>WI-8-2-2-20 [Proposed Next Revision - To Be Assigned by Document Control]</w:t>
      </w:r>
    </w:p>
    <w:p>
      <w:r>
        <w:rPr>
          <w:b/>
        </w:rPr>
        <w:t xml:space="preserve">Baseline:  </w:t>
      </w:r>
      <w:r>
        <w:t>WI-8-2-2-20 (Rev. 4, 01 May 2022)</w:t>
      </w:r>
    </w:p>
    <w:p>
      <w:r>
        <w:rPr>
          <w:b/>
        </w:rPr>
        <w:t xml:space="preserve">Product variants:  </w:t>
      </w:r>
      <w:r>
        <w:t>Gravity-feed single use, with or without needle; vented/non-vented as authorized</w:t>
      </w:r>
    </w:p>
    <w:p>
      <w:r>
        <w:rPr>
          <w:b/>
        </w:rPr>
        <w:t xml:space="preserve">Associated in-process record:  </w:t>
      </w:r>
      <w:r>
        <w:t>F-823-i4 (Rev. 19, 22 Sep 2026)</w:t>
      </w:r>
    </w:p>
    <w:p>
      <w:r>
        <w:rPr>
          <w:b/>
        </w:rPr>
        <w:t xml:space="preserve">Separate test record:  </w:t>
      </w:r>
      <w:r>
        <w:t>F-823-T38 (not supplied)</w:t>
      </w:r>
    </w:p>
    <w:p>
      <w:pPr/>
      <w:r>
        <w:t>Audit boundary: process control during manufacture and packaging is distinct from incoming, final QC testing, qualification and release. A missing test on F-823-i4 does not prove ISO nonconformance where another controlled record is appropriate.</w:t>
      </w:r>
    </w:p>
    <w:p>
      <w:pPr>
        <w:pStyle w:val="Heading1"/>
      </w:pPr>
      <w:r>
        <w:t>1. Purpose</w:t>
      </w:r>
    </w:p>
    <w:p>
      <w:r>
        <w:t>Establish controlled receipt, manufacture, component assembly, product verification, packaging, sterilization linkage and final release requirements for gravity-feed single-use infusion sets to ensure conformity with approved product specifications and applicable ISO 8536-4:2010 requirements.</w:t>
      </w:r>
    </w:p>
    <w:p>
      <w:pPr>
        <w:pStyle w:val="Heading1"/>
      </w:pPr>
      <w:r>
        <w:t>2. Scope</w:t>
      </w:r>
    </w:p>
    <w:p>
      <w:r>
        <w:t>Infusion sets manufactured at Saudi Mais, with and without needle; configuration variants (vented/unvented, optional injection site) apply only when documented on approved BOM/drawings. Excludes burette sets as recorded by the existing WI change history. Do not apply product-specific requirements to non-applicable variants.</w:t>
      </w:r>
    </w:p>
    <w:p>
      <w:pPr>
        <w:pStyle w:val="Heading1"/>
      </w:pPr>
      <w:r>
        <w:t>3. References</w:t>
      </w:r>
    </w:p>
    <w:p>
      <w:pPr>
        <w:pStyle w:val="ListBullet"/>
      </w:pPr>
      <w:r>
        <w:t>BS EN ISO 8536-4:2010</w:t>
      </w:r>
    </w:p>
    <w:p>
      <w:pPr>
        <w:pStyle w:val="ListBullet"/>
      </w:pPr>
      <w:r>
        <w:t>WI-8-2-2-20 Rev4 (baseline)</w:t>
      </w:r>
    </w:p>
    <w:p>
      <w:pPr>
        <w:pStyle w:val="ListBullet"/>
      </w:pPr>
      <w:r>
        <w:t>F-823-i4 (Rev. 19, 22 Sep 2026)</w:t>
      </w:r>
    </w:p>
    <w:p>
      <w:pPr>
        <w:pStyle w:val="ListBullet"/>
      </w:pPr>
      <w:r>
        <w:t>F-823-T38 (not supplied)</w:t>
      </w:r>
    </w:p>
    <w:p>
      <w:pPr>
        <w:pStyle w:val="ListBullet"/>
      </w:pPr>
      <w:r>
        <w:t>F-8-2-4 (not supplied)</w:t>
      </w:r>
    </w:p>
    <w:p>
      <w:pPr>
        <w:pStyle w:val="ListBullet"/>
      </w:pPr>
      <w:r>
        <w:t>WI-7-5-1-1 (not supplied)</w:t>
      </w:r>
    </w:p>
    <w:p>
      <w:pPr>
        <w:pStyle w:val="ListBullet"/>
      </w:pPr>
      <w:r>
        <w:t>Approved product specification / product drawings / PDBM / bill of materials - ID &amp; effective revisions REQUIRED</w:t>
      </w:r>
    </w:p>
    <w:p>
      <w:pPr>
        <w:pStyle w:val="ListBullet"/>
      </w:pPr>
      <w:r>
        <w:t>Approved AQL / manufacturing / sampling control plan - ID &amp; revision REQUIRED</w:t>
      </w:r>
    </w:p>
    <w:p>
      <w:pPr>
        <w:pStyle w:val="ListBullet"/>
      </w:pPr>
      <w:r>
        <w:t>Approved packaging process validation / material qualification / label artwork / sterilization validation - evidence REQUIRED</w:t>
      </w:r>
    </w:p>
    <w:p>
      <w:pPr>
        <w:pStyle w:val="ListBullet"/>
      </w:pPr>
      <w:r>
        <w:t>Related ISO 594-1/594-2, ISO 7864 and ISO 10993 guidance only where the applicable source requires and company approves</w:t>
      </w:r>
    </w:p>
    <w:p>
      <w:pPr>
        <w:pStyle w:val="Heading1"/>
      </w:pPr>
      <w:r>
        <w:t>4. Definitions</w:t>
      </w:r>
    </w:p>
    <w:p>
      <w:r>
        <w:rPr>
          <w:b/>
        </w:rPr>
        <w:t xml:space="preserve">WI: </w:t>
      </w:r>
      <w:r>
        <w:t>Work Instruction; controlled operational instructions.</w:t>
      </w:r>
    </w:p>
    <w:p>
      <w:r>
        <w:rPr>
          <w:b/>
        </w:rPr>
        <w:t xml:space="preserve">In-Process Control: </w:t>
      </w:r>
      <w:r>
        <w:t>Checks made during manufacture/packaging. F-823-i4 is NOT final inspection report.</w:t>
      </w:r>
    </w:p>
    <w:p>
      <w:r>
        <w:rPr>
          <w:b/>
        </w:rPr>
        <w:t xml:space="preserve">Qualification / Periodic Verification: </w:t>
      </w:r>
      <w:r>
        <w:t>Approved alternate evidence verifying design/material/process performance without requiring every test at each packaging sample.</w:t>
      </w:r>
    </w:p>
    <w:p>
      <w:r>
        <w:rPr>
          <w:b/>
        </w:rPr>
        <w:t xml:space="preserve">OPEN TECHNICAL INPUT REQUIRED: </w:t>
      </w:r>
      <w:r>
        <w:t>A value, plan, limit or source not verified from the supplied records. It shall be established and approved before implementation.</w:t>
      </w:r>
    </w:p>
    <w:p>
      <w:pPr>
        <w:pStyle w:val="Heading1"/>
      </w:pPr>
      <w:r>
        <w:t>5. Responsibilities</w:t>
      </w:r>
    </w:p>
    <w:p>
      <w:r>
        <w:rPr>
          <w:b/>
        </w:rPr>
        <w:t xml:space="preserve">Production / Machine Operators: </w:t>
      </w:r>
      <w:r>
        <w:t>Use approved BOM and machine recipe; perform line clearance and recorded setup; segregate suspect product; do not silently adjust unvalidated limits.</w:t>
      </w:r>
    </w:p>
    <w:p>
      <w:r>
        <w:rPr>
          <w:b/>
        </w:rPr>
        <w:t xml:space="preserve">QC Controller: </w:t>
      </w:r>
      <w:r>
        <w:t>Perform approved sampling and tests, complete original evidence contemporaneously, record actual values and deviations.</w:t>
      </w:r>
    </w:p>
    <w:p>
      <w:r>
        <w:rPr>
          <w:b/>
        </w:rPr>
        <w:t xml:space="preserve">QC Supervisor: </w:t>
      </w:r>
      <w:r>
        <w:t>Verify completeness, conformity and disposition of in-process records and test results.</w:t>
      </w:r>
    </w:p>
    <w:p>
      <w:r>
        <w:rPr>
          <w:b/>
        </w:rPr>
        <w:t xml:space="preserve">Engineering / Packaging Validation: </w:t>
      </w:r>
      <w:r>
        <w:t>Establish validated machine/material sealing parameters, test methods, qualification / requalification and equipment calibration.</w:t>
      </w:r>
    </w:p>
    <w:p>
      <w:r>
        <w:rPr>
          <w:b/>
        </w:rPr>
        <w:t xml:space="preserve">QC Manager / QA: </w:t>
      </w:r>
      <w:r>
        <w:t>Approve inspection/sampling plans and controlled changes as per company approval matrix; review qualification and required records prior to product release.</w:t>
      </w:r>
    </w:p>
    <w:p>
      <w:r>
        <w:rPr>
          <w:b/>
        </w:rPr>
        <w:t xml:space="preserve">Document Control: </w:t>
      </w:r>
      <w:r>
        <w:t>Assign revisions, maintain supersession/approval and ensure only effective versions are used.</w:t>
      </w:r>
    </w:p>
    <w:p>
      <w:pPr>
        <w:pStyle w:val="Heading1"/>
      </w:pPr>
      <w:r>
        <w:t>6. Materials and Incoming Checks</w:t>
      </w:r>
    </w:p>
    <w:p>
      <w:r>
        <w:t>6.1 On receipt of bulk products/components, verify supplier delivery note and ordered quantity/part numbers; inspect carton and product condition, components and correct product variant; use approved incoming sample/AQL procedure, not a newly assumed sampling level. Preserve current WI requirements for transport and component condition. Complete the appropriate incoming inspection record. [GAP-024]</w:t>
      </w:r>
    </w:p>
    <w:p>
      <w:r>
        <w:t>6.2 Before assembly, reference approved drawings/BOM and revision for tubing, roller clamp, drip chamber, spike/vent/filter, connector, injection site (where fitted), needle/protector (where fitted), unit pack and material lot. Verify approved dimensional tolerances and configuration. OPEN TECHNICAL INPUT REQUIRED: drawing IDs/revisions and any ID/OD tolerance not included in ISO. [GAP-007/010/024]</w:t>
      </w:r>
    </w:p>
    <w:p>
      <w:pPr>
        <w:pStyle w:val="Heading1"/>
      </w:pPr>
      <w:r>
        <w:t>7. Production / Assembly, Inspection and Testing</w:t>
      </w:r>
    </w:p>
    <w:p>
      <w:r>
        <w:t>7.1 Maintain valid original checks from baseline §5.1.1: pack condition; vented/unvented identification; tubing clarity, flexibility, dimensions; regulator motion; Y-site and male connector bonding/leak appearance; drip chamber bonding/leak appearance; vent cap; needle/protector gauge and status if fitted; logo/marking requirement. Existing good controls remain except where clarified. Record against controlled specifications, not subjective wording alone.</w:t>
      </w:r>
    </w:p>
    <w:p>
      <w:r>
        <w:t>7.2 Production visual checks: received components match approved PO/specification, no visual contamination, cracks, damaged cartons, irregular surface or excess flashing; tubing clear/translucent enough to see air/water interface. Record actual defect, inspected quantity and disposition. [GAP-003/024]</w:t>
      </w:r>
    </w:p>
    <w:p>
      <w:r>
        <w:t>§7.4 Leak resistance: Verify the selected approved test specimens in accordance with ISO 8536-4:2010, 6.2 and A.2. Condition at (40 ± 1) °C. Conduct both the immersed positive-pressure test at 20 kPa for 15 s and degassed-water negative-excess-pressure test at -20 kPa for 15 s; reject any observed air leak or ingress. Record specimen IDs, conditions and individual results in F-823-T38 or approved laboratory worksheet. Test timing/frequency: OPEN TECHNICAL INPUT REQUIRED - approved control plan.</w:t>
      </w:r>
    </w:p>
    <w:p>
      <w:r>
        <w:t>§7.5 Tensile strength: Excluding protective caps, subject the complete infusion set to a static tensile load of 15 N along its longitudinal axis for 15 s, following ISO 8536-4:2010, 6.3/A.3. Inspect for disconnection or failure. Document sample ID, load, hold time, observations and Pass/Fail using the approved test record. Frequency: approved QC control plan [OPEN TECHNICAL INPUT REQUIRED].</w:t>
      </w:r>
    </w:p>
    <w:p>
      <w:r>
        <w:t>§7.6 Particulates: Visually examine component and fluid pathway cleanliness during assembly. Separately verify final fluid-path particulate performance under ISO 8536-4:2010 A.1 using minimum ten sets, 500 ml rinse, Table A.1 weighting and a valid blank (Nb ≤9); acceptance N ≤90. Document size-bin counts, Na, Nb, N and controlled lab evidence. Sampling frequency from an approved risk-based verification plan [OPEN TECHNICAL INPUT REQUIRED].</w:t>
      </w:r>
    </w:p>
    <w:p>
      <w:r>
        <w:t>§7.7 Fluid filter: Confirm the approved filter is fitted to each applicable set configuration. Evaluate its performance against ISO 8536-4:2010 6.7/A.5: latex-particle retention ≥80% with Annex A.5 procedure, duplicate test and documented calculations. Require approved specification, product configuration, supplier/qualification evidence and change-control linkage; test frequency requires approved risk assessment.</w:t>
      </w:r>
    </w:p>
    <w:p>
      <w:r>
        <w:t>§7.8 Flow performance: Check regulator motion and complete closure during assembly. Verify finished set delivery of ≥1,000 ml of 9 g/l saline within 10 min under 1 m static head (ISO 8536-4:2010 6.10), recording volume, time, head and sample ID. Record verification of flow adjustability under 6.9. Testing schedule determined by an approved plan [OPEN TECHNICAL INPUT REQUIRED].</w:t>
      </w:r>
    </w:p>
    <w:p>
      <w:r>
        <w:t>§7.9 Drip chamber: Identify approved 20- or 60-drop design. Verify dimensions 6.8 (≥40 mm chamber-outlet separation, or ≥20 mm separation to filter; ≥5 mm wall clearance), ability to see drops and specified drop factor at (23±2) °C / (50±10) drops/min, 1±0.1 ml (or g). Record controlled dimensional qualification and drop-factor results in approved test worksheets.</w:t>
      </w:r>
    </w:p>
    <w:p>
      <w:r>
        <w:t>§7.10 Tubing: Confirm flexible, sufficiently transparent tubing and measure the ISO-defined distal-to-chamber functional length including site/connector where present. Minimum 1,500 mm under 6.6; product-specific drawing may require a greater nominal and tolerances. Record actual measured length and the controlled drawing/specification ID. OPEN TECHNICAL INPUT REQUIRED: approved dimensional tolerance and measurement plan.</w:t>
      </w:r>
    </w:p>
    <w:p>
      <w:r>
        <w:t>§7.11 Venting: At line setup, verify vented/unvented configuration against approved BOM and intended container. For vented use requiring air-inlet device, verify microbial barrier filter presence and correct assembly. Maintain Annex A.4 comparison report showing ≤20% flow reduction for air inlet using appropriate configuration. Do not apply vent tests to explicitly non-vented configurations without design applicability.</w:t>
      </w:r>
    </w:p>
    <w:p>
      <w:r>
        <w:t>§7.12 Piercing device: Inspect source-drawing dimensions against ISO 8536-4 Figure 4: 5.6±0.1 mm proximal diameter, 5.2 (+0.1/-0.2) mm distal diameter and 28±1 mm functional length (15 mm marking is reference), and verify ability to puncture a representative approved infusion-container closure without pre-piercing. Record dimensions, closure type and observed coring. Apply the standard's shall/should distinctions correctly and link acceptance to approved design controls. Test frequency [OPEN TECHNICAL INPUT REQUIRED].</w:t>
      </w:r>
    </w:p>
    <w:p>
      <w:r>
        <w:t>§7.13 Optional needle: Select with-needle vs without-needle configuration by approved BOM. For needle-equipped packs, verify gauge/dimensions against approved controlled needle specification (and assess referenced ISO 7864 applicability separately), packaging and protective components. Verify nominal needle dimensions are represented on the unit label under 9.1(j). No needle checks for without-needle variant.</w:t>
      </w:r>
    </w:p>
    <w:p>
      <w:r>
        <w:t>§7.14 Male connector: Confirm approved connector type is installed; require qualified dimensional/functional evidence that the male conical fitting conforms to ISO 594-1 or -2, as defined by product drawing. Production checks for fitting and bonding remain. Record supplier or qualification report ID and configuration applicability.</w:t>
      </w:r>
    </w:p>
    <w:p>
      <w:r>
        <w:t>§7.15 Injection site (only if present): In accordance with 6.11/A.6, position site stress-free, water-fill without bubbles, apply 50 kPa, puncture at designated location with 0.8 mm ISO 7864 needle for 15 s, remove/dry and observe 1 min; acceptance ≤1 falling drop. Record actual observation and specimen ID. Alternative designs follow documented manufacturer instructions.</w:t>
      </w:r>
    </w:p>
    <w:p>
      <w:r>
        <w:t>§7.16 Barrier protection: Prior to packing, verify closure-piercing device and male conical fitting have the specified undamaged, correctly seated protective caps; apply correct cap rules for any air-inlet device. Reject missing, loose, broken or misapplied caps. Check integrity of individually sealed tamper-evident unit packaging against controlled approved seal specification.</w:t>
      </w:r>
    </w:p>
    <w:p>
      <w:pPr>
        <w:pStyle w:val="Heading1"/>
      </w:pPr>
      <w:r>
        <w:t>8. Chemical, Biological &amp; Sterilization Verification</w:t>
      </w:r>
    </w:p>
    <w:p>
      <w:r>
        <w:t>§8.1 Chemical conformity: QA/QC shall maintain controlled evidence for each applicable ISO 8536-4:2010 7.1-7.5 test following normative Annex B, including extract method B.1, acceptance limits and sample/lot or material/design scope. A verified approved verification plan shall define supplier, qualification, change-triggered or periodic route; these are not mandated as 2-hour packaging checks.</w:t>
      </w:r>
    </w:p>
    <w:p>
      <w:r>
        <w:t>§8.2 Biological safety: Maintain an approved biological evaluation for the device materials and intended contact scope, including applicable haemolysis (8.4) and toxicity (8.5) evidence. Reference evaluated configuration, material changes, sample/test reports and authorized review; supplier evidence must be technically evaluated for equivalence. Not an in-process packaging check.</w:t>
      </w:r>
    </w:p>
    <w:p>
      <w:r>
        <w:t>§8.3 Sterilization: Identify validated sterilization WI-7-5-1-1, process/qualification and effective revision; for each lot record sterilization load/cycle ID, approved process parameters, routine monitors, release decision and link to labeled expiry. Prevent product release before authorized review of cycle and relevant laboratory results.</w:t>
      </w:r>
    </w:p>
    <w:p>
      <w:r>
        <w:t>§8.4 Pyrogenicity: Establish a controlled pyrogen/endotoxin strategy with approved method and acceptance criteria drawn from applicable compendial/regulatory sources [OPEN TECHNICAL INPUT REQUIRED]. Link the approved report to product configuration and verified labeling claim. Do not release label claim without objective supporting evidence.</w:t>
      </w:r>
    </w:p>
    <w:p>
      <w:r>
        <w:t>8.5 If the required evidence is held in a separately approved supplier, laboratory, design-history or validation file, QC/QA shall record its ID, revision, approval status, applicable product variants and validity. A blank or proposed document cannot close conformity. Do not infer that every cited test is required on every production lot; frequency must be justified by the applicable source and approved risk-based plan.</w:t>
      </w:r>
    </w:p>
    <w:p>
      <w:pPr>
        <w:pStyle w:val="Heading1"/>
      </w:pPr>
      <w:r>
        <w:t>9. Packaging and In-Process Control</w:t>
      </w:r>
    </w:p>
    <w:p>
      <w:r>
        <w:t>§9.1 Packaging setup: Before processing, verify packaging material/artwork, machine ID and validated recipe/setting ID applicable to product and machine. Record approved minimum/maximum seal width, temperatures, dwell time and tooling identity per validation study. The form's ranges (4-12 mm, 100-150 °C, 2-5 s; PFM 250-300 °C) are PROVISIONAL COMPANY RANGES until validated mapping and approval are verified; do not attribute them to ISO.</w:t>
      </w:r>
    </w:p>
    <w:p>
      <w:r>
        <w:t>§9.2 Seal quality: Perform the approved seal assessment defined for packaging material/format: visual seal continuity, bond defects, opening/tamper evidence and the approved peel/seal-strength method, if used. Record actual result in the defined units or observable defect type, sample ID, acceptance limits from validated package specification [OPEN TECHNICAL INPUT REQUIRED], and segregate failing product since the last passing check.</w:t>
      </w:r>
    </w:p>
    <w:p>
      <w:r>
        <w:t>§9.3 Unit-label verification: At product/lot changeover and during packaging checks, compare actual pack/IFU against current approved artwork with ISO 8536-4:2010 9.1(a)-(j) checklist, including conditional needle dimensions. Check all mandatory fields, legibility, correct lot/expiry, current regulatory symbols, approved pyrogen/sterile claims, correct drop-factor declaration and inclusion of IFU as approved. Record artwork ID/rev and actual lot.</w:t>
      </w:r>
    </w:p>
    <w:p>
      <w:r>
        <w:t>§9.4 Outer pack: When shelf/multi-unit containers are used, verify ISO 8536-4:2010 9.2(a)-(g) information against approved outer artwork. Check quantities, LOT/expiry match inner packs and applicable storage requirements. Record carton/artwork ID, counts and deviations.</w:t>
      </w:r>
    </w:p>
    <w:p>
      <w:r>
        <w:t>§9.5 Pack geometry: Define approved tubing coiling/fixture/packing configuration to avoid kinks or flattened portions during packing and validated sterilization. In-process inspect coiling and visible deformation; post-sterilization verify representative ready-for-use product per approved inspection plan and record defects and disposition.</w:t>
      </w:r>
    </w:p>
    <w:p>
      <w:r>
        <w:t>§9.6 In-process plan: Perform documented setup/startup, scheduled and changeover/after-adjustment checks at intervals and sample quantities specified in approved Packaging Control Plan [OPEN TECHNICAL INPUT REQUIRED]. On failure stop the affected activity, identify and segregate output since last acceptable check, record NCR/hold, investigate, correct, verify and release only under authorized disposition. Do not infer AQL or frequency from the time grid alone.</w:t>
      </w:r>
    </w:p>
    <w:p>
      <w:r>
        <w:t>9.7 Continue the valid baseline sequence: check materials before packaging, package in approved film/paper or validated format, inspect after machine processing, place in specified small boxes and cartons, keep correct labels and label detail, inspect sealing/peel/width/forming/cutting/printing. Record in product-appropriate F-823-i4, not F-823-T38. [Retained baseline §6]</w:t>
      </w:r>
    </w:p>
    <w:p>
      <w:pPr>
        <w:pStyle w:val="Heading1"/>
      </w:pPr>
      <w:r>
        <w:t>10. Sampling / Frequency</w:t>
      </w:r>
    </w:p>
    <w:p>
      <w:r>
        <w:t>Use ONLY authorized incoming AQL plans, production control frequencies, sampling sizes and qualification/periodic testing frequencies referenced by their controlled IDs. F-823-i4 printed check times do not on their own establish an ISO test frequency. Startup, machine adjustment, changeover, routine and shutdown controls shall follow the approved process plan. OPEN TECHNICAL INPUT REQUIRED: applicable plan IDs/revisions and sample quantities. [GAP-023]</w:t>
      </w:r>
    </w:p>
    <w:p>
      <w:pPr>
        <w:pStyle w:val="Heading1"/>
      </w:pPr>
      <w:r>
        <w:t>11. Nonconforming Product Control</w:t>
      </w:r>
    </w:p>
    <w:p>
      <w:r>
        <w:t>When a measurement or observation fails an approved criterion: identify affected scope back to last conforming check (and other affected material as appropriate), halt or contain production, segregate, document time/machine/lot/quantity/defect and NCR/hold ID, investigate and approve restart only after satisfactory checks. Keep disposition/release authorized by existing company process. [GAP-019/023]</w:t>
      </w:r>
    </w:p>
    <w:p>
      <w:pPr>
        <w:pStyle w:val="Heading1"/>
      </w:pPr>
      <w:r>
        <w:t>12. Sterilization and Final Product Release</w:t>
      </w:r>
    </w:p>
    <w:p>
      <w:r>
        <w:t>12.1 Sterilize final products via WI-7-5-1-1 after the packaged-set checks. Link each lot to the approved validated cycle and completed cycle records. Check after sterilization for damage, flattened tubing/kinks and packaging anomalies in accordance with approved final plan. [GAP-016/022]</w:t>
      </w:r>
    </w:p>
    <w:p>
      <w:r>
        <w:t>12.2 Retain baseline final review: QC inspects unloaded sterilized products; QA manager/QCM reviews completed cycle parameter records and inspection results; verify required lab evidence; authorized quality function signs release record. Production records finished quantities before warehouse transfer. An in-process Pass does not itself authorize release.</w:t>
      </w:r>
    </w:p>
    <w:p>
      <w:pPr>
        <w:pStyle w:val="Heading1"/>
      </w:pPr>
      <w:r>
        <w:t>13. Records</w:t>
      </w:r>
    </w:p>
    <w:p>
      <w:pPr>
        <w:pStyle w:val="ListBullet"/>
      </w:pPr>
      <w:r>
        <w:t>F-823-i4 (Rev. 19, 22 Sep 2026) - packaging machine and final checking (In-Process)</w:t>
      </w:r>
    </w:p>
    <w:p>
      <w:pPr>
        <w:pStyle w:val="ListBullet"/>
      </w:pPr>
      <w:r>
        <w:t>F-823-T38 - separate Inspection &amp; Test Report (source not supplied)</w:t>
      </w:r>
    </w:p>
    <w:p>
      <w:pPr>
        <w:pStyle w:val="ListBullet"/>
      </w:pPr>
      <w:r>
        <w:t>F-8-2-4 - final inspection/release record (source not supplied)</w:t>
      </w:r>
    </w:p>
    <w:p>
      <w:pPr>
        <w:pStyle w:val="ListBullet"/>
      </w:pPr>
      <w:r>
        <w:t>WI-7-5-1-1 - sterilization records (source not supplied)</w:t>
      </w:r>
    </w:p>
    <w:p>
      <w:pPr>
        <w:pStyle w:val="ListBullet"/>
      </w:pPr>
      <w:r>
        <w:t>Incoming inspection &amp; AQL record as approved</w:t>
      </w:r>
    </w:p>
    <w:p>
      <w:pPr>
        <w:pStyle w:val="ListBullet"/>
      </w:pPr>
      <w:r>
        <w:t>Design, BOM, labeling artwork, packaging validation, maintenance and instrument calibration records</w:t>
      </w:r>
    </w:p>
    <w:p>
      <w:pPr>
        <w:pStyle w:val="ListBullet"/>
      </w:pPr>
      <w:r>
        <w:t>ISO 8536-4 physical / chemical / biological qualification or periodical test evidence, sampling rationale and change assessments</w:t>
      </w:r>
    </w:p>
    <w:p>
      <w:pPr>
        <w:pStyle w:val="ListBullet"/>
      </w:pPr>
      <w:r>
        <w:t>NCR/hold logs with disposition and restart checks</w:t>
      </w:r>
    </w:p>
    <w:p>
      <w:pPr>
        <w:pStyle w:val="Heading1"/>
      </w:pPr>
      <w:r>
        <w:t>14. Document Control &amp; Revision History</w:t>
      </w:r>
    </w:p>
    <w:tbl>
      <w:tblPr>
        <w:tblStyle w:val="TableGrid"/>
        <w:tblW w:type="auto" w:w="0"/>
        <w:jc w:val="center"/>
        <w:tblLayout w:type="fixed"/>
        <w:tblLook w:firstColumn="1" w:firstRow="1" w:lastColumn="0" w:lastRow="0" w:noHBand="0" w:noVBand="1" w:val="04A0"/>
      </w:tblPr>
      <w:tblGrid>
        <w:gridCol w:w="1644"/>
        <w:gridCol w:w="1644"/>
        <w:gridCol w:w="4535"/>
        <w:gridCol w:w="1871"/>
      </w:tblGrid>
      <w:tr>
        <w:trPr>
          <w:tblHeader w:val="true"/>
        </w:trPr>
        <w:tc>
          <w:tcPr>
            <w:tcW w:type="dxa" w:w="2466"/>
            <w:vAlign w:val="top"/>
            <w:shd w:fill="15314A"/>
          </w:tcPr>
          <w:p>
            <w:pPr>
              <w:spacing w:after="30" w:before="20"/>
            </w:pPr>
            <w:r/>
            <w:r>
              <w:rPr>
                <w:b/>
                <w:color w:val="FFFFFF"/>
                <w:sz w:val="16"/>
              </w:rPr>
              <w:t>Status</w:t>
            </w:r>
          </w:p>
        </w:tc>
        <w:tc>
          <w:tcPr>
            <w:tcW w:type="dxa" w:w="2466"/>
            <w:vAlign w:val="top"/>
            <w:shd w:fill="15314A"/>
          </w:tcPr>
          <w:p>
            <w:pPr>
              <w:spacing w:after="30" w:before="20"/>
            </w:pPr>
            <w:r/>
            <w:r>
              <w:rPr>
                <w:b/>
                <w:color w:val="FFFFFF"/>
                <w:sz w:val="16"/>
              </w:rPr>
              <w:t>Date</w:t>
            </w:r>
          </w:p>
        </w:tc>
        <w:tc>
          <w:tcPr>
            <w:tcW w:type="dxa" w:w="2466"/>
            <w:vAlign w:val="top"/>
            <w:shd w:fill="15314A"/>
          </w:tcPr>
          <w:p>
            <w:pPr>
              <w:spacing w:after="30" w:before="20"/>
            </w:pPr>
            <w:r/>
            <w:r>
              <w:rPr>
                <w:b/>
                <w:color w:val="FFFFFF"/>
                <w:sz w:val="16"/>
              </w:rPr>
              <w:t>Description</w:t>
            </w:r>
          </w:p>
        </w:tc>
        <w:tc>
          <w:tcPr>
            <w:tcW w:type="dxa" w:w="2466"/>
            <w:vAlign w:val="top"/>
            <w:shd w:fill="15314A"/>
          </w:tcPr>
          <w:p>
            <w:pPr>
              <w:spacing w:after="30" w:before="20"/>
            </w:pPr>
            <w:r/>
            <w:r>
              <w:rPr>
                <w:b/>
                <w:color w:val="FFFFFF"/>
                <w:sz w:val="16"/>
              </w:rPr>
              <w:t>Approval</w:t>
            </w:r>
          </w:p>
        </w:tc>
      </w:tr>
      <w:tr>
        <w:tc>
          <w:tcPr>
            <w:tcW w:type="dxa" w:w="1644"/>
            <w:vAlign w:val="top"/>
          </w:tcPr>
          <w:p>
            <w:pPr>
              <w:spacing w:after="30" w:before="20"/>
            </w:pPr>
            <w:r/>
            <w:r>
              <w:rPr>
                <w:b w:val="0"/>
                <w:color w:val="152941"/>
                <w:sz w:val="16"/>
              </w:rPr>
              <w:t>Baseline historical</w:t>
            </w:r>
          </w:p>
        </w:tc>
        <w:tc>
          <w:tcPr>
            <w:tcW w:type="dxa" w:w="1644"/>
            <w:vAlign w:val="top"/>
          </w:tcPr>
          <w:p>
            <w:pPr>
              <w:spacing w:after="30" w:before="20"/>
            </w:pPr>
            <w:r/>
            <w:r>
              <w:rPr>
                <w:b w:val="0"/>
                <w:color w:val="152941"/>
                <w:sz w:val="16"/>
              </w:rPr>
              <w:t>22 Nov 2018</w:t>
            </w:r>
          </w:p>
        </w:tc>
        <w:tc>
          <w:tcPr>
            <w:tcW w:type="dxa" w:w="4535"/>
            <w:vAlign w:val="top"/>
          </w:tcPr>
          <w:p>
            <w:pPr>
              <w:spacing w:after="30" w:before="20"/>
            </w:pPr>
            <w:r/>
            <w:r>
              <w:rPr>
                <w:b w:val="0"/>
                <w:color w:val="152941"/>
                <w:sz w:val="16"/>
              </w:rPr>
              <w:t>Sections 5,8,9 added, per original change history</w:t>
            </w:r>
          </w:p>
        </w:tc>
        <w:tc>
          <w:tcPr>
            <w:tcW w:type="dxa" w:w="1871"/>
            <w:vAlign w:val="top"/>
          </w:tcPr>
          <w:p>
            <w:pPr>
              <w:spacing w:after="30" w:before="20"/>
            </w:pPr>
            <w:r/>
            <w:r>
              <w:rPr>
                <w:b w:val="0"/>
                <w:color w:val="152941"/>
                <w:sz w:val="16"/>
              </w:rPr>
              <w:t>Historical source</w:t>
            </w:r>
          </w:p>
        </w:tc>
      </w:tr>
      <w:tr>
        <w:tc>
          <w:tcPr>
            <w:tcW w:type="dxa" w:w="1644"/>
            <w:vAlign w:val="top"/>
            <w:shd w:fill="F0F4F8"/>
          </w:tcPr>
          <w:p>
            <w:pPr>
              <w:spacing w:after="30" w:before="20"/>
            </w:pPr>
            <w:r/>
            <w:r>
              <w:rPr>
                <w:b w:val="0"/>
                <w:color w:val="152941"/>
                <w:sz w:val="16"/>
              </w:rPr>
              <w:t>Baseline historical</w:t>
            </w:r>
          </w:p>
        </w:tc>
        <w:tc>
          <w:tcPr>
            <w:tcW w:type="dxa" w:w="1644"/>
            <w:vAlign w:val="top"/>
            <w:shd w:fill="F0F4F8"/>
          </w:tcPr>
          <w:p>
            <w:pPr>
              <w:spacing w:after="30" w:before="20"/>
            </w:pPr>
            <w:r/>
            <w:r>
              <w:rPr>
                <w:b w:val="0"/>
                <w:color w:val="152941"/>
                <w:sz w:val="16"/>
              </w:rPr>
              <w:t>01 May 2022</w:t>
            </w:r>
          </w:p>
        </w:tc>
        <w:tc>
          <w:tcPr>
            <w:tcW w:type="dxa" w:w="4535"/>
            <w:vAlign w:val="top"/>
            <w:shd w:fill="F0F4F8"/>
          </w:tcPr>
          <w:p>
            <w:pPr>
              <w:spacing w:after="30" w:before="20"/>
            </w:pPr>
            <w:r/>
            <w:r>
              <w:rPr>
                <w:b w:val="0"/>
                <w:color w:val="152941"/>
                <w:sz w:val="16"/>
              </w:rPr>
              <w:t>Burette excluded / WI updated (Rev.4)</w:t>
            </w:r>
          </w:p>
        </w:tc>
        <w:tc>
          <w:tcPr>
            <w:tcW w:type="dxa" w:w="1871"/>
            <w:vAlign w:val="top"/>
            <w:shd w:fill="F0F4F8"/>
          </w:tcPr>
          <w:p>
            <w:pPr>
              <w:spacing w:after="30" w:before="20"/>
            </w:pPr>
            <w:r/>
            <w:r>
              <w:rPr>
                <w:b w:val="0"/>
                <w:color w:val="152941"/>
                <w:sz w:val="16"/>
              </w:rPr>
              <w:t>Historical signed scan</w:t>
            </w:r>
          </w:p>
        </w:tc>
      </w:tr>
      <w:tr>
        <w:tc>
          <w:tcPr>
            <w:tcW w:type="dxa" w:w="1644"/>
            <w:vAlign w:val="top"/>
          </w:tcPr>
          <w:p>
            <w:pPr>
              <w:spacing w:after="30" w:before="20"/>
            </w:pPr>
            <w:r/>
            <w:r>
              <w:rPr>
                <w:b w:val="0"/>
                <w:color w:val="152941"/>
                <w:sz w:val="16"/>
              </w:rPr>
              <w:t>PROPOSED DRAFT</w:t>
            </w:r>
          </w:p>
        </w:tc>
        <w:tc>
          <w:tcPr>
            <w:tcW w:type="dxa" w:w="1644"/>
            <w:vAlign w:val="top"/>
          </w:tcPr>
          <w:p>
            <w:pPr>
              <w:spacing w:after="30" w:before="20"/>
            </w:pPr>
            <w:r/>
            <w:r>
              <w:rPr>
                <w:b w:val="0"/>
                <w:color w:val="152941"/>
                <w:sz w:val="16"/>
              </w:rPr>
              <w:t>14 Oct 2026</w:t>
            </w:r>
          </w:p>
        </w:tc>
        <w:tc>
          <w:tcPr>
            <w:tcW w:type="dxa" w:w="4535"/>
            <w:vAlign w:val="top"/>
          </w:tcPr>
          <w:p>
            <w:pPr>
              <w:spacing w:after="30" w:before="20"/>
            </w:pPr>
            <w:r/>
            <w:r>
              <w:rPr>
                <w:b w:val="0"/>
                <w:color w:val="152941"/>
                <w:sz w:val="16"/>
              </w:rPr>
              <w:t>ISO 8536-4:2010 re-alignment; process-control segregation; test/label/package qualification routes; GAP-001 to GAP-024</w:t>
            </w:r>
          </w:p>
        </w:tc>
        <w:tc>
          <w:tcPr>
            <w:tcW w:type="dxa" w:w="1871"/>
            <w:vAlign w:val="top"/>
          </w:tcPr>
          <w:p>
            <w:pPr>
              <w:spacing w:after="30" w:before="20"/>
            </w:pPr>
            <w:r/>
            <w:r>
              <w:rPr>
                <w:b w:val="0"/>
                <w:color w:val="152941"/>
                <w:sz w:val="16"/>
              </w:rPr>
              <w:t>PENDING QC/QA approval</w:t>
            </w:r>
          </w:p>
        </w:tc>
      </w:tr>
    </w:tbl>
    <w:p>
      <w:pPr>
        <w:pStyle w:val="Caption"/>
      </w:pPr>
      <w:r>
        <w:t>DO NOT USE FOR PRODUCTION UNTIL controlled technical inputs, sample plan, evidence routes, approvals and revision assignment are complete.</w:t>
      </w:r>
    </w:p>
    <w:sectPr w:rsidR="00FC693F" w:rsidRPr="0006063C" w:rsidSect="00034616">
      <w:headerReference w:type="default" r:id="rId9"/>
      <w:footerReference w:type="default" r:id="rId10"/>
      <w:pgSz w:w="11906" w:h="16838"/>
      <w:pgMar w:top="992" w:right="1020" w:bottom="992"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UNCONTROLLED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QC / TECHNICAL REVIEW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529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2941"/>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294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529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Aptos Display" w:hAnsi="Aptos Display"/>
      <w:b/>
      <w:color w:val="1529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