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 MANAGER | IN-PROCESS GAP &amp; REVISION ANALYSIS</w:t>
      </w:r>
    </w:p>
    <w:p>
      <w:pPr>
        <w:pStyle w:val="Subtitle"/>
      </w:pPr>
      <w:r>
        <w:t>Oxygen Tube form F-823-138-1 vs Oxygen Mask WI-8-2-2-33-1 Rev 07 | Reassessed with WI page 3</w:t>
      </w:r>
    </w:p>
    <w:p>
      <w:r>
        <w:rPr>
          <w:b/>
          <w:color w:val="245074"/>
        </w:rPr>
        <w:t>EVIDENCE-BASED REASSESSMENT | IN-PROCESS, NOT FINAL INSPECTION | ISO NOT ASSESSED</w:t>
      </w:r>
    </w:p>
    <w:p>
      <w:pPr>
        <w:pStyle w:val="Heading1"/>
      </w:pPr>
      <w:r>
        <w:t>1. Executive summary</w:t>
      </w:r>
    </w:p>
    <w:p>
      <w:r>
        <w:t>The newly supplied WI page 3 confirms oxygen tube, universal connector and two-hour in-process requirements. Therefore the previous 12-gap list must NOT be used as-is. This superseding assessment identifies SIX open document/evidence issues (one provisional P1; five P2), TWO verification items, and FOUR clearly documented existing controls. These are NOT six proven product nonconformities. No verified operational closure is claimed.</w:t>
      </w:r>
    </w:p>
    <w:tbl>
      <w:tblPr>
        <w:tblStyle w:val="TableGrid"/>
        <w:tblW w:type="auto" w:w="0"/>
        <w:jc w:val="center"/>
        <w:tblLayout w:type="fixed"/>
        <w:tblLook w:firstColumn="1" w:firstRow="1" w:lastColumn="0" w:lastRow="0" w:noHBand="0" w:noVBand="1" w:val="04A0"/>
      </w:tblPr>
      <w:tblGrid>
        <w:gridCol w:w="11088"/>
        <w:gridCol w:w="11088"/>
      </w:tblGrid>
      <w:tr>
        <w:trPr>
          <w:tblHeader w:val="true"/>
        </w:trPr>
        <w:tc>
          <w:tcPr>
            <w:tcW w:type="dxa" w:w="3888"/>
            <w:vAlign w:val="center"/>
            <w:shd w:fill="193A5B"/>
          </w:tcPr>
          <w:p>
            <w:r>
              <w:rPr>
                <w:b/>
                <w:color w:val="FFFFFF"/>
                <w:sz w:val="16"/>
              </w:rPr>
              <w:t>Field</w:t>
            </w:r>
          </w:p>
        </w:tc>
        <w:tc>
          <w:tcPr>
            <w:tcW w:type="dxa" w:w="17712"/>
            <w:vAlign w:val="center"/>
            <w:shd w:fill="193A5B"/>
          </w:tcPr>
          <w:p>
            <w:r>
              <w:rPr>
                <w:b/>
                <w:color w:val="FFFFFF"/>
                <w:sz w:val="16"/>
              </w:rPr>
              <w:t>Verified / current assessment</w:t>
            </w:r>
          </w:p>
        </w:tc>
      </w:tr>
      <w:tr>
        <w:tc>
          <w:tcPr>
            <w:tcW w:type="dxa" w:w="3888"/>
            <w:vAlign w:val="top"/>
          </w:tcPr>
          <w:p>
            <w:pPr>
              <w:spacing w:after="20" w:line="245" w:lineRule="auto"/>
            </w:pPr>
            <w:r>
              <w:rPr>
                <w:color w:val="222C36"/>
                <w:sz w:val="16"/>
              </w:rPr>
              <w:t>Product and process</w:t>
            </w:r>
          </w:p>
        </w:tc>
        <w:tc>
          <w:tcPr>
            <w:tcW w:type="dxa" w:w="17712"/>
            <w:vAlign w:val="top"/>
          </w:tcPr>
          <w:p>
            <w:pPr>
              <w:spacing w:after="20" w:line="245" w:lineRule="auto"/>
            </w:pPr>
            <w:r>
              <w:rPr>
                <w:color w:val="222C36"/>
                <w:sz w:val="16"/>
              </w:rPr>
              <w:t>Oxygen Tube / Oxygen Mask interface; scope is in-process manufacturing controls, not final inspection</w:t>
            </w:r>
          </w:p>
        </w:tc>
      </w:tr>
      <w:tr>
        <w:tc>
          <w:tcPr>
            <w:tcW w:type="dxa" w:w="3888"/>
            <w:vAlign w:val="top"/>
            <w:shd w:fill="F1F5F8"/>
          </w:tcPr>
          <w:p>
            <w:pPr>
              <w:spacing w:after="20" w:line="245" w:lineRule="auto"/>
            </w:pPr>
            <w:r>
              <w:rPr>
                <w:color w:val="222C36"/>
                <w:sz w:val="16"/>
              </w:rPr>
              <w:t>WI</w:t>
            </w:r>
          </w:p>
        </w:tc>
        <w:tc>
          <w:tcPr>
            <w:tcW w:type="dxa" w:w="17712"/>
            <w:vAlign w:val="top"/>
            <w:shd w:fill="F1F5F8"/>
          </w:tcPr>
          <w:p>
            <w:pPr>
              <w:spacing w:after="20" w:line="245" w:lineRule="auto"/>
            </w:pPr>
            <w:r>
              <w:rPr>
                <w:color w:val="222C36"/>
                <w:sz w:val="16"/>
              </w:rPr>
              <w:t>WI-8-2-2-33-1 | Rev 07 | 01.06.2024 | six printed pages now provided</w:t>
            </w:r>
          </w:p>
        </w:tc>
      </w:tr>
      <w:tr>
        <w:tc>
          <w:tcPr>
            <w:tcW w:type="dxa" w:w="3888"/>
            <w:vAlign w:val="top"/>
          </w:tcPr>
          <w:p>
            <w:pPr>
              <w:spacing w:after="20" w:line="245" w:lineRule="auto"/>
            </w:pPr>
            <w:r>
              <w:rPr>
                <w:color w:val="222C36"/>
                <w:sz w:val="16"/>
              </w:rPr>
              <w:t>Form</w:t>
            </w:r>
          </w:p>
        </w:tc>
        <w:tc>
          <w:tcPr>
            <w:tcW w:type="dxa" w:w="17712"/>
            <w:vAlign w:val="top"/>
          </w:tcPr>
          <w:p>
            <w:pPr>
              <w:spacing w:after="20" w:line="245" w:lineRule="auto"/>
            </w:pPr>
            <w:r>
              <w:rPr>
                <w:color w:val="222C36"/>
                <w:sz w:val="16"/>
              </w:rPr>
              <w:t>F-823-138-1 | Rev 3 | 29.09.2026 | In-Process Control for Oxygen Tube</w:t>
            </w:r>
          </w:p>
        </w:tc>
      </w:tr>
      <w:tr>
        <w:tc>
          <w:tcPr>
            <w:tcW w:type="dxa" w:w="3888"/>
            <w:vAlign w:val="top"/>
            <w:shd w:fill="F1F5F8"/>
          </w:tcPr>
          <w:p>
            <w:pPr>
              <w:spacing w:after="20" w:line="245" w:lineRule="auto"/>
            </w:pPr>
            <w:r>
              <w:rPr>
                <w:color w:val="222C36"/>
                <w:sz w:val="16"/>
              </w:rPr>
              <w:t>ISO</w:t>
            </w:r>
          </w:p>
        </w:tc>
        <w:tc>
          <w:tcPr>
            <w:tcW w:type="dxa" w:w="17712"/>
            <w:vAlign w:val="top"/>
            <w:shd w:fill="F1F5F8"/>
          </w:tcPr>
          <w:p>
            <w:pPr>
              <w:spacing w:after="20" w:line="245" w:lineRule="auto"/>
            </w:pPr>
            <w:r>
              <w:rPr>
                <w:color w:val="222C36"/>
                <w:sz w:val="16"/>
              </w:rPr>
              <w:t>No ISO submitted: ISO comparison omitted; ISO conformity not assessed.</w:t>
            </w:r>
          </w:p>
        </w:tc>
      </w:tr>
      <w:tr>
        <w:tc>
          <w:tcPr>
            <w:tcW w:type="dxa" w:w="3888"/>
            <w:vAlign w:val="top"/>
          </w:tcPr>
          <w:p>
            <w:pPr>
              <w:spacing w:after="20" w:line="245" w:lineRule="auto"/>
            </w:pPr>
            <w:r>
              <w:rPr>
                <w:color w:val="222C36"/>
                <w:sz w:val="16"/>
              </w:rPr>
              <w:t>Primary open source inputs</w:t>
            </w:r>
          </w:p>
        </w:tc>
        <w:tc>
          <w:tcPr>
            <w:tcW w:type="dxa" w:w="17712"/>
            <w:vAlign w:val="top"/>
          </w:tcPr>
          <w:p>
            <w:pPr>
              <w:spacing w:after="20" w:line="245" w:lineRule="auto"/>
            </w:pPr>
            <w:r>
              <w:rPr>
                <w:color w:val="222C36"/>
                <w:sz w:val="16"/>
              </w:rPr>
              <w:t>Approved TF-33-PS, TF-33-PDBM and current applicable control plan, test/visual criteria and associated measurement records.</w:t>
            </w:r>
          </w:p>
        </w:tc>
      </w:tr>
      <w:tr>
        <w:tc>
          <w:tcPr>
            <w:tcW w:type="dxa" w:w="3888"/>
            <w:vAlign w:val="top"/>
            <w:shd w:fill="F1F5F8"/>
          </w:tcPr>
          <w:p>
            <w:pPr>
              <w:spacing w:after="20" w:line="245" w:lineRule="auto"/>
            </w:pPr>
            <w:r>
              <w:rPr>
                <w:color w:val="222C36"/>
                <w:sz w:val="16"/>
              </w:rPr>
              <w:t>Closure</w:t>
            </w:r>
          </w:p>
        </w:tc>
        <w:tc>
          <w:tcPr>
            <w:tcW w:type="dxa" w:w="17712"/>
            <w:vAlign w:val="top"/>
            <w:shd w:fill="F1F5F8"/>
          </w:tcPr>
          <w:p>
            <w:pPr>
              <w:spacing w:after="20" w:line="245" w:lineRule="auto"/>
            </w:pPr>
            <w:r>
              <w:rPr>
                <w:color w:val="222C36"/>
                <w:sz w:val="16"/>
              </w:rPr>
              <w:t>No actual test evidence or approved revisions were provided. Revised deliverables are proposals only.</w:t>
            </w:r>
          </w:p>
        </w:tc>
      </w:tr>
    </w:tbl>
    <w:p>
      <w:pPr>
        <w:pStyle w:val="Heading1"/>
      </w:pPr>
      <w:r>
        <w:t>2. Documents reviewed and source limits</w:t>
      </w:r>
    </w:p>
    <w:p>
      <w:r>
        <w:t>Gg.pdf includes the source Oxygen Tube form (PDF p.1) and WI original pages 6, 5, 4, 2 and 1 (PDF pp.2–6); IMG_2821.jpeg provides original WI page 3 of 6. Together, all six original WI page photographs are available. Controlled master copies, exact current effective status, complete technical specifications, sampling plan and executed records have NOT been verified. The photograph on WI p.3 establishes text-level coverage, not implementation.</w:t>
      </w:r>
    </w:p>
    <w:p>
      <w:pPr>
        <w:pStyle w:val="Heading1"/>
      </w:pPr>
      <w:r>
        <w:t>3. Assessment method and scope</w:t>
      </w:r>
    </w:p>
    <w:p>
      <w:r>
        <w:t>Compare explicit WI text against the eight existing Oxygen Tube In-Process form characteristics; classify source-covered controls, proposed improvements and unresolved source verification separately. A missing reference or field in the supplied images is not proof that a company-wide QMS record does not exist. No missing ISO clause, test value, force, radius, dimensional tolerance or sample size is invented.</w:t>
      </w:r>
    </w:p>
    <w:p>
      <w:pPr>
        <w:pStyle w:val="Heading1"/>
      </w:pPr>
      <w:r>
        <w:t>4. Existing controls confirmed by newly supplied page 3</w:t>
      </w:r>
    </w:p>
    <w:tbl>
      <w:tblPr>
        <w:tblStyle w:val="TableGrid"/>
        <w:tblW w:type="auto" w:w="0"/>
        <w:jc w:val="center"/>
        <w:tblLayout w:type="fixed"/>
        <w:tblLook w:firstColumn="1" w:firstRow="1" w:lastColumn="0" w:lastRow="0" w:noHBand="0" w:noVBand="1" w:val="04A0"/>
      </w:tblPr>
      <w:tblGrid>
        <w:gridCol w:w="7392"/>
        <w:gridCol w:w="7392"/>
        <w:gridCol w:w="7392"/>
      </w:tblGrid>
      <w:tr>
        <w:trPr>
          <w:tblHeader w:val="true"/>
        </w:trPr>
        <w:tc>
          <w:tcPr>
            <w:tcW w:type="dxa" w:w="2160"/>
            <w:vAlign w:val="center"/>
            <w:shd w:fill="193A5B"/>
          </w:tcPr>
          <w:p>
            <w:r>
              <w:rPr>
                <w:b/>
                <w:color w:val="FFFFFF"/>
                <w:sz w:val="16"/>
              </w:rPr>
              <w:t>Control</w:t>
            </w:r>
          </w:p>
        </w:tc>
        <w:tc>
          <w:tcPr>
            <w:tcW w:type="dxa" w:w="7920"/>
            <w:vAlign w:val="center"/>
            <w:shd w:fill="193A5B"/>
          </w:tcPr>
          <w:p>
            <w:r>
              <w:rPr>
                <w:b/>
                <w:color w:val="FFFFFF"/>
                <w:sz w:val="16"/>
              </w:rPr>
              <w:t>WI and form source</w:t>
            </w:r>
          </w:p>
        </w:tc>
        <w:tc>
          <w:tcPr>
            <w:tcW w:type="dxa" w:w="11520"/>
            <w:vAlign w:val="center"/>
            <w:shd w:fill="193A5B"/>
          </w:tcPr>
          <w:p>
            <w:r>
              <w:rPr>
                <w:b/>
                <w:color w:val="FFFFFF"/>
                <w:sz w:val="16"/>
              </w:rPr>
              <w:t>Assessment</w:t>
            </w:r>
          </w:p>
        </w:tc>
      </w:tr>
      <w:tr>
        <w:tc>
          <w:tcPr>
            <w:tcW w:type="dxa" w:w="2160"/>
            <w:vAlign w:val="top"/>
          </w:tcPr>
          <w:p>
            <w:pPr>
              <w:spacing w:after="20" w:line="245" w:lineRule="auto"/>
            </w:pPr>
            <w:r>
              <w:rPr>
                <w:color w:val="222C36"/>
                <w:sz w:val="16"/>
              </w:rPr>
              <w:t>COV-01</w:t>
            </w:r>
          </w:p>
        </w:tc>
        <w:tc>
          <w:tcPr>
            <w:tcW w:type="dxa" w:w="7920"/>
            <w:vAlign w:val="top"/>
          </w:tcPr>
          <w:p>
            <w:pPr>
              <w:spacing w:after="20" w:line="245" w:lineRule="auto"/>
            </w:pPr>
            <w:r>
              <w:rPr>
                <w:color w:val="222C36"/>
                <w:sz w:val="16"/>
              </w:rPr>
              <w:t>Tube ID, OD, and length listed as inspection characteristics</w:t>
            </w:r>
          </w:p>
        </w:tc>
        <w:tc>
          <w:tcPr>
            <w:tcW w:type="dxa" w:w="11520"/>
            <w:vAlign w:val="top"/>
          </w:tcPr>
          <w:p>
            <w:pPr>
              <w:spacing w:after="20" w:line="245" w:lineRule="auto"/>
            </w:pPr>
            <w:r>
              <w:rPr>
                <w:color w:val="222C36"/>
                <w:sz w:val="16"/>
              </w:rPr>
              <w:t>WI p.3 §§8.1–8.1.1; form rows 3–4</w:t>
            </w:r>
          </w:p>
        </w:tc>
      </w:tr>
      <w:tr>
        <w:tc>
          <w:tcPr>
            <w:tcW w:type="dxa" w:w="2160"/>
            <w:vAlign w:val="top"/>
            <w:shd w:fill="F1F5F8"/>
          </w:tcPr>
          <w:p>
            <w:pPr>
              <w:spacing w:after="20" w:line="245" w:lineRule="auto"/>
            </w:pPr>
            <w:r>
              <w:rPr>
                <w:color w:val="222C36"/>
                <w:sz w:val="16"/>
              </w:rPr>
              <w:t>COV-02</w:t>
            </w:r>
          </w:p>
        </w:tc>
        <w:tc>
          <w:tcPr>
            <w:tcW w:type="dxa" w:w="7920"/>
            <w:vAlign w:val="top"/>
            <w:shd w:fill="F1F5F8"/>
          </w:tcPr>
          <w:p>
            <w:pPr>
              <w:spacing w:after="20" w:line="245" w:lineRule="auto"/>
            </w:pPr>
            <w:r>
              <w:rPr>
                <w:color w:val="222C36"/>
                <w:sz w:val="16"/>
              </w:rPr>
              <w:t>Universal connector surface, fitting and ID/OD</w:t>
            </w:r>
          </w:p>
        </w:tc>
        <w:tc>
          <w:tcPr>
            <w:tcW w:type="dxa" w:w="11520"/>
            <w:vAlign w:val="top"/>
            <w:shd w:fill="F1F5F8"/>
          </w:tcPr>
          <w:p>
            <w:pPr>
              <w:spacing w:after="20" w:line="245" w:lineRule="auto"/>
            </w:pPr>
            <w:r>
              <w:rPr>
                <w:color w:val="222C36"/>
                <w:sz w:val="16"/>
              </w:rPr>
              <w:t>WI p.3 §7.4; form rows 5–6</w:t>
            </w:r>
          </w:p>
        </w:tc>
      </w:tr>
      <w:tr>
        <w:tc>
          <w:tcPr>
            <w:tcW w:type="dxa" w:w="2160"/>
            <w:vAlign w:val="top"/>
          </w:tcPr>
          <w:p>
            <w:pPr>
              <w:spacing w:after="20" w:line="245" w:lineRule="auto"/>
            </w:pPr>
            <w:r>
              <w:rPr>
                <w:color w:val="222C36"/>
                <w:sz w:val="16"/>
              </w:rPr>
              <w:t>COV-03</w:t>
            </w:r>
          </w:p>
        </w:tc>
        <w:tc>
          <w:tcPr>
            <w:tcW w:type="dxa" w:w="7920"/>
            <w:vAlign w:val="top"/>
          </w:tcPr>
          <w:p>
            <w:pPr>
              <w:spacing w:after="20" w:line="245" w:lineRule="auto"/>
            </w:pPr>
            <w:r>
              <w:rPr>
                <w:color w:val="222C36"/>
                <w:sz w:val="16"/>
              </w:rPr>
              <w:t>Tube surface appearance and typical defects</w:t>
            </w:r>
          </w:p>
        </w:tc>
        <w:tc>
          <w:tcPr>
            <w:tcW w:type="dxa" w:w="11520"/>
            <w:vAlign w:val="top"/>
          </w:tcPr>
          <w:p>
            <w:pPr>
              <w:spacing w:after="20" w:line="245" w:lineRule="auto"/>
            </w:pPr>
            <w:r>
              <w:rPr>
                <w:color w:val="222C36"/>
                <w:sz w:val="16"/>
              </w:rPr>
              <w:t>WI p.3 §8.1.1; form rows 1–2</w:t>
            </w:r>
          </w:p>
        </w:tc>
      </w:tr>
      <w:tr>
        <w:tc>
          <w:tcPr>
            <w:tcW w:type="dxa" w:w="2160"/>
            <w:vAlign w:val="top"/>
            <w:shd w:fill="F1F5F8"/>
          </w:tcPr>
          <w:p>
            <w:pPr>
              <w:spacing w:after="20" w:line="245" w:lineRule="auto"/>
            </w:pPr>
            <w:r>
              <w:rPr>
                <w:color w:val="222C36"/>
                <w:sz w:val="16"/>
              </w:rPr>
              <w:t>COV-04</w:t>
            </w:r>
          </w:p>
        </w:tc>
        <w:tc>
          <w:tcPr>
            <w:tcW w:type="dxa" w:w="7920"/>
            <w:vAlign w:val="top"/>
            <w:shd w:fill="F1F5F8"/>
          </w:tcPr>
          <w:p>
            <w:pPr>
              <w:spacing w:after="20" w:line="245" w:lineRule="auto"/>
            </w:pPr>
            <w:r>
              <w:rPr>
                <w:color w:val="222C36"/>
                <w:sz w:val="16"/>
              </w:rPr>
              <w:t>Two-hour tubing check and recording</w:t>
            </w:r>
          </w:p>
        </w:tc>
        <w:tc>
          <w:tcPr>
            <w:tcW w:type="dxa" w:w="11520"/>
            <w:vAlign w:val="top"/>
            <w:shd w:fill="F1F5F8"/>
          </w:tcPr>
          <w:p>
            <w:pPr>
              <w:spacing w:after="20" w:line="245" w:lineRule="auto"/>
            </w:pPr>
            <w:r>
              <w:rPr>
                <w:color w:val="222C36"/>
                <w:sz w:val="16"/>
              </w:rPr>
              <w:t>WI p.3 §8.1.1; form time grid</w:t>
            </w:r>
          </w:p>
        </w:tc>
      </w:tr>
    </w:tbl>
    <w:p>
      <w:pPr>
        <w:pStyle w:val="Heading1"/>
      </w:pPr>
      <w:r>
        <w:t>5. Initial open issues</w:t>
      </w:r>
    </w:p>
    <w:tbl>
      <w:tblPr>
        <w:tblStyle w:val="TableGrid"/>
        <w:tblW w:type="auto" w:w="0"/>
        <w:jc w:val="center"/>
        <w:tblLayout w:type="fixed"/>
        <w:tblLook w:firstColumn="1" w:firstRow="1" w:lastColumn="0" w:lastRow="0" w:noHBand="0" w:noVBand="1" w:val="04A0"/>
      </w:tblPr>
      <w:tblGrid>
        <w:gridCol w:w="7392"/>
        <w:gridCol w:w="7392"/>
        <w:gridCol w:w="7392"/>
      </w:tblGrid>
      <w:tr>
        <w:trPr>
          <w:tblHeader w:val="true"/>
        </w:trPr>
        <w:tc>
          <w:tcPr>
            <w:tcW w:type="dxa" w:w="1872"/>
            <w:vAlign w:val="center"/>
            <w:shd w:fill="193A5B"/>
          </w:tcPr>
          <w:p>
            <w:r>
              <w:rPr>
                <w:b/>
                <w:color w:val="FFFFFF"/>
                <w:sz w:val="16"/>
              </w:rPr>
              <w:t>Gap ID</w:t>
            </w:r>
          </w:p>
        </w:tc>
        <w:tc>
          <w:tcPr>
            <w:tcW w:type="dxa" w:w="2376"/>
            <w:vAlign w:val="center"/>
            <w:shd w:fill="193A5B"/>
          </w:tcPr>
          <w:p>
            <w:r>
              <w:rPr>
                <w:b/>
                <w:color w:val="FFFFFF"/>
                <w:sz w:val="16"/>
              </w:rPr>
              <w:t>Priority</w:t>
            </w:r>
          </w:p>
        </w:tc>
        <w:tc>
          <w:tcPr>
            <w:tcW w:type="dxa" w:w="17280"/>
            <w:vAlign w:val="center"/>
            <w:shd w:fill="193A5B"/>
          </w:tcPr>
          <w:p>
            <w:r>
              <w:rPr>
                <w:b/>
                <w:color w:val="FFFFFF"/>
                <w:sz w:val="16"/>
              </w:rPr>
              <w:t>Technical issue / current classification</w:t>
            </w:r>
          </w:p>
        </w:tc>
      </w:tr>
      <w:tr>
        <w:tc>
          <w:tcPr>
            <w:tcW w:type="dxa" w:w="1872"/>
            <w:vAlign w:val="top"/>
          </w:tcPr>
          <w:p>
            <w:pPr>
              <w:spacing w:after="20" w:line="245" w:lineRule="auto"/>
            </w:pPr>
            <w:r>
              <w:rPr>
                <w:color w:val="222C36"/>
                <w:sz w:val="16"/>
              </w:rPr>
              <w:t>GAP-001</w:t>
            </w:r>
          </w:p>
        </w:tc>
        <w:tc>
          <w:tcPr>
            <w:tcW w:type="dxa" w:w="2376"/>
            <w:vAlign w:val="top"/>
          </w:tcPr>
          <w:p>
            <w:pPr>
              <w:spacing w:after="20" w:line="245" w:lineRule="auto"/>
            </w:pPr>
            <w:r>
              <w:rPr>
                <w:color w:val="222C36"/>
                <w:sz w:val="16"/>
              </w:rPr>
              <w:t>P1 (provisional)</w:t>
            </w:r>
          </w:p>
        </w:tc>
        <w:tc>
          <w:tcPr>
            <w:tcW w:type="dxa" w:w="17280"/>
            <w:vAlign w:val="top"/>
          </w:tcPr>
          <w:p>
            <w:pPr>
              <w:spacing w:after="20" w:line="245" w:lineRule="auto"/>
            </w:pPr>
            <w:r>
              <w:rPr>
                <w:color w:val="222C36"/>
                <w:sz w:val="16"/>
              </w:rPr>
              <w:t>Approved dimensional limits and specification revisions not verified</w:t>
            </w:r>
          </w:p>
        </w:tc>
      </w:tr>
      <w:tr>
        <w:tc>
          <w:tcPr>
            <w:tcW w:type="dxa" w:w="1872"/>
            <w:vAlign w:val="top"/>
            <w:shd w:fill="F1F5F8"/>
          </w:tcPr>
          <w:p>
            <w:pPr>
              <w:spacing w:after="20" w:line="245" w:lineRule="auto"/>
            </w:pPr>
            <w:r>
              <w:rPr>
                <w:color w:val="222C36"/>
                <w:sz w:val="16"/>
              </w:rPr>
              <w:t>GAP-002</w:t>
            </w:r>
          </w:p>
        </w:tc>
        <w:tc>
          <w:tcPr>
            <w:tcW w:type="dxa" w:w="2376"/>
            <w:vAlign w:val="top"/>
            <w:shd w:fill="F1F5F8"/>
          </w:tcPr>
          <w:p>
            <w:pPr>
              <w:spacing w:after="20" w:line="245" w:lineRule="auto"/>
            </w:pPr>
            <w:r>
              <w:rPr>
                <w:color w:val="222C36"/>
                <w:sz w:val="16"/>
              </w:rPr>
              <w:t>P2</w:t>
            </w:r>
          </w:p>
        </w:tc>
        <w:tc>
          <w:tcPr>
            <w:tcW w:type="dxa" w:w="17280"/>
            <w:vAlign w:val="top"/>
            <w:shd w:fill="F1F5F8"/>
          </w:tcPr>
          <w:p>
            <w:pPr>
              <w:spacing w:after="20" w:line="245" w:lineRule="auto"/>
            </w:pPr>
            <w:r>
              <w:rPr>
                <w:color w:val="222C36"/>
                <w:sz w:val="16"/>
              </w:rPr>
              <w:t>Numerical in-process measurement evidence is not captured on the displayed form</w:t>
            </w:r>
          </w:p>
        </w:tc>
      </w:tr>
      <w:tr>
        <w:tc>
          <w:tcPr>
            <w:tcW w:type="dxa" w:w="1872"/>
            <w:vAlign w:val="top"/>
          </w:tcPr>
          <w:p>
            <w:pPr>
              <w:spacing w:after="20" w:line="245" w:lineRule="auto"/>
            </w:pPr>
            <w:r>
              <w:rPr>
                <w:color w:val="222C36"/>
                <w:sz w:val="16"/>
              </w:rPr>
              <w:t>GAP-003</w:t>
            </w:r>
          </w:p>
        </w:tc>
        <w:tc>
          <w:tcPr>
            <w:tcW w:type="dxa" w:w="2376"/>
            <w:vAlign w:val="top"/>
          </w:tcPr>
          <w:p>
            <w:pPr>
              <w:spacing w:after="20" w:line="245" w:lineRule="auto"/>
            </w:pPr>
            <w:r>
              <w:rPr>
                <w:color w:val="222C36"/>
                <w:sz w:val="16"/>
              </w:rPr>
              <w:t>P2</w:t>
            </w:r>
          </w:p>
        </w:tc>
        <w:tc>
          <w:tcPr>
            <w:tcW w:type="dxa" w:w="17280"/>
            <w:vAlign w:val="top"/>
          </w:tcPr>
          <w:p>
            <w:pPr>
              <w:spacing w:after="20" w:line="245" w:lineRule="auto"/>
            </w:pPr>
            <w:r>
              <w:rPr>
                <w:color w:val="222C36"/>
                <w:sz w:val="16"/>
              </w:rPr>
              <w:t>Subjective visual and kink/retention acceptance methods require verification</w:t>
            </w:r>
          </w:p>
        </w:tc>
      </w:tr>
      <w:tr>
        <w:tc>
          <w:tcPr>
            <w:tcW w:type="dxa" w:w="1872"/>
            <w:vAlign w:val="top"/>
            <w:shd w:fill="F1F5F8"/>
          </w:tcPr>
          <w:p>
            <w:pPr>
              <w:spacing w:after="20" w:line="245" w:lineRule="auto"/>
            </w:pPr>
            <w:r>
              <w:rPr>
                <w:color w:val="222C36"/>
                <w:sz w:val="16"/>
              </w:rPr>
              <w:t>GAP-004</w:t>
            </w:r>
          </w:p>
        </w:tc>
        <w:tc>
          <w:tcPr>
            <w:tcW w:type="dxa" w:w="2376"/>
            <w:vAlign w:val="top"/>
            <w:shd w:fill="F1F5F8"/>
          </w:tcPr>
          <w:p>
            <w:pPr>
              <w:spacing w:after="20" w:line="245" w:lineRule="auto"/>
            </w:pPr>
            <w:r>
              <w:rPr>
                <w:color w:val="222C36"/>
                <w:sz w:val="16"/>
              </w:rPr>
              <w:t>P2</w:t>
            </w:r>
          </w:p>
        </w:tc>
        <w:tc>
          <w:tcPr>
            <w:tcW w:type="dxa" w:w="17280"/>
            <w:vAlign w:val="top"/>
            <w:shd w:fill="F1F5F8"/>
          </w:tcPr>
          <w:p>
            <w:pPr>
              <w:spacing w:after="20" w:line="245" w:lineRule="auto"/>
            </w:pPr>
            <w:r>
              <w:rPr>
                <w:color w:val="222C36"/>
                <w:sz w:val="16"/>
              </w:rPr>
              <w:t>Two-hour checks require stronger time, sample and shift traceability</w:t>
            </w:r>
          </w:p>
        </w:tc>
      </w:tr>
      <w:tr>
        <w:tc>
          <w:tcPr>
            <w:tcW w:type="dxa" w:w="1872"/>
            <w:vAlign w:val="top"/>
          </w:tcPr>
          <w:p>
            <w:pPr>
              <w:spacing w:after="20" w:line="245" w:lineRule="auto"/>
            </w:pPr>
            <w:r>
              <w:rPr>
                <w:color w:val="222C36"/>
                <w:sz w:val="16"/>
              </w:rPr>
              <w:t>GAP-005</w:t>
            </w:r>
          </w:p>
        </w:tc>
        <w:tc>
          <w:tcPr>
            <w:tcW w:type="dxa" w:w="2376"/>
            <w:vAlign w:val="top"/>
          </w:tcPr>
          <w:p>
            <w:pPr>
              <w:spacing w:after="20" w:line="245" w:lineRule="auto"/>
            </w:pPr>
            <w:r>
              <w:rPr>
                <w:color w:val="222C36"/>
                <w:sz w:val="16"/>
              </w:rPr>
              <w:t>P2</w:t>
            </w:r>
          </w:p>
        </w:tc>
        <w:tc>
          <w:tcPr>
            <w:tcW w:type="dxa" w:w="17280"/>
            <w:vAlign w:val="top"/>
          </w:tcPr>
          <w:p>
            <w:pPr>
              <w:spacing w:after="20" w:line="245" w:lineRule="auto"/>
            </w:pPr>
            <w:r>
              <w:rPr>
                <w:color w:val="222C36"/>
                <w:sz w:val="16"/>
              </w:rPr>
              <w:t>Equipment ID and calibration linkage not visible</w:t>
            </w:r>
          </w:p>
        </w:tc>
      </w:tr>
      <w:tr>
        <w:tc>
          <w:tcPr>
            <w:tcW w:type="dxa" w:w="1872"/>
            <w:vAlign w:val="top"/>
            <w:shd w:fill="F1F5F8"/>
          </w:tcPr>
          <w:p>
            <w:pPr>
              <w:spacing w:after="20" w:line="245" w:lineRule="auto"/>
            </w:pPr>
            <w:r>
              <w:rPr>
                <w:color w:val="222C36"/>
                <w:sz w:val="16"/>
              </w:rPr>
              <w:t>GAP-006</w:t>
            </w:r>
          </w:p>
        </w:tc>
        <w:tc>
          <w:tcPr>
            <w:tcW w:type="dxa" w:w="2376"/>
            <w:vAlign w:val="top"/>
            <w:shd w:fill="F1F5F8"/>
          </w:tcPr>
          <w:p>
            <w:pPr>
              <w:spacing w:after="20" w:line="245" w:lineRule="auto"/>
            </w:pPr>
            <w:r>
              <w:rPr>
                <w:color w:val="222C36"/>
                <w:sz w:val="16"/>
              </w:rPr>
              <w:t>P2</w:t>
            </w:r>
          </w:p>
        </w:tc>
        <w:tc>
          <w:tcPr>
            <w:tcW w:type="dxa" w:w="17280"/>
            <w:vAlign w:val="top"/>
            <w:shd w:fill="F1F5F8"/>
          </w:tcPr>
          <w:p>
            <w:pPr>
              <w:spacing w:after="20" w:line="245" w:lineRule="auto"/>
            </w:pPr>
            <w:r>
              <w:rPr>
                <w:color w:val="222C36"/>
                <w:sz w:val="16"/>
              </w:rPr>
              <w:t>Failed/missed in-process check handling and disposition not evidenced</w:t>
            </w:r>
          </w:p>
        </w:tc>
      </w:tr>
    </w:tbl>
    <w:p>
      <w:pPr>
        <w:pStyle w:val="Heading1"/>
      </w:pPr>
      <w:r>
        <w:t>6. Items for verification — not counted as gaps</w:t>
      </w:r>
    </w:p>
    <w:tbl>
      <w:tblPr>
        <w:tblStyle w:val="TableGrid"/>
        <w:tblW w:type="auto" w:w="0"/>
        <w:jc w:val="center"/>
        <w:tblLayout w:type="fixed"/>
        <w:tblLook w:firstColumn="1" w:firstRow="1" w:lastColumn="0" w:lastRow="0" w:noHBand="0" w:noVBand="1" w:val="04A0"/>
      </w:tblPr>
      <w:tblGrid>
        <w:gridCol w:w="7392"/>
        <w:gridCol w:w="7392"/>
        <w:gridCol w:w="7392"/>
      </w:tblGrid>
      <w:tr>
        <w:trPr>
          <w:tblHeader w:val="true"/>
        </w:trPr>
        <w:tc>
          <w:tcPr>
            <w:tcW w:type="dxa" w:w="2016"/>
            <w:vAlign w:val="center"/>
            <w:shd w:fill="193A5B"/>
          </w:tcPr>
          <w:p>
            <w:r>
              <w:rPr>
                <w:b/>
                <w:color w:val="FFFFFF"/>
                <w:sz w:val="16"/>
              </w:rPr>
              <w:t>ID</w:t>
            </w:r>
          </w:p>
        </w:tc>
        <w:tc>
          <w:tcPr>
            <w:tcW w:type="dxa" w:w="4536"/>
            <w:vAlign w:val="center"/>
            <w:shd w:fill="193A5B"/>
          </w:tcPr>
          <w:p>
            <w:r>
              <w:rPr>
                <w:b/>
                <w:color w:val="FFFFFF"/>
                <w:sz w:val="16"/>
              </w:rPr>
              <w:t>Topic</w:t>
            </w:r>
          </w:p>
        </w:tc>
        <w:tc>
          <w:tcPr>
            <w:tcW w:type="dxa" w:w="14976"/>
            <w:vAlign w:val="center"/>
            <w:shd w:fill="193A5B"/>
          </w:tcPr>
          <w:p>
            <w:r>
              <w:rPr>
                <w:b/>
                <w:color w:val="FFFFFF"/>
                <w:sz w:val="16"/>
              </w:rPr>
              <w:t>Reason and review needed</w:t>
            </w:r>
          </w:p>
        </w:tc>
      </w:tr>
      <w:tr>
        <w:tc>
          <w:tcPr>
            <w:tcW w:type="dxa" w:w="2016"/>
            <w:vAlign w:val="top"/>
          </w:tcPr>
          <w:p>
            <w:pPr>
              <w:spacing w:after="20" w:line="245" w:lineRule="auto"/>
            </w:pPr>
            <w:r>
              <w:rPr>
                <w:color w:val="222C36"/>
                <w:sz w:val="16"/>
              </w:rPr>
              <w:t>VER-001</w:t>
            </w:r>
          </w:p>
        </w:tc>
        <w:tc>
          <w:tcPr>
            <w:tcW w:type="dxa" w:w="4536"/>
            <w:vAlign w:val="top"/>
          </w:tcPr>
          <w:p>
            <w:pPr>
              <w:spacing w:after="20" w:line="245" w:lineRule="auto"/>
            </w:pPr>
            <w:r>
              <w:rPr>
                <w:color w:val="222C36"/>
                <w:sz w:val="16"/>
              </w:rPr>
              <w:t>In-Process / WI document scope</w:t>
            </w:r>
          </w:p>
        </w:tc>
        <w:tc>
          <w:tcPr>
            <w:tcW w:type="dxa" w:w="14976"/>
            <w:vAlign w:val="top"/>
          </w:tcPr>
          <w:p>
            <w:pPr>
              <w:spacing w:after="20" w:line="245" w:lineRule="auto"/>
            </w:pPr>
            <w:r>
              <w:rPr>
                <w:color w:val="222C36"/>
                <w:sz w:val="16"/>
              </w:rPr>
              <w:t>Form header cites WI-8-2-2-33-1. WI p.3 §8.1–8.1.1 explicitly covers tubing, and WI p.5 §10.4 covers the glued joint. The previously alleged complete absence of a tube WI link is NOT supported. Check current approved form matrix and applicability; treat as verification, not a confirmed gap.</w:t>
            </w:r>
          </w:p>
        </w:tc>
      </w:tr>
      <w:tr>
        <w:tc>
          <w:tcPr>
            <w:tcW w:type="dxa" w:w="2016"/>
            <w:vAlign w:val="top"/>
            <w:shd w:fill="F1F5F8"/>
          </w:tcPr>
          <w:p>
            <w:pPr>
              <w:spacing w:after="20" w:line="245" w:lineRule="auto"/>
            </w:pPr>
            <w:r>
              <w:rPr>
                <w:color w:val="222C36"/>
                <w:sz w:val="16"/>
              </w:rPr>
              <w:t>VER-002</w:t>
            </w:r>
          </w:p>
        </w:tc>
        <w:tc>
          <w:tcPr>
            <w:tcW w:type="dxa" w:w="4536"/>
            <w:vAlign w:val="top"/>
            <w:shd w:fill="F1F5F8"/>
          </w:tcPr>
          <w:p>
            <w:pPr>
              <w:spacing w:after="20" w:line="245" w:lineRule="auto"/>
            </w:pPr>
            <w:r>
              <w:rPr>
                <w:color w:val="222C36"/>
                <w:sz w:val="16"/>
              </w:rPr>
              <w:t>Sampling scheme / external forms</w:t>
            </w:r>
          </w:p>
        </w:tc>
        <w:tc>
          <w:tcPr>
            <w:tcW w:type="dxa" w:w="14976"/>
            <w:vAlign w:val="top"/>
            <w:shd w:fill="F1F5F8"/>
          </w:tcPr>
          <w:p>
            <w:pPr>
              <w:spacing w:after="20" w:line="245" w:lineRule="auto"/>
            </w:pPr>
            <w:r>
              <w:rPr>
                <w:color w:val="222C36"/>
                <w:sz w:val="16"/>
              </w:rPr>
              <w:t>WI p.3 §8.1 refers to AQL general visual and special physical inspection; WI pp.5–6 list additional in-process forms. Applicable AQL tables, inspection level/sample size, current forms and batch evidence are not supplied. No sampling defect or absent company record can be confirmed from this submission.</w:t>
            </w:r>
          </w:p>
        </w:tc>
      </w:tr>
    </w:tbl>
    <w:p>
      <w:r>
        <w:br w:type="page"/>
      </w:r>
    </w:p>
    <w:p>
      <w:pPr>
        <w:pStyle w:val="Heading1"/>
      </w:pPr>
      <w:r>
        <w:t>7. MASTER GAP &amp; REVISION TABLE (seven-column governing format)</w:t>
      </w:r>
    </w:p>
    <w:p>
      <w:r>
        <w:t>The original mandatory seven column headings are retained for continuity. In columns 5/6, “Inspection” means the provided IN-PROCESS form, not final inspection. In “ISO Says”, no standard has been supplied: the verified WI/form basis is noted, never attributed to ISO.</w:t>
      </w:r>
    </w:p>
    <w:tbl>
      <w:tblPr>
        <w:tblStyle w:val="TableGrid"/>
        <w:tblW w:type="auto" w:w="0"/>
        <w:jc w:val="center"/>
        <w:tblLayout w:type="fixed"/>
        <w:tblLook w:firstColumn="1" w:firstRow="1" w:lastColumn="0" w:lastRow="0" w:noHBand="0" w:noVBand="1" w:val="04A0"/>
      </w:tblPr>
      <w:tblGrid>
        <w:gridCol w:w="3168"/>
        <w:gridCol w:w="3168"/>
        <w:gridCol w:w="3168"/>
        <w:gridCol w:w="3168"/>
        <w:gridCol w:w="3168"/>
        <w:gridCol w:w="3168"/>
        <w:gridCol w:w="3168"/>
      </w:tblGrid>
      <w:tr>
        <w:trPr>
          <w:tblHeader w:val="true"/>
        </w:trPr>
        <w:tc>
          <w:tcPr>
            <w:tcW w:type="dxa" w:w="3082"/>
            <w:vAlign w:val="center"/>
            <w:shd w:fill="193A5B"/>
          </w:tcPr>
          <w:p>
            <w:r>
              <w:rPr>
                <w:b/>
                <w:color w:val="FFFFFF"/>
                <w:sz w:val="14"/>
              </w:rPr>
              <w:t>Gap / Our Problem</w:t>
            </w:r>
          </w:p>
        </w:tc>
        <w:tc>
          <w:tcPr>
            <w:tcW w:type="dxa" w:w="2131"/>
            <w:vAlign w:val="center"/>
            <w:shd w:fill="193A5B"/>
          </w:tcPr>
          <w:p>
            <w:r>
              <w:rPr>
                <w:b/>
                <w:color w:val="FFFFFF"/>
                <w:sz w:val="14"/>
              </w:rPr>
              <w:t>ISO Says</w:t>
            </w:r>
          </w:p>
        </w:tc>
        <w:tc>
          <w:tcPr>
            <w:tcW w:type="dxa" w:w="3067"/>
            <w:vAlign w:val="center"/>
            <w:shd w:fill="193A5B"/>
          </w:tcPr>
          <w:p>
            <w:r>
              <w:rPr>
                <w:b/>
                <w:color w:val="FFFFFF"/>
                <w:sz w:val="14"/>
              </w:rPr>
              <w:t>Existing WI Text</w:t>
            </w:r>
          </w:p>
        </w:tc>
        <w:tc>
          <w:tcPr>
            <w:tcW w:type="dxa" w:w="3830"/>
            <w:vAlign w:val="center"/>
            <w:shd w:fill="193A5B"/>
          </w:tcPr>
          <w:p>
            <w:r>
              <w:rPr>
                <w:b/>
                <w:color w:val="FFFFFF"/>
                <w:sz w:val="14"/>
              </w:rPr>
              <w:t>Revised WI Text</w:t>
            </w:r>
          </w:p>
        </w:tc>
        <w:tc>
          <w:tcPr>
            <w:tcW w:type="dxa" w:w="3197"/>
            <w:vAlign w:val="center"/>
            <w:shd w:fill="193A5B"/>
          </w:tcPr>
          <w:p>
            <w:r>
              <w:rPr>
                <w:b/>
                <w:color w:val="FFFFFF"/>
                <w:sz w:val="14"/>
              </w:rPr>
              <w:t>Existing Inspection Text</w:t>
            </w:r>
          </w:p>
        </w:tc>
        <w:tc>
          <w:tcPr>
            <w:tcW w:type="dxa" w:w="3773"/>
            <w:vAlign w:val="center"/>
            <w:shd w:fill="193A5B"/>
          </w:tcPr>
          <w:p>
            <w:r>
              <w:rPr>
                <w:b/>
                <w:color w:val="FFFFFF"/>
                <w:sz w:val="14"/>
              </w:rPr>
              <w:t>Revised Inspection Text</w:t>
            </w:r>
          </w:p>
        </w:tc>
        <w:tc>
          <w:tcPr>
            <w:tcW w:type="dxa" w:w="3067"/>
            <w:vAlign w:val="center"/>
            <w:shd w:fill="193A5B"/>
          </w:tcPr>
          <w:p>
            <w:r>
              <w:rPr>
                <w:b/>
                <w:color w:val="FFFFFF"/>
                <w:sz w:val="14"/>
              </w:rPr>
              <w:t>Evidence (ISO Closure)</w:t>
            </w:r>
          </w:p>
        </w:tc>
      </w:tr>
      <w:tr>
        <w:tc>
          <w:tcPr>
            <w:tcW w:type="dxa" w:w="3082"/>
            <w:vAlign w:val="top"/>
          </w:tcPr>
          <w:p>
            <w:pPr>
              <w:spacing w:after="20" w:line="245" w:lineRule="auto"/>
            </w:pPr>
            <w:r>
              <w:rPr>
                <w:color w:val="222C36"/>
                <w:sz w:val="14"/>
              </w:rPr>
              <w:t>GAP-001 | P1 (provisional)</w:t>
              <w:br/>
              <w:t>Approved dimensional limits and specification revisions not verified</w:t>
              <w:br/>
              <w:br/>
              <w:t>Tube/connector dimensional rows use “as per specification”. The referenced TF-33-PS / TF-33-PDBM, effective revisions and numeric acceptance limits were not provided. The values may exist in controlled records; absence from this submission is NOT proof they do not exist.</w:t>
            </w:r>
          </w:p>
        </w:tc>
        <w:tc>
          <w:tcPr>
            <w:tcW w:type="dxa" w:w="2131"/>
            <w:vAlign w:val="top"/>
          </w:tcPr>
          <w:p>
            <w:pPr>
              <w:spacing w:after="20" w:line="245" w:lineRule="auto"/>
            </w:pPr>
            <w:r>
              <w:rPr>
                <w:color w:val="222C36"/>
                <w:sz w:val="14"/>
              </w:rPr>
              <w:t>N/A - No ISO standard supplied. Assessment is restricted to the existing WI and the Oxygen Tube In-Process Control form; no ISO clause or conformity claim.</w:t>
            </w:r>
          </w:p>
        </w:tc>
        <w:tc>
          <w:tcPr>
            <w:tcW w:type="dxa" w:w="3067"/>
            <w:vAlign w:val="top"/>
          </w:tcPr>
          <w:p>
            <w:pPr>
              <w:spacing w:after="20" w:line="245" w:lineRule="auto"/>
            </w:pPr>
            <w:r>
              <w:rPr>
                <w:color w:val="222C36"/>
                <w:sz w:val="14"/>
              </w:rPr>
              <w:t>WI p.2 §6: dimensions and material specification referenced to TF-33-PS. WI p.3 §7.4: connector ID/OD “as per specification”; §8.1/8.1.1: tube ID/OD and length “as per specification”.</w:t>
            </w:r>
          </w:p>
        </w:tc>
        <w:tc>
          <w:tcPr>
            <w:tcW w:type="dxa" w:w="3830"/>
            <w:vAlign w:val="top"/>
          </w:tcPr>
          <w:p>
            <w:pPr>
              <w:spacing w:after="20" w:line="245" w:lineRule="auto"/>
            </w:pPr>
            <w:r>
              <w:rPr>
                <w:color w:val="222C36"/>
                <w:sz w:val="14"/>
              </w:rPr>
              <w:t>Proposed §6.1 — Before making a dimensional acceptance decision, identify the approved product/connector specification by ID, revision and characteristic. Verify the applicable nominal value, lower/upper acceptance limits (if used), units and approved method. If any required limit or approved reference cannot be confirmed, classify the affected result PENDING for authorized review; do not infer conformity.</w:t>
            </w:r>
          </w:p>
        </w:tc>
        <w:tc>
          <w:tcPr>
            <w:tcW w:type="dxa" w:w="3197"/>
            <w:vAlign w:val="top"/>
          </w:tcPr>
          <w:p>
            <w:pPr>
              <w:spacing w:after="20" w:line="245" w:lineRule="auto"/>
            </w:pPr>
            <w:r>
              <w:rPr>
                <w:color w:val="222C36"/>
                <w:sz w:val="14"/>
              </w:rPr>
              <w:t>F-823-138-1 p.1, header Ref.Doc.: WI-8-2-2-33-1 / TF-33-PS / TF-33-PDBM; rows 3-4, 6-7: “As per specification” for length and ID/OD with units; no numerical tolerance/revision displayed.</w:t>
            </w:r>
          </w:p>
        </w:tc>
        <w:tc>
          <w:tcPr>
            <w:tcW w:type="dxa" w:w="3773"/>
            <w:vAlign w:val="top"/>
          </w:tcPr>
          <w:p>
            <w:pPr>
              <w:spacing w:after="20" w:line="245" w:lineRule="auto"/>
            </w:pPr>
            <w:r>
              <w:rPr>
                <w:color w:val="222C36"/>
                <w:sz w:val="14"/>
              </w:rPr>
              <w:t>Add an approved characteristics/limits matrix with spec ID/revision, characteristic, nominal and tolerances, unit, method reference and effective-date verification. Populate only from the current approved specification; pending fields remain OPEN TECHNICAL INPUT REQUIRED.</w:t>
            </w:r>
          </w:p>
        </w:tc>
        <w:tc>
          <w:tcPr>
            <w:tcW w:type="dxa" w:w="3067"/>
            <w:vAlign w:val="top"/>
          </w:tcPr>
          <w:p>
            <w:pPr>
              <w:spacing w:after="20" w:line="245" w:lineRule="auto"/>
            </w:pPr>
            <w:r>
              <w:rPr>
                <w:color w:val="222C36"/>
                <w:sz w:val="14"/>
              </w:rPr>
              <w:t>Approved TF-33-PS and TF-33-PDBM, confirmed effective revisions, applicable dimensional limit matrix, reviewed check records. Status: Open — Technical reference/evidence verification.</w:t>
            </w:r>
          </w:p>
        </w:tc>
      </w:tr>
      <w:tr>
        <w:tc>
          <w:tcPr>
            <w:tcW w:type="dxa" w:w="3082"/>
            <w:vAlign w:val="top"/>
            <w:shd w:fill="F1F5F8"/>
          </w:tcPr>
          <w:p>
            <w:pPr>
              <w:spacing w:after="20" w:line="245" w:lineRule="auto"/>
            </w:pPr>
            <w:r>
              <w:rPr>
                <w:color w:val="222C36"/>
                <w:sz w:val="14"/>
              </w:rPr>
              <w:t>GAP-002 | P2</w:t>
              <w:br/>
              <w:t>Numerical in-process measurement evidence is not captured on the displayed form</w:t>
              <w:br/>
              <w:br/>
              <w:t>The form has time-slot result boxes for tube length/ID/OD and connector dimensions/length but no dedicated actual-value field. A separate approved measurement log was not provided; therefore this is a FORM/RECORD VERIFICATION GAP, not proof measurements were not taken.</w:t>
            </w:r>
          </w:p>
        </w:tc>
        <w:tc>
          <w:tcPr>
            <w:tcW w:type="dxa" w:w="2131"/>
            <w:vAlign w:val="top"/>
            <w:shd w:fill="F1F5F8"/>
          </w:tcPr>
          <w:p>
            <w:pPr>
              <w:spacing w:after="20" w:line="245" w:lineRule="auto"/>
            </w:pPr>
            <w:r>
              <w:rPr>
                <w:color w:val="222C36"/>
                <w:sz w:val="14"/>
              </w:rPr>
              <w:t>N/A - No ISO standard supplied. Assessment is restricted to the existing WI and the Oxygen Tube In-Process Control form; no ISO clause or conformity claim.</w:t>
            </w:r>
          </w:p>
        </w:tc>
        <w:tc>
          <w:tcPr>
            <w:tcW w:type="dxa" w:w="3067"/>
            <w:vAlign w:val="top"/>
            <w:shd w:fill="F1F5F8"/>
          </w:tcPr>
          <w:p>
            <w:pPr>
              <w:spacing w:after="20" w:line="245" w:lineRule="auto"/>
            </w:pPr>
            <w:r>
              <w:rPr>
                <w:color w:val="222C36"/>
                <w:sz w:val="14"/>
              </w:rPr>
              <w:t>WI p.3 §7.4: connector ID/OD accuracy; §8.1: tube ID/OD and length; §8.1.1: dimensions as specified, results recorded in Inprocess control form at two-hour checks.</w:t>
            </w:r>
          </w:p>
        </w:tc>
        <w:tc>
          <w:tcPr>
            <w:tcW w:type="dxa" w:w="3830"/>
            <w:vAlign w:val="top"/>
            <w:shd w:fill="F1F5F8"/>
          </w:tcPr>
          <w:p>
            <w:pPr>
              <w:spacing w:after="20" w:line="245" w:lineRule="auto"/>
            </w:pPr>
            <w:r>
              <w:rPr>
                <w:color w:val="222C36"/>
                <w:sz w:val="14"/>
              </w:rPr>
              <w:t>Proposed §8.1.2 — For each dimensional check required by the approved process control plan, record the actual tube length in cm and tube internal/external diameters in mm; where connector dimensions apply, record connector internal/external diameters and connector length in mm. Record sample identification, method/equipment ID, approved acceptance-reference and result in the controlled In-Process Control record or a uniquely linked approved worksheet.</w:t>
            </w:r>
          </w:p>
        </w:tc>
        <w:tc>
          <w:tcPr>
            <w:tcW w:type="dxa" w:w="3197"/>
            <w:vAlign w:val="top"/>
            <w:shd w:fill="F1F5F8"/>
          </w:tcPr>
          <w:p>
            <w:pPr>
              <w:spacing w:after="20" w:line="245" w:lineRule="auto"/>
            </w:pPr>
            <w:r>
              <w:rPr>
                <w:color w:val="222C36"/>
                <w:sz w:val="14"/>
              </w:rPr>
              <w:t>F-823-138-1 p.1 rows 3, 4, 6, 7 and timestamp grid: characteristic/result check cells, with no numeric reading fields shown.</w:t>
            </w:r>
          </w:p>
        </w:tc>
        <w:tc>
          <w:tcPr>
            <w:tcW w:type="dxa" w:w="3773"/>
            <w:vAlign w:val="top"/>
            <w:shd w:fill="F1F5F8"/>
          </w:tcPr>
          <w:p>
            <w:pPr>
              <w:spacing w:after="20" w:line="245" w:lineRule="auto"/>
            </w:pPr>
            <w:r>
              <w:rPr>
                <w:color w:val="222C36"/>
                <w:sz w:val="14"/>
              </w:rPr>
              <w:t>Add dedicated linked measurement log: event date/time, tube lot, sample ID, Tube Length (cm), Tube ID/OD (mm), Connector ID/OD (mm), Connector Length (mm), approved limits reference, instrument ID, Pass/Fail/Pending and inspector. The original time-grid may remain as summary when linked to numeric records.</w:t>
            </w:r>
          </w:p>
        </w:tc>
        <w:tc>
          <w:tcPr>
            <w:tcW w:type="dxa" w:w="3067"/>
            <w:vAlign w:val="top"/>
            <w:shd w:fill="F1F5F8"/>
          </w:tcPr>
          <w:p>
            <w:pPr>
              <w:spacing w:after="20" w:line="245" w:lineRule="auto"/>
            </w:pPr>
            <w:r>
              <w:rPr>
                <w:color w:val="222C36"/>
                <w:sz w:val="14"/>
              </w:rPr>
              <w:t>Executed numeric log OR demonstrated approved alternative record, source limits, method and calibrated equipment ID. Status: Open — Measurement record verification.</w:t>
            </w:r>
          </w:p>
        </w:tc>
      </w:tr>
      <w:tr>
        <w:tc>
          <w:tcPr>
            <w:tcW w:type="dxa" w:w="3082"/>
            <w:vAlign w:val="top"/>
          </w:tcPr>
          <w:p>
            <w:pPr>
              <w:spacing w:after="20" w:line="245" w:lineRule="auto"/>
            </w:pPr>
            <w:r>
              <w:rPr>
                <w:color w:val="222C36"/>
                <w:sz w:val="14"/>
              </w:rPr>
              <w:t>GAP-003 | P2</w:t>
              <w:br/>
              <w:t>Subjective visual and kink/retention acceptance methods require verification</w:t>
              <w:br/>
              <w:br/>
              <w:t>The WI and form describe smooth surfaces, suitable fit, flexibility/kink resistance and bonded-joint retention, but no supporting approved visual defect guide or reproducible functional/retention method was provided. A method may exist outside the supplied WI.</w:t>
            </w:r>
          </w:p>
        </w:tc>
        <w:tc>
          <w:tcPr>
            <w:tcW w:type="dxa" w:w="2131"/>
            <w:vAlign w:val="top"/>
          </w:tcPr>
          <w:p>
            <w:pPr>
              <w:spacing w:after="20" w:line="245" w:lineRule="auto"/>
            </w:pPr>
            <w:r>
              <w:rPr>
                <w:color w:val="222C36"/>
                <w:sz w:val="14"/>
              </w:rPr>
              <w:t>N/A - No ISO standard supplied. Assessment is restricted to the existing WI and the Oxygen Tube In-Process Control form; no ISO clause or conformity claim.</w:t>
            </w:r>
          </w:p>
        </w:tc>
        <w:tc>
          <w:tcPr>
            <w:tcW w:type="dxa" w:w="3067"/>
            <w:vAlign w:val="top"/>
          </w:tcPr>
          <w:p>
            <w:pPr>
              <w:spacing w:after="20" w:line="245" w:lineRule="auto"/>
            </w:pPr>
            <w:r>
              <w:rPr>
                <w:color w:val="222C36"/>
                <w:sz w:val="14"/>
              </w:rPr>
              <w:t>WI p.3 §§7.4, 8.1.1: connector surface, fit and tube visual defects. WI p.5 §10.4: glued tube must not detach; free from excess glue. WI p.2 §7.1: surface defect criteria for mask.</w:t>
            </w:r>
          </w:p>
        </w:tc>
        <w:tc>
          <w:tcPr>
            <w:tcW w:type="dxa" w:w="3830"/>
            <w:vAlign w:val="top"/>
          </w:tcPr>
          <w:p>
            <w:pPr>
              <w:spacing w:after="20" w:line="245" w:lineRule="auto"/>
            </w:pPr>
            <w:r>
              <w:rPr>
                <w:color w:val="222C36"/>
                <w:sz w:val="14"/>
              </w:rPr>
              <w:t>Proposed §§7.4.1, 8.1.3 and 10.4.1 — Apply the current approved visual defect criteria and applicable approved methods for connector fit, tubing flexibility/kink condition and tube-to-connector retention. Record method ID/revision, test or visual condition (where defined), observable result, sample identity and acceptance decision. Do not add assumed bend radius, force, duration or sample quantity. Where no approved criterion can be verified, hold the acceptance decision for technical review.</w:t>
            </w:r>
          </w:p>
        </w:tc>
        <w:tc>
          <w:tcPr>
            <w:tcW w:type="dxa" w:w="3197"/>
            <w:vAlign w:val="top"/>
          </w:tcPr>
          <w:p>
            <w:pPr>
              <w:spacing w:after="20" w:line="245" w:lineRule="auto"/>
            </w:pPr>
            <w:r>
              <w:rPr>
                <w:color w:val="222C36"/>
                <w:sz w:val="14"/>
              </w:rPr>
              <w:t>F-823-138-1 p.1 rows 1,2,5,8: “good appearance”, “flexible &amp; kink resistant”, connector fit, and “strong gluing / no pullout” without displayed method reference/result details.</w:t>
            </w:r>
          </w:p>
        </w:tc>
        <w:tc>
          <w:tcPr>
            <w:tcW w:type="dxa" w:w="3773"/>
            <w:vAlign w:val="top"/>
          </w:tcPr>
          <w:p>
            <w:pPr>
              <w:spacing w:after="20" w:line="245" w:lineRule="auto"/>
            </w:pPr>
            <w:r>
              <w:rPr>
                <w:color w:val="222C36"/>
                <w:sz w:val="14"/>
              </w:rPr>
              <w:t>Retain source rows 1,2,5,8. Add visual defect code/approved reference, separate tube status and kink outcome, connector fit result and glue retention method/outcome; include criteria reference or PENDING when not available.</w:t>
            </w:r>
          </w:p>
        </w:tc>
        <w:tc>
          <w:tcPr>
            <w:tcW w:type="dxa" w:w="3067"/>
            <w:vAlign w:val="top"/>
          </w:tcPr>
          <w:p>
            <w:pPr>
              <w:spacing w:after="20" w:line="245" w:lineRule="auto"/>
            </w:pPr>
            <w:r>
              <w:rPr>
                <w:color w:val="222C36"/>
                <w:sz w:val="14"/>
              </w:rPr>
              <w:t>Approved visual standard/approved samples, approved flexibility and retention methods if applicable, verified results and training/qualification as required. Status: Open — Method/evidence verification.</w:t>
            </w:r>
          </w:p>
        </w:tc>
      </w:tr>
      <w:tr>
        <w:tc>
          <w:tcPr>
            <w:tcW w:type="dxa" w:w="3082"/>
            <w:vAlign w:val="top"/>
            <w:shd w:fill="F1F5F8"/>
          </w:tcPr>
          <w:p>
            <w:pPr>
              <w:spacing w:after="20" w:line="245" w:lineRule="auto"/>
            </w:pPr>
            <w:r>
              <w:rPr>
                <w:color w:val="222C36"/>
                <w:sz w:val="14"/>
              </w:rPr>
              <w:t>GAP-004 | P2</w:t>
              <w:br/>
              <w:t>Two-hour checks require stronger time, sample and shift traceability</w:t>
              <w:br/>
              <w:br/>
              <w:t>WI p.3 explicitly requires a QC tubing check every 2 hours. The form has 2-hour clock labels across a day/night cycle, but no per-event sample ID, inspected quantity, actual date for overnight shift or check-specific inspector identity. A linked batch traveler was not provided.</w:t>
            </w:r>
          </w:p>
        </w:tc>
        <w:tc>
          <w:tcPr>
            <w:tcW w:type="dxa" w:w="2131"/>
            <w:vAlign w:val="top"/>
            <w:shd w:fill="F1F5F8"/>
          </w:tcPr>
          <w:p>
            <w:pPr>
              <w:spacing w:after="20" w:line="245" w:lineRule="auto"/>
            </w:pPr>
            <w:r>
              <w:rPr>
                <w:color w:val="222C36"/>
                <w:sz w:val="14"/>
              </w:rPr>
              <w:t>N/A - No ISO standard supplied. Assessment is restricted to the existing WI and the Oxygen Tube In-Process Control form; no ISO clause or conformity claim.</w:t>
            </w:r>
          </w:p>
        </w:tc>
        <w:tc>
          <w:tcPr>
            <w:tcW w:type="dxa" w:w="3067"/>
            <w:vAlign w:val="top"/>
            <w:shd w:fill="F1F5F8"/>
          </w:tcPr>
          <w:p>
            <w:pPr>
              <w:spacing w:after="20" w:line="245" w:lineRule="auto"/>
            </w:pPr>
            <w:r>
              <w:rPr>
                <w:color w:val="222C36"/>
                <w:sz w:val="14"/>
              </w:rPr>
              <w:t>WI p.3 §8.1.1: “Every 2 hours Quality controller will check mask tubing” and record in Inprocess control form. The same page also contains every-two-hours complete-shot checks for some component checks (§7.4, §7.6 context).</w:t>
            </w:r>
          </w:p>
        </w:tc>
        <w:tc>
          <w:tcPr>
            <w:tcW w:type="dxa" w:w="3830"/>
            <w:vAlign w:val="top"/>
            <w:shd w:fill="F1F5F8"/>
          </w:tcPr>
          <w:p>
            <w:pPr>
              <w:spacing w:after="20" w:line="245" w:lineRule="auto"/>
            </w:pPr>
            <w:r>
              <w:rPr>
                <w:color w:val="222C36"/>
                <w:sz w:val="14"/>
              </w:rPr>
              <w:t>Proposed §8.1.4 — Perform the mask tube check at the existing specified two-hour interval during applicable production. For each actual check, record the date/time (including date rollover), lot, process line, inspected sample identification/count as defined by the approved plan, result, and inspector identity. Any missed interval shall be documented and evaluated per the authorized process. The two-hour requirement is source-based; sampling quantities shall be verified from the applicable approved sampling plan.</w:t>
            </w:r>
          </w:p>
        </w:tc>
        <w:tc>
          <w:tcPr>
            <w:tcW w:type="dxa" w:w="3197"/>
            <w:vAlign w:val="top"/>
            <w:shd w:fill="F1F5F8"/>
          </w:tcPr>
          <w:p>
            <w:pPr>
              <w:spacing w:after="20" w:line="245" w:lineRule="auto"/>
            </w:pPr>
            <w:r>
              <w:rPr>
                <w:color w:val="222C36"/>
                <w:sz w:val="14"/>
              </w:rPr>
              <w:t>F-823-138-1 p.1 Date/Shift and 7 AM–next 7 AM grid; individual time cells lack dated sample IDs, number inspected and initials.</w:t>
            </w:r>
          </w:p>
        </w:tc>
        <w:tc>
          <w:tcPr>
            <w:tcW w:type="dxa" w:w="3773"/>
            <w:vAlign w:val="top"/>
            <w:shd w:fill="F1F5F8"/>
          </w:tcPr>
          <w:p>
            <w:pPr>
              <w:spacing w:after="20" w:line="245" w:lineRule="auto"/>
            </w:pPr>
            <w:r>
              <w:rPr>
                <w:color w:val="222C36"/>
                <w:sz w:val="14"/>
              </w:rPr>
              <w:t>Retain 2-hour source schedule. Add actual event date, scheduled/actual time, shift, machine/line, sample ID/quantity, QC initials, missed-check reason and approval/hold reference when applicable.</w:t>
            </w:r>
          </w:p>
        </w:tc>
        <w:tc>
          <w:tcPr>
            <w:tcW w:type="dxa" w:w="3067"/>
            <w:vAlign w:val="top"/>
            <w:shd w:fill="F1F5F8"/>
          </w:tcPr>
          <w:p>
            <w:pPr>
              <w:spacing w:after="20" w:line="245" w:lineRule="auto"/>
            </w:pPr>
            <w:r>
              <w:rPr>
                <w:color w:val="222C36"/>
                <w:sz w:val="14"/>
              </w:rPr>
              <w:t>Approved sampling plan, training, time-stamped execution records across overnight shifts, exception records when applicable. Status: Open — Traceability/evidence.</w:t>
            </w:r>
          </w:p>
        </w:tc>
      </w:tr>
      <w:tr>
        <w:tc>
          <w:tcPr>
            <w:tcW w:type="dxa" w:w="3082"/>
            <w:vAlign w:val="top"/>
          </w:tcPr>
          <w:p>
            <w:pPr>
              <w:spacing w:after="20" w:line="245" w:lineRule="auto"/>
            </w:pPr>
            <w:r>
              <w:rPr>
                <w:color w:val="222C36"/>
                <w:sz w:val="14"/>
              </w:rPr>
              <w:t>GAP-005 | P2</w:t>
              <w:br/>
              <w:t>Equipment ID and calibration linkage not visible</w:t>
              <w:br/>
              <w:br/>
              <w:t>The form includes instruments-used tick boxes but does not show unique measuring instrument IDs or status checks. This may be documented elsewhere but was not verified in the evidence package.</w:t>
            </w:r>
          </w:p>
        </w:tc>
        <w:tc>
          <w:tcPr>
            <w:tcW w:type="dxa" w:w="2131"/>
            <w:vAlign w:val="top"/>
          </w:tcPr>
          <w:p>
            <w:pPr>
              <w:spacing w:after="20" w:line="245" w:lineRule="auto"/>
            </w:pPr>
            <w:r>
              <w:rPr>
                <w:color w:val="222C36"/>
                <w:sz w:val="14"/>
              </w:rPr>
              <w:t>N/A - No ISO standard supplied. Assessment is restricted to the existing WI and the Oxygen Tube In-Process Control form; no ISO clause or conformity claim.</w:t>
            </w:r>
          </w:p>
        </w:tc>
        <w:tc>
          <w:tcPr>
            <w:tcW w:type="dxa" w:w="3067"/>
            <w:vAlign w:val="top"/>
          </w:tcPr>
          <w:p>
            <w:pPr>
              <w:spacing w:after="20" w:line="245" w:lineRule="auto"/>
            </w:pPr>
            <w:r>
              <w:rPr>
                <w:color w:val="222C36"/>
                <w:sz w:val="14"/>
              </w:rPr>
              <w:t>WI p.3 §8.1 requires physical/dimensional tubing inspection; no instrument ID requirement visible in provided text of §8.1–8.1.1.</w:t>
            </w:r>
          </w:p>
        </w:tc>
        <w:tc>
          <w:tcPr>
            <w:tcW w:type="dxa" w:w="3830"/>
            <w:vAlign w:val="top"/>
          </w:tcPr>
          <w:p>
            <w:pPr>
              <w:spacing w:after="20" w:line="245" w:lineRule="auto"/>
            </w:pPr>
            <w:r>
              <w:rPr>
                <w:color w:val="222C36"/>
                <w:sz w:val="14"/>
              </w:rPr>
              <w:t>Proposed §8.1.5 — Record the measuring instrument identity and confirm its approved calibration/verification status before use in dimensional checks, in accordance with the existing equipment-control procedure. Link any instrument issue to an impact assessment and disposition through authorized QC controls.</w:t>
            </w:r>
          </w:p>
        </w:tc>
        <w:tc>
          <w:tcPr>
            <w:tcW w:type="dxa" w:w="3197"/>
            <w:vAlign w:val="top"/>
          </w:tcPr>
          <w:p>
            <w:pPr>
              <w:spacing w:after="20" w:line="245" w:lineRule="auto"/>
            </w:pPr>
            <w:r>
              <w:rPr>
                <w:color w:val="222C36"/>
                <w:sz w:val="14"/>
              </w:rPr>
              <w:t>F-823-138-1 p.1: instrument-type check boxes (e.g. vernier caliper, measuring scale, micrometer); no equipment asset code and verification status field shown.</w:t>
            </w:r>
          </w:p>
        </w:tc>
        <w:tc>
          <w:tcPr>
            <w:tcW w:type="dxa" w:w="3773"/>
            <w:vAlign w:val="top"/>
          </w:tcPr>
          <w:p>
            <w:pPr>
              <w:spacing w:after="20" w:line="245" w:lineRule="auto"/>
            </w:pPr>
            <w:r>
              <w:rPr>
                <w:color w:val="222C36"/>
                <w:sz w:val="14"/>
              </w:rPr>
              <w:t>For each numeric inspection: method reference, instrument type, unique instrument ID, calibration/verification status and any exception reference.</w:t>
            </w:r>
          </w:p>
        </w:tc>
        <w:tc>
          <w:tcPr>
            <w:tcW w:type="dxa" w:w="3067"/>
            <w:vAlign w:val="top"/>
          </w:tcPr>
          <w:p>
            <w:pPr>
              <w:spacing w:after="20" w:line="245" w:lineRule="auto"/>
            </w:pPr>
            <w:r>
              <w:rPr>
                <w:color w:val="222C36"/>
                <w:sz w:val="14"/>
              </w:rPr>
              <w:t>Instrument register and current status, equipment ID on measurement records, issue disposition where relevant. Status: Open — Equipment evidence verification.</w:t>
            </w:r>
          </w:p>
        </w:tc>
      </w:tr>
      <w:tr>
        <w:tc>
          <w:tcPr>
            <w:tcW w:type="dxa" w:w="3082"/>
            <w:vAlign w:val="top"/>
            <w:shd w:fill="F1F5F8"/>
          </w:tcPr>
          <w:p>
            <w:pPr>
              <w:spacing w:after="20" w:line="245" w:lineRule="auto"/>
            </w:pPr>
            <w:r>
              <w:rPr>
                <w:color w:val="222C36"/>
                <w:sz w:val="14"/>
              </w:rPr>
              <w:t>GAP-006 | P2</w:t>
              <w:br/>
              <w:t>Failed/missed in-process check handling and disposition not evidenced</w:t>
              <w:br/>
              <w:br/>
              <w:t>The form legend allows failure and remarks, but no dedicated fields for potentially affected production interval, containment/NCR, authorized disposition or reinspection. A separate established procedure may provide the control; evidence is pending.</w:t>
            </w:r>
          </w:p>
        </w:tc>
        <w:tc>
          <w:tcPr>
            <w:tcW w:type="dxa" w:w="2131"/>
            <w:vAlign w:val="top"/>
            <w:shd w:fill="F1F5F8"/>
          </w:tcPr>
          <w:p>
            <w:pPr>
              <w:spacing w:after="20" w:line="245" w:lineRule="auto"/>
            </w:pPr>
            <w:r>
              <w:rPr>
                <w:color w:val="222C36"/>
                <w:sz w:val="14"/>
              </w:rPr>
              <w:t>N/A - No ISO standard supplied. Assessment is restricted to the existing WI and the Oxygen Tube In-Process Control form; no ISO clause or conformity claim.</w:t>
            </w:r>
          </w:p>
        </w:tc>
        <w:tc>
          <w:tcPr>
            <w:tcW w:type="dxa" w:w="3067"/>
            <w:vAlign w:val="top"/>
            <w:shd w:fill="F1F5F8"/>
          </w:tcPr>
          <w:p>
            <w:pPr>
              <w:spacing w:after="20" w:line="245" w:lineRule="auto"/>
            </w:pPr>
            <w:r>
              <w:rPr>
                <w:color w:val="222C36"/>
                <w:sz w:val="14"/>
              </w:rPr>
              <w:t>WI p.3 §8.1.1 and p.5 §10.4 instruct checks and recording. The supplied pages do not establish a detailed handling pathway for failed tube checks.</w:t>
            </w:r>
          </w:p>
        </w:tc>
        <w:tc>
          <w:tcPr>
            <w:tcW w:type="dxa" w:w="3830"/>
            <w:vAlign w:val="top"/>
            <w:shd w:fill="F1F5F8"/>
          </w:tcPr>
          <w:p>
            <w:pPr>
              <w:spacing w:after="20" w:line="245" w:lineRule="auto"/>
            </w:pPr>
            <w:r>
              <w:rPr>
                <w:color w:val="222C36"/>
                <w:sz w:val="14"/>
              </w:rPr>
              <w:t>Proposed §8.1.6 — When an in-process inspection fails, is missed or is pending essential acceptance information, identify the potentially affected production interval and follow the approved nonconforming product/deviation procedure. Record containment reference, authorized disposition and verification of any required recheck before acceptance or onward transfer. Escalation and release authority remain governed by approved company procedures.</w:t>
            </w:r>
          </w:p>
        </w:tc>
        <w:tc>
          <w:tcPr>
            <w:tcW w:type="dxa" w:w="3197"/>
            <w:vAlign w:val="top"/>
            <w:shd w:fill="F1F5F8"/>
          </w:tcPr>
          <w:p>
            <w:pPr>
              <w:spacing w:after="20" w:line="245" w:lineRule="auto"/>
            </w:pPr>
            <w:r>
              <w:rPr>
                <w:color w:val="222C36"/>
                <w:sz w:val="14"/>
              </w:rPr>
              <w:t>F-823-138-1 p.1 legend: tick acceptable, X not acceptable, R read remarks, N/A; remarks/signatures; no specific containment/NCR/recheck columns.</w:t>
            </w:r>
          </w:p>
        </w:tc>
        <w:tc>
          <w:tcPr>
            <w:tcW w:type="dxa" w:w="3773"/>
            <w:vAlign w:val="top"/>
            <w:shd w:fill="F1F5F8"/>
          </w:tcPr>
          <w:p>
            <w:pPr>
              <w:spacing w:after="20" w:line="245" w:lineRule="auto"/>
            </w:pPr>
            <w:r>
              <w:rPr>
                <w:color w:val="222C36"/>
                <w:sz w:val="14"/>
              </w:rPr>
              <w:t>Add exception ID, failed characteristic, actual time, affected lot/interval, hold/NCR reference, responsible function, disposition, recheck evidence and review sign-off; do not override existing approval authority.</w:t>
            </w:r>
          </w:p>
        </w:tc>
        <w:tc>
          <w:tcPr>
            <w:tcW w:type="dxa" w:w="3067"/>
            <w:vAlign w:val="top"/>
            <w:shd w:fill="F1F5F8"/>
          </w:tcPr>
          <w:p>
            <w:pPr>
              <w:spacing w:after="20" w:line="245" w:lineRule="auto"/>
            </w:pPr>
            <w:r>
              <w:rPr>
                <w:color w:val="222C36"/>
                <w:sz w:val="14"/>
              </w:rPr>
              <w:t>Approved nonconforming product procedure, linked failed-event and hold/NCR examples if any, disposition and recheck evidence. Status: Open — Process/evidence verification.</w:t>
            </w:r>
          </w:p>
        </w:tc>
      </w:tr>
    </w:tbl>
    <w:p>
      <w:pPr>
        <w:pStyle w:val="Heading1"/>
      </w:pPr>
      <w:r>
        <w:t>8. Verification and control strategy</w:t>
      </w:r>
    </w:p>
    <w:p>
      <w:r>
        <w:t>The form has eight source-defined checks: tube appearance; tube status; length; ID/OD; connector appearance/fit; connector ID/OD; connector length; tube/connector gluing. The source WI p.3 explicitly requires two-hour tubing checks and identifies AQL general visual / AQL special physical testing for the tube stage. This does not establish the numerical sampling plan or permissions to infer lot sizes. Retain the two-hour requirement; confirm exact approved sampling quantity, technique and external forms. Use traceable numeric measurements or verified linked worksheet for dimensional checks.</w:t>
      </w:r>
    </w:p>
    <w:p>
      <w:pPr>
        <w:pStyle w:val="Heading1"/>
      </w:pPr>
      <w:r>
        <w:t>9. Updated WI and In-Process form overview</w:t>
      </w:r>
    </w:p>
    <w:p>
      <w:r>
        <w:t>The WI rewrite now includes all six original printed pages, including §§7.4–7.6 and 8.1–8.1.1. Original valid requirements are retained in source-faithful paraphrase with clear sources. Proposed additions in the draft are identified as proposed and do not supersede issued criteria. The updated In-Process form retains all eight controls, the two-hour production check, and adds an editable measurement/evidence and exception structure.</w:t>
      </w:r>
    </w:p>
    <w:p>
      <w:pPr>
        <w:pStyle w:val="Heading1"/>
      </w:pPr>
      <w:r>
        <w:t>10. Current review and closure</w:t>
      </w:r>
    </w:p>
    <w:p>
      <w:r>
        <w:t>WI documentary coverage for the key oxygen tubing characteristics is confirmed, but numeric acceptance criteria, approved method/frequency details, executed results, instrument status and nonconformance handling were not fully verified from the submitted materials. Closure status for each listed gap remains OPEN — evidence and/or technical input. A proposed WI or blank form cannot demonstrate conformity.</w:t>
      </w:r>
    </w:p>
    <w:p>
      <w:pPr>
        <w:pStyle w:val="Heading1"/>
      </w:pPr>
      <w:r>
        <w:t>11. QC Manager action plan</w:t>
      </w:r>
    </w:p>
    <w:tbl>
      <w:tblPr>
        <w:tblStyle w:val="TableGrid"/>
        <w:tblW w:type="auto" w:w="0"/>
        <w:jc w:val="center"/>
        <w:tblLayout w:type="fixed"/>
        <w:tblLook w:firstColumn="1" w:firstRow="1" w:lastColumn="0" w:lastRow="0" w:noHBand="0" w:noVBand="1" w:val="04A0"/>
      </w:tblPr>
      <w:tblGrid>
        <w:gridCol w:w="3696"/>
        <w:gridCol w:w="3696"/>
        <w:gridCol w:w="3696"/>
        <w:gridCol w:w="3696"/>
        <w:gridCol w:w="3696"/>
        <w:gridCol w:w="3696"/>
      </w:tblGrid>
      <w:tr>
        <w:trPr>
          <w:tblHeader w:val="true"/>
        </w:trPr>
        <w:tc>
          <w:tcPr>
            <w:tcW w:type="dxa" w:w="1584"/>
            <w:vAlign w:val="center"/>
            <w:shd w:fill="193A5B"/>
          </w:tcPr>
          <w:p>
            <w:r>
              <w:rPr>
                <w:b/>
                <w:color w:val="FFFFFF"/>
                <w:sz w:val="15"/>
              </w:rPr>
              <w:t>ID</w:t>
            </w:r>
          </w:p>
        </w:tc>
        <w:tc>
          <w:tcPr>
            <w:tcW w:type="dxa" w:w="1728"/>
            <w:vAlign w:val="center"/>
            <w:shd w:fill="193A5B"/>
          </w:tcPr>
          <w:p>
            <w:r>
              <w:rPr>
                <w:b/>
                <w:color w:val="FFFFFF"/>
                <w:sz w:val="15"/>
              </w:rPr>
              <w:t>Priority</w:t>
            </w:r>
          </w:p>
        </w:tc>
        <w:tc>
          <w:tcPr>
            <w:tcW w:type="dxa" w:w="4320"/>
            <w:vAlign w:val="center"/>
            <w:shd w:fill="193A5B"/>
          </w:tcPr>
          <w:p>
            <w:r>
              <w:rPr>
                <w:b/>
                <w:color w:val="FFFFFF"/>
                <w:sz w:val="15"/>
              </w:rPr>
              <w:t>Required decision/action</w:t>
            </w:r>
          </w:p>
        </w:tc>
        <w:tc>
          <w:tcPr>
            <w:tcW w:type="dxa" w:w="3168"/>
            <w:vAlign w:val="center"/>
            <w:shd w:fill="193A5B"/>
          </w:tcPr>
          <w:p>
            <w:r>
              <w:rPr>
                <w:b/>
                <w:color w:val="FFFFFF"/>
                <w:sz w:val="15"/>
              </w:rPr>
              <w:t>Function</w:t>
            </w:r>
          </w:p>
        </w:tc>
        <w:tc>
          <w:tcPr>
            <w:tcW w:type="dxa" w:w="8496"/>
            <w:vAlign w:val="center"/>
            <w:shd w:fill="193A5B"/>
          </w:tcPr>
          <w:p>
            <w:r>
              <w:rPr>
                <w:b/>
                <w:color w:val="FFFFFF"/>
                <w:sz w:val="15"/>
              </w:rPr>
              <w:t>Evidence for closure</w:t>
            </w:r>
          </w:p>
        </w:tc>
        <w:tc>
          <w:tcPr>
            <w:tcW w:type="dxa" w:w="2304"/>
            <w:vAlign w:val="center"/>
            <w:shd w:fill="193A5B"/>
          </w:tcPr>
          <w:p>
            <w:r>
              <w:rPr>
                <w:b/>
                <w:color w:val="FFFFFF"/>
                <w:sz w:val="15"/>
              </w:rPr>
              <w:t>Status</w:t>
            </w:r>
          </w:p>
        </w:tc>
      </w:tr>
      <w:tr>
        <w:tc>
          <w:tcPr>
            <w:tcW w:type="dxa" w:w="1584"/>
            <w:vAlign w:val="top"/>
          </w:tcPr>
          <w:p>
            <w:pPr>
              <w:spacing w:after="20" w:line="245" w:lineRule="auto"/>
            </w:pPr>
            <w:r>
              <w:rPr>
                <w:color w:val="222C36"/>
                <w:sz w:val="15"/>
              </w:rPr>
              <w:t>GAP-001</w:t>
            </w:r>
          </w:p>
        </w:tc>
        <w:tc>
          <w:tcPr>
            <w:tcW w:type="dxa" w:w="1728"/>
            <w:vAlign w:val="top"/>
          </w:tcPr>
          <w:p>
            <w:pPr>
              <w:spacing w:after="20" w:line="245" w:lineRule="auto"/>
            </w:pPr>
            <w:r>
              <w:rPr>
                <w:color w:val="222C36"/>
                <w:sz w:val="15"/>
              </w:rPr>
              <w:t>P1 (provisional)</w:t>
            </w:r>
          </w:p>
        </w:tc>
        <w:tc>
          <w:tcPr>
            <w:tcW w:type="dxa" w:w="4320"/>
            <w:vAlign w:val="top"/>
          </w:tcPr>
          <w:p>
            <w:pPr>
              <w:spacing w:after="20" w:line="245" w:lineRule="auto"/>
            </w:pPr>
            <w:r>
              <w:rPr>
                <w:color w:val="222C36"/>
                <w:sz w:val="15"/>
              </w:rPr>
              <w:t>Approved dimensional limits and specification revisions not verified</w:t>
            </w:r>
          </w:p>
        </w:tc>
        <w:tc>
          <w:tcPr>
            <w:tcW w:type="dxa" w:w="3168"/>
            <w:vAlign w:val="top"/>
          </w:tcPr>
          <w:p>
            <w:pPr>
              <w:spacing w:after="20" w:line="245" w:lineRule="auto"/>
            </w:pPr>
            <w:r>
              <w:rPr>
                <w:color w:val="222C36"/>
                <w:sz w:val="15"/>
              </w:rPr>
              <w:t>QC / Engineering / Document Control</w:t>
            </w:r>
          </w:p>
        </w:tc>
        <w:tc>
          <w:tcPr>
            <w:tcW w:type="dxa" w:w="8496"/>
            <w:vAlign w:val="top"/>
          </w:tcPr>
          <w:p>
            <w:pPr>
              <w:spacing w:after="20" w:line="245" w:lineRule="auto"/>
            </w:pPr>
            <w:r>
              <w:rPr>
                <w:color w:val="222C36"/>
                <w:sz w:val="15"/>
              </w:rPr>
              <w:t>Approved TF-33-PS and TF-33-PDBM, confirmed effective revisions, applicable dimensional limit matrix, reviewed check records.</w:t>
            </w:r>
          </w:p>
        </w:tc>
        <w:tc>
          <w:tcPr>
            <w:tcW w:type="dxa" w:w="2304"/>
            <w:vAlign w:val="top"/>
          </w:tcPr>
          <w:p>
            <w:pPr>
              <w:spacing w:after="20" w:line="245" w:lineRule="auto"/>
            </w:pPr>
            <w:r>
              <w:rPr>
                <w:color w:val="222C36"/>
                <w:sz w:val="15"/>
              </w:rPr>
              <w:t>Open — verification / approval</w:t>
            </w:r>
          </w:p>
        </w:tc>
      </w:tr>
      <w:tr>
        <w:tc>
          <w:tcPr>
            <w:tcW w:type="dxa" w:w="1584"/>
            <w:vAlign w:val="top"/>
            <w:shd w:fill="F1F5F8"/>
          </w:tcPr>
          <w:p>
            <w:pPr>
              <w:spacing w:after="20" w:line="245" w:lineRule="auto"/>
            </w:pPr>
            <w:r>
              <w:rPr>
                <w:color w:val="222C36"/>
                <w:sz w:val="15"/>
              </w:rPr>
              <w:t>GAP-002</w:t>
            </w:r>
          </w:p>
        </w:tc>
        <w:tc>
          <w:tcPr>
            <w:tcW w:type="dxa" w:w="1728"/>
            <w:vAlign w:val="top"/>
            <w:shd w:fill="F1F5F8"/>
          </w:tcPr>
          <w:p>
            <w:pPr>
              <w:spacing w:after="20" w:line="245" w:lineRule="auto"/>
            </w:pPr>
            <w:r>
              <w:rPr>
                <w:color w:val="222C36"/>
                <w:sz w:val="15"/>
              </w:rPr>
              <w:t>P2</w:t>
            </w:r>
          </w:p>
        </w:tc>
        <w:tc>
          <w:tcPr>
            <w:tcW w:type="dxa" w:w="4320"/>
            <w:vAlign w:val="top"/>
            <w:shd w:fill="F1F5F8"/>
          </w:tcPr>
          <w:p>
            <w:pPr>
              <w:spacing w:after="20" w:line="245" w:lineRule="auto"/>
            </w:pPr>
            <w:r>
              <w:rPr>
                <w:color w:val="222C36"/>
                <w:sz w:val="15"/>
              </w:rPr>
              <w:t>Numerical in-process measurement evidence is not captured on the displayed form</w:t>
            </w:r>
          </w:p>
        </w:tc>
        <w:tc>
          <w:tcPr>
            <w:tcW w:type="dxa" w:w="3168"/>
            <w:vAlign w:val="top"/>
            <w:shd w:fill="F1F5F8"/>
          </w:tcPr>
          <w:p>
            <w:pPr>
              <w:spacing w:after="20" w:line="245" w:lineRule="auto"/>
            </w:pPr>
            <w:r>
              <w:rPr>
                <w:color w:val="222C36"/>
                <w:sz w:val="15"/>
              </w:rPr>
              <w:t>QC / Document Control</w:t>
            </w:r>
          </w:p>
        </w:tc>
        <w:tc>
          <w:tcPr>
            <w:tcW w:type="dxa" w:w="8496"/>
            <w:vAlign w:val="top"/>
            <w:shd w:fill="F1F5F8"/>
          </w:tcPr>
          <w:p>
            <w:pPr>
              <w:spacing w:after="20" w:line="245" w:lineRule="auto"/>
            </w:pPr>
            <w:r>
              <w:rPr>
                <w:color w:val="222C36"/>
                <w:sz w:val="15"/>
              </w:rPr>
              <w:t>Executed numeric log OR demonstrated approved alternative record, source limits, method and calibrated equipment ID.</w:t>
            </w:r>
          </w:p>
        </w:tc>
        <w:tc>
          <w:tcPr>
            <w:tcW w:type="dxa" w:w="2304"/>
            <w:vAlign w:val="top"/>
            <w:shd w:fill="F1F5F8"/>
          </w:tcPr>
          <w:p>
            <w:pPr>
              <w:spacing w:after="20" w:line="245" w:lineRule="auto"/>
            </w:pPr>
            <w:r>
              <w:rPr>
                <w:color w:val="222C36"/>
                <w:sz w:val="15"/>
              </w:rPr>
              <w:t>Open — verification / approval</w:t>
            </w:r>
          </w:p>
        </w:tc>
      </w:tr>
      <w:tr>
        <w:tc>
          <w:tcPr>
            <w:tcW w:type="dxa" w:w="1584"/>
            <w:vAlign w:val="top"/>
          </w:tcPr>
          <w:p>
            <w:pPr>
              <w:spacing w:after="20" w:line="245" w:lineRule="auto"/>
            </w:pPr>
            <w:r>
              <w:rPr>
                <w:color w:val="222C36"/>
                <w:sz w:val="15"/>
              </w:rPr>
              <w:t>GAP-003</w:t>
            </w:r>
          </w:p>
        </w:tc>
        <w:tc>
          <w:tcPr>
            <w:tcW w:type="dxa" w:w="1728"/>
            <w:vAlign w:val="top"/>
          </w:tcPr>
          <w:p>
            <w:pPr>
              <w:spacing w:after="20" w:line="245" w:lineRule="auto"/>
            </w:pPr>
            <w:r>
              <w:rPr>
                <w:color w:val="222C36"/>
                <w:sz w:val="15"/>
              </w:rPr>
              <w:t>P2</w:t>
            </w:r>
          </w:p>
        </w:tc>
        <w:tc>
          <w:tcPr>
            <w:tcW w:type="dxa" w:w="4320"/>
            <w:vAlign w:val="top"/>
          </w:tcPr>
          <w:p>
            <w:pPr>
              <w:spacing w:after="20" w:line="245" w:lineRule="auto"/>
            </w:pPr>
            <w:r>
              <w:rPr>
                <w:color w:val="222C36"/>
                <w:sz w:val="15"/>
              </w:rPr>
              <w:t>Subjective visual and kink/retention acceptance methods require verification</w:t>
            </w:r>
          </w:p>
        </w:tc>
        <w:tc>
          <w:tcPr>
            <w:tcW w:type="dxa" w:w="3168"/>
            <w:vAlign w:val="top"/>
          </w:tcPr>
          <w:p>
            <w:pPr>
              <w:spacing w:after="20" w:line="245" w:lineRule="auto"/>
            </w:pPr>
            <w:r>
              <w:rPr>
                <w:color w:val="222C36"/>
                <w:sz w:val="15"/>
              </w:rPr>
              <w:t>QC / Engineering / QA</w:t>
            </w:r>
          </w:p>
        </w:tc>
        <w:tc>
          <w:tcPr>
            <w:tcW w:type="dxa" w:w="8496"/>
            <w:vAlign w:val="top"/>
          </w:tcPr>
          <w:p>
            <w:pPr>
              <w:spacing w:after="20" w:line="245" w:lineRule="auto"/>
            </w:pPr>
            <w:r>
              <w:rPr>
                <w:color w:val="222C36"/>
                <w:sz w:val="15"/>
              </w:rPr>
              <w:t>Approved visual standard/approved samples, approved flexibility and retention methods if applicable, verified results and training/qualification as required.</w:t>
            </w:r>
          </w:p>
        </w:tc>
        <w:tc>
          <w:tcPr>
            <w:tcW w:type="dxa" w:w="2304"/>
            <w:vAlign w:val="top"/>
          </w:tcPr>
          <w:p>
            <w:pPr>
              <w:spacing w:after="20" w:line="245" w:lineRule="auto"/>
            </w:pPr>
            <w:r>
              <w:rPr>
                <w:color w:val="222C36"/>
                <w:sz w:val="15"/>
              </w:rPr>
              <w:t>Open — verification / approval</w:t>
            </w:r>
          </w:p>
        </w:tc>
      </w:tr>
      <w:tr>
        <w:tc>
          <w:tcPr>
            <w:tcW w:type="dxa" w:w="1584"/>
            <w:vAlign w:val="top"/>
            <w:shd w:fill="F1F5F8"/>
          </w:tcPr>
          <w:p>
            <w:pPr>
              <w:spacing w:after="20" w:line="245" w:lineRule="auto"/>
            </w:pPr>
            <w:r>
              <w:rPr>
                <w:color w:val="222C36"/>
                <w:sz w:val="15"/>
              </w:rPr>
              <w:t>GAP-004</w:t>
            </w:r>
          </w:p>
        </w:tc>
        <w:tc>
          <w:tcPr>
            <w:tcW w:type="dxa" w:w="1728"/>
            <w:vAlign w:val="top"/>
            <w:shd w:fill="F1F5F8"/>
          </w:tcPr>
          <w:p>
            <w:pPr>
              <w:spacing w:after="20" w:line="245" w:lineRule="auto"/>
            </w:pPr>
            <w:r>
              <w:rPr>
                <w:color w:val="222C36"/>
                <w:sz w:val="15"/>
              </w:rPr>
              <w:t>P2</w:t>
            </w:r>
          </w:p>
        </w:tc>
        <w:tc>
          <w:tcPr>
            <w:tcW w:type="dxa" w:w="4320"/>
            <w:vAlign w:val="top"/>
            <w:shd w:fill="F1F5F8"/>
          </w:tcPr>
          <w:p>
            <w:pPr>
              <w:spacing w:after="20" w:line="245" w:lineRule="auto"/>
            </w:pPr>
            <w:r>
              <w:rPr>
                <w:color w:val="222C36"/>
                <w:sz w:val="15"/>
              </w:rPr>
              <w:t>Two-hour checks require stronger time, sample and shift traceability</w:t>
            </w:r>
          </w:p>
        </w:tc>
        <w:tc>
          <w:tcPr>
            <w:tcW w:type="dxa" w:w="3168"/>
            <w:vAlign w:val="top"/>
            <w:shd w:fill="F1F5F8"/>
          </w:tcPr>
          <w:p>
            <w:pPr>
              <w:spacing w:after="20" w:line="245" w:lineRule="auto"/>
            </w:pPr>
            <w:r>
              <w:rPr>
                <w:color w:val="222C36"/>
                <w:sz w:val="15"/>
              </w:rPr>
              <w:t>QC / Production / QA</w:t>
            </w:r>
          </w:p>
        </w:tc>
        <w:tc>
          <w:tcPr>
            <w:tcW w:type="dxa" w:w="8496"/>
            <w:vAlign w:val="top"/>
            <w:shd w:fill="F1F5F8"/>
          </w:tcPr>
          <w:p>
            <w:pPr>
              <w:spacing w:after="20" w:line="245" w:lineRule="auto"/>
            </w:pPr>
            <w:r>
              <w:rPr>
                <w:color w:val="222C36"/>
                <w:sz w:val="15"/>
              </w:rPr>
              <w:t>Approved sampling plan, training, time-stamped execution records across overnight shifts, exception records when applicable.</w:t>
            </w:r>
          </w:p>
        </w:tc>
        <w:tc>
          <w:tcPr>
            <w:tcW w:type="dxa" w:w="2304"/>
            <w:vAlign w:val="top"/>
            <w:shd w:fill="F1F5F8"/>
          </w:tcPr>
          <w:p>
            <w:pPr>
              <w:spacing w:after="20" w:line="245" w:lineRule="auto"/>
            </w:pPr>
            <w:r>
              <w:rPr>
                <w:color w:val="222C36"/>
                <w:sz w:val="15"/>
              </w:rPr>
              <w:t>Open — verification / approval</w:t>
            </w:r>
          </w:p>
        </w:tc>
      </w:tr>
      <w:tr>
        <w:tc>
          <w:tcPr>
            <w:tcW w:type="dxa" w:w="1584"/>
            <w:vAlign w:val="top"/>
          </w:tcPr>
          <w:p>
            <w:pPr>
              <w:spacing w:after="20" w:line="245" w:lineRule="auto"/>
            </w:pPr>
            <w:r>
              <w:rPr>
                <w:color w:val="222C36"/>
                <w:sz w:val="15"/>
              </w:rPr>
              <w:t>GAP-005</w:t>
            </w:r>
          </w:p>
        </w:tc>
        <w:tc>
          <w:tcPr>
            <w:tcW w:type="dxa" w:w="1728"/>
            <w:vAlign w:val="top"/>
          </w:tcPr>
          <w:p>
            <w:pPr>
              <w:spacing w:after="20" w:line="245" w:lineRule="auto"/>
            </w:pPr>
            <w:r>
              <w:rPr>
                <w:color w:val="222C36"/>
                <w:sz w:val="15"/>
              </w:rPr>
              <w:t>P2</w:t>
            </w:r>
          </w:p>
        </w:tc>
        <w:tc>
          <w:tcPr>
            <w:tcW w:type="dxa" w:w="4320"/>
            <w:vAlign w:val="top"/>
          </w:tcPr>
          <w:p>
            <w:pPr>
              <w:spacing w:after="20" w:line="245" w:lineRule="auto"/>
            </w:pPr>
            <w:r>
              <w:rPr>
                <w:color w:val="222C36"/>
                <w:sz w:val="15"/>
              </w:rPr>
              <w:t>Equipment ID and calibration linkage not visible</w:t>
            </w:r>
          </w:p>
        </w:tc>
        <w:tc>
          <w:tcPr>
            <w:tcW w:type="dxa" w:w="3168"/>
            <w:vAlign w:val="top"/>
          </w:tcPr>
          <w:p>
            <w:pPr>
              <w:spacing w:after="20" w:line="245" w:lineRule="auto"/>
            </w:pPr>
            <w:r>
              <w:rPr>
                <w:color w:val="222C36"/>
                <w:sz w:val="15"/>
              </w:rPr>
              <w:t>QC / Metrology</w:t>
            </w:r>
          </w:p>
        </w:tc>
        <w:tc>
          <w:tcPr>
            <w:tcW w:type="dxa" w:w="8496"/>
            <w:vAlign w:val="top"/>
          </w:tcPr>
          <w:p>
            <w:pPr>
              <w:spacing w:after="20" w:line="245" w:lineRule="auto"/>
            </w:pPr>
            <w:r>
              <w:rPr>
                <w:color w:val="222C36"/>
                <w:sz w:val="15"/>
              </w:rPr>
              <w:t>Instrument register and current status, equipment ID on measurement records, issue disposition where relevant.</w:t>
            </w:r>
          </w:p>
        </w:tc>
        <w:tc>
          <w:tcPr>
            <w:tcW w:type="dxa" w:w="2304"/>
            <w:vAlign w:val="top"/>
          </w:tcPr>
          <w:p>
            <w:pPr>
              <w:spacing w:after="20" w:line="245" w:lineRule="auto"/>
            </w:pPr>
            <w:r>
              <w:rPr>
                <w:color w:val="222C36"/>
                <w:sz w:val="15"/>
              </w:rPr>
              <w:t>Open — verification / approval</w:t>
            </w:r>
          </w:p>
        </w:tc>
      </w:tr>
      <w:tr>
        <w:tc>
          <w:tcPr>
            <w:tcW w:type="dxa" w:w="1584"/>
            <w:vAlign w:val="top"/>
            <w:shd w:fill="F1F5F8"/>
          </w:tcPr>
          <w:p>
            <w:pPr>
              <w:spacing w:after="20" w:line="245" w:lineRule="auto"/>
            </w:pPr>
            <w:r>
              <w:rPr>
                <w:color w:val="222C36"/>
                <w:sz w:val="15"/>
              </w:rPr>
              <w:t>GAP-006</w:t>
            </w:r>
          </w:p>
        </w:tc>
        <w:tc>
          <w:tcPr>
            <w:tcW w:type="dxa" w:w="1728"/>
            <w:vAlign w:val="top"/>
            <w:shd w:fill="F1F5F8"/>
          </w:tcPr>
          <w:p>
            <w:pPr>
              <w:spacing w:after="20" w:line="245" w:lineRule="auto"/>
            </w:pPr>
            <w:r>
              <w:rPr>
                <w:color w:val="222C36"/>
                <w:sz w:val="15"/>
              </w:rPr>
              <w:t>P2</w:t>
            </w:r>
          </w:p>
        </w:tc>
        <w:tc>
          <w:tcPr>
            <w:tcW w:type="dxa" w:w="4320"/>
            <w:vAlign w:val="top"/>
            <w:shd w:fill="F1F5F8"/>
          </w:tcPr>
          <w:p>
            <w:pPr>
              <w:spacing w:after="20" w:line="245" w:lineRule="auto"/>
            </w:pPr>
            <w:r>
              <w:rPr>
                <w:color w:val="222C36"/>
                <w:sz w:val="15"/>
              </w:rPr>
              <w:t>Failed/missed in-process check handling and disposition not evidenced</w:t>
            </w:r>
          </w:p>
        </w:tc>
        <w:tc>
          <w:tcPr>
            <w:tcW w:type="dxa" w:w="3168"/>
            <w:vAlign w:val="top"/>
            <w:shd w:fill="F1F5F8"/>
          </w:tcPr>
          <w:p>
            <w:pPr>
              <w:spacing w:after="20" w:line="245" w:lineRule="auto"/>
            </w:pPr>
            <w:r>
              <w:rPr>
                <w:color w:val="222C36"/>
                <w:sz w:val="15"/>
              </w:rPr>
              <w:t>QC / QA / Production</w:t>
            </w:r>
          </w:p>
        </w:tc>
        <w:tc>
          <w:tcPr>
            <w:tcW w:type="dxa" w:w="8496"/>
            <w:vAlign w:val="top"/>
            <w:shd w:fill="F1F5F8"/>
          </w:tcPr>
          <w:p>
            <w:pPr>
              <w:spacing w:after="20" w:line="245" w:lineRule="auto"/>
            </w:pPr>
            <w:r>
              <w:rPr>
                <w:color w:val="222C36"/>
                <w:sz w:val="15"/>
              </w:rPr>
              <w:t>Approved nonconforming product procedure, linked failed-event and hold/NCR examples if any, disposition and recheck evidence.</w:t>
            </w:r>
          </w:p>
        </w:tc>
        <w:tc>
          <w:tcPr>
            <w:tcW w:type="dxa" w:w="2304"/>
            <w:vAlign w:val="top"/>
            <w:shd w:fill="F1F5F8"/>
          </w:tcPr>
          <w:p>
            <w:pPr>
              <w:spacing w:after="20" w:line="245" w:lineRule="auto"/>
            </w:pPr>
            <w:r>
              <w:rPr>
                <w:color w:val="222C36"/>
                <w:sz w:val="15"/>
              </w:rPr>
              <w:t>Open — verification / approval</w:t>
            </w:r>
          </w:p>
        </w:tc>
      </w:tr>
    </w:tbl>
    <w:p>
      <w:pPr>
        <w:pStyle w:val="Heading1"/>
      </w:pPr>
      <w:r>
        <w:t>12. Management decision and final conclusion</w:t>
      </w:r>
    </w:p>
    <w:p>
      <w:pPr>
        <w:pStyle w:val="ListBullet"/>
      </w:pPr>
      <w:r>
        <w:t>Confirm approved TF-33-PS/TF-33-PDBM content and current revision for each applicable component.</w:t>
      </w:r>
    </w:p>
    <w:p>
      <w:pPr>
        <w:pStyle w:val="ListBullet"/>
      </w:pPr>
      <w:r>
        <w:t>Verify that existing approved linked measurement/defect records do or do not already address identified form weaknesses.</w:t>
      </w:r>
    </w:p>
    <w:p>
      <w:pPr>
        <w:pStyle w:val="ListBullet"/>
      </w:pPr>
      <w:r>
        <w:t>Keep ISO analysis excluded unless and until the applicable ISO is provided.</w:t>
      </w:r>
    </w:p>
    <w:p>
      <w:pPr>
        <w:pStyle w:val="ListBullet"/>
      </w:pPr>
      <w:r>
        <w:t>Approve only the appropriate targeted WI and in-process form revisions after technical review; preserve existing authority and procedures.</w:t>
      </w:r>
    </w:p>
    <w:p>
      <w:r>
        <w:t>CONCLUSION: Source WI alignment has improved materially with page 3. The main remaining actions are verification and strengthening objective records, rather than inventing new controls or restating already-existing tube tests. Approval and actual product conformity remain unverified.</w:t>
      </w:r>
    </w:p>
    <w:p>
      <w:pPr>
        <w:pStyle w:val="Heading1"/>
      </w:pPr>
      <w:r>
        <w:t>13. Source traceability</w:t>
      </w:r>
    </w:p>
    <w:tbl>
      <w:tblPr>
        <w:tblStyle w:val="TableGrid"/>
        <w:tblW w:type="auto" w:w="0"/>
        <w:jc w:val="center"/>
        <w:tblLayout w:type="fixed"/>
        <w:tblLook w:firstColumn="1" w:firstRow="1" w:lastColumn="0" w:lastRow="0" w:noHBand="0" w:noVBand="1" w:val="04A0"/>
      </w:tblPr>
      <w:tblGrid>
        <w:gridCol w:w="7392"/>
        <w:gridCol w:w="7392"/>
        <w:gridCol w:w="7392"/>
      </w:tblGrid>
      <w:tr>
        <w:trPr>
          <w:tblHeader w:val="true"/>
        </w:trPr>
        <w:tc>
          <w:tcPr>
            <w:tcW w:type="dxa" w:w="3312"/>
            <w:vAlign w:val="center"/>
            <w:shd w:fill="193A5B"/>
          </w:tcPr>
          <w:p>
            <w:r>
              <w:rPr>
                <w:b/>
                <w:color w:val="FFFFFF"/>
                <w:sz w:val="16"/>
              </w:rPr>
              <w:t>Underlying source</w:t>
            </w:r>
          </w:p>
        </w:tc>
        <w:tc>
          <w:tcPr>
            <w:tcW w:type="dxa" w:w="3312"/>
            <w:vAlign w:val="center"/>
            <w:shd w:fill="193A5B"/>
          </w:tcPr>
          <w:p>
            <w:r>
              <w:rPr>
                <w:b/>
                <w:color w:val="FFFFFF"/>
                <w:sz w:val="16"/>
              </w:rPr>
              <w:t>Document printed page</w:t>
            </w:r>
          </w:p>
        </w:tc>
        <w:tc>
          <w:tcPr>
            <w:tcW w:type="dxa" w:w="14976"/>
            <w:vAlign w:val="center"/>
            <w:shd w:fill="193A5B"/>
          </w:tcPr>
          <w:p>
            <w:r>
              <w:rPr>
                <w:b/>
                <w:color w:val="FFFFFF"/>
                <w:sz w:val="16"/>
              </w:rPr>
              <w:t>Sections and evidence</w:t>
            </w:r>
          </w:p>
        </w:tc>
      </w:tr>
      <w:tr>
        <w:tc>
          <w:tcPr>
            <w:tcW w:type="dxa" w:w="3312"/>
            <w:vAlign w:val="top"/>
          </w:tcPr>
          <w:p>
            <w:pPr>
              <w:spacing w:after="20" w:line="245" w:lineRule="auto"/>
            </w:pPr>
            <w:r>
              <w:rPr>
                <w:color w:val="222C36"/>
                <w:sz w:val="16"/>
              </w:rPr>
              <w:t>Gg.pdf p.6</w:t>
            </w:r>
          </w:p>
        </w:tc>
        <w:tc>
          <w:tcPr>
            <w:tcW w:type="dxa" w:w="3312"/>
            <w:vAlign w:val="top"/>
          </w:tcPr>
          <w:p>
            <w:pPr>
              <w:spacing w:after="20" w:line="245" w:lineRule="auto"/>
            </w:pPr>
            <w:r>
              <w:rPr>
                <w:color w:val="222C36"/>
                <w:sz w:val="16"/>
              </w:rPr>
              <w:t>WI p.1 of 6</w:t>
            </w:r>
          </w:p>
        </w:tc>
        <w:tc>
          <w:tcPr>
            <w:tcW w:type="dxa" w:w="14976"/>
            <w:vAlign w:val="top"/>
          </w:tcPr>
          <w:p>
            <w:pPr>
              <w:spacing w:after="20" w:line="245" w:lineRule="auto"/>
            </w:pPr>
            <w:r>
              <w:rPr>
                <w:color w:val="222C36"/>
                <w:sz w:val="16"/>
              </w:rPr>
              <w:t>Purpose, scope, responsibility, receiving raw material inspection</w:t>
            </w:r>
          </w:p>
        </w:tc>
      </w:tr>
      <w:tr>
        <w:tc>
          <w:tcPr>
            <w:tcW w:type="dxa" w:w="3312"/>
            <w:vAlign w:val="top"/>
            <w:shd w:fill="F1F5F8"/>
          </w:tcPr>
          <w:p>
            <w:pPr>
              <w:spacing w:after="20" w:line="245" w:lineRule="auto"/>
            </w:pPr>
            <w:r>
              <w:rPr>
                <w:color w:val="222C36"/>
                <w:sz w:val="16"/>
              </w:rPr>
              <w:t>Gg.pdf p.5</w:t>
            </w:r>
          </w:p>
        </w:tc>
        <w:tc>
          <w:tcPr>
            <w:tcW w:type="dxa" w:w="3312"/>
            <w:vAlign w:val="top"/>
            <w:shd w:fill="F1F5F8"/>
          </w:tcPr>
          <w:p>
            <w:pPr>
              <w:spacing w:after="20" w:line="245" w:lineRule="auto"/>
            </w:pPr>
            <w:r>
              <w:rPr>
                <w:color w:val="222C36"/>
                <w:sz w:val="16"/>
              </w:rPr>
              <w:t>WI p.2 of 6</w:t>
            </w:r>
          </w:p>
        </w:tc>
        <w:tc>
          <w:tcPr>
            <w:tcW w:type="dxa" w:w="14976"/>
            <w:vAlign w:val="top"/>
            <w:shd w:fill="F1F5F8"/>
          </w:tcPr>
          <w:p>
            <w:pPr>
              <w:spacing w:after="20" w:line="245" w:lineRule="auto"/>
            </w:pPr>
            <w:r>
              <w:rPr>
                <w:color w:val="222C36"/>
                <w:sz w:val="16"/>
              </w:rPr>
              <w:t>Raw material acceptance, §6 specification, §7 molding and adapter controls</w:t>
            </w:r>
          </w:p>
        </w:tc>
      </w:tr>
      <w:tr>
        <w:tc>
          <w:tcPr>
            <w:tcW w:type="dxa" w:w="3312"/>
            <w:vAlign w:val="top"/>
          </w:tcPr>
          <w:p>
            <w:pPr>
              <w:spacing w:after="20" w:line="245" w:lineRule="auto"/>
            </w:pPr>
            <w:r>
              <w:rPr>
                <w:color w:val="222C36"/>
                <w:sz w:val="16"/>
              </w:rPr>
              <w:t>IMG_2821.jpeg</w:t>
            </w:r>
          </w:p>
        </w:tc>
        <w:tc>
          <w:tcPr>
            <w:tcW w:type="dxa" w:w="3312"/>
            <w:vAlign w:val="top"/>
          </w:tcPr>
          <w:p>
            <w:pPr>
              <w:spacing w:after="20" w:line="245" w:lineRule="auto"/>
            </w:pPr>
            <w:r>
              <w:rPr>
                <w:color w:val="222C36"/>
                <w:sz w:val="16"/>
              </w:rPr>
              <w:t>WI p.3 of 6</w:t>
            </w:r>
          </w:p>
        </w:tc>
        <w:tc>
          <w:tcPr>
            <w:tcW w:type="dxa" w:w="14976"/>
            <w:vAlign w:val="top"/>
          </w:tcPr>
          <w:p>
            <w:pPr>
              <w:spacing w:after="20" w:line="245" w:lineRule="auto"/>
            </w:pPr>
            <w:r>
              <w:rPr>
                <w:color w:val="222C36"/>
                <w:sz w:val="16"/>
              </w:rPr>
              <w:t>§7.4 Universal Connector; §7.5 Aluminum Strip; §7.6 Bag; §8 / §8.1 / §8.1.1 Mask Tube</w:t>
            </w:r>
          </w:p>
        </w:tc>
      </w:tr>
      <w:tr>
        <w:tc>
          <w:tcPr>
            <w:tcW w:type="dxa" w:w="3312"/>
            <w:vAlign w:val="top"/>
            <w:shd w:fill="F1F5F8"/>
          </w:tcPr>
          <w:p>
            <w:pPr>
              <w:spacing w:after="20" w:line="245" w:lineRule="auto"/>
            </w:pPr>
            <w:r>
              <w:rPr>
                <w:color w:val="222C36"/>
                <w:sz w:val="16"/>
              </w:rPr>
              <w:t>Gg.pdf p.4</w:t>
            </w:r>
          </w:p>
        </w:tc>
        <w:tc>
          <w:tcPr>
            <w:tcW w:type="dxa" w:w="3312"/>
            <w:vAlign w:val="top"/>
            <w:shd w:fill="F1F5F8"/>
          </w:tcPr>
          <w:p>
            <w:pPr>
              <w:spacing w:after="20" w:line="245" w:lineRule="auto"/>
            </w:pPr>
            <w:r>
              <w:rPr>
                <w:color w:val="222C36"/>
                <w:sz w:val="16"/>
              </w:rPr>
              <w:t>WI p.4 of 6</w:t>
            </w:r>
          </w:p>
        </w:tc>
        <w:tc>
          <w:tcPr>
            <w:tcW w:type="dxa" w:w="14976"/>
            <w:vAlign w:val="top"/>
            <w:shd w:fill="F1F5F8"/>
          </w:tcPr>
          <w:p>
            <w:pPr>
              <w:spacing w:after="20" w:line="245" w:lineRule="auto"/>
            </w:pPr>
            <w:r>
              <w:rPr>
                <w:color w:val="222C36"/>
                <w:sz w:val="16"/>
              </w:rPr>
              <w:t>§9 incoming component inspection; §10 mask assembly</w:t>
            </w:r>
          </w:p>
        </w:tc>
      </w:tr>
      <w:tr>
        <w:tc>
          <w:tcPr>
            <w:tcW w:type="dxa" w:w="3312"/>
            <w:vAlign w:val="top"/>
          </w:tcPr>
          <w:p>
            <w:pPr>
              <w:spacing w:after="20" w:line="245" w:lineRule="auto"/>
            </w:pPr>
            <w:r>
              <w:rPr>
                <w:color w:val="222C36"/>
                <w:sz w:val="16"/>
              </w:rPr>
              <w:t>Gg.pdf p.3</w:t>
            </w:r>
          </w:p>
        </w:tc>
        <w:tc>
          <w:tcPr>
            <w:tcW w:type="dxa" w:w="3312"/>
            <w:vAlign w:val="top"/>
          </w:tcPr>
          <w:p>
            <w:pPr>
              <w:spacing w:after="20" w:line="245" w:lineRule="auto"/>
            </w:pPr>
            <w:r>
              <w:rPr>
                <w:color w:val="222C36"/>
                <w:sz w:val="16"/>
              </w:rPr>
              <w:t>WI p.5 of 6</w:t>
            </w:r>
          </w:p>
        </w:tc>
        <w:tc>
          <w:tcPr>
            <w:tcW w:type="dxa" w:w="14976"/>
            <w:vAlign w:val="top"/>
          </w:tcPr>
          <w:p>
            <w:pPr>
              <w:spacing w:after="20" w:line="245" w:lineRule="auto"/>
            </w:pPr>
            <w:r>
              <w:rPr>
                <w:color w:val="222C36"/>
                <w:sz w:val="16"/>
              </w:rPr>
              <w:t>§10.3 bag, §10.4 connector glue, §§11–13 packaging, release and references</w:t>
            </w:r>
          </w:p>
        </w:tc>
      </w:tr>
      <w:tr>
        <w:tc>
          <w:tcPr>
            <w:tcW w:type="dxa" w:w="3312"/>
            <w:vAlign w:val="top"/>
            <w:shd w:fill="F1F5F8"/>
          </w:tcPr>
          <w:p>
            <w:pPr>
              <w:spacing w:after="20" w:line="245" w:lineRule="auto"/>
            </w:pPr>
            <w:r>
              <w:rPr>
                <w:color w:val="222C36"/>
                <w:sz w:val="16"/>
              </w:rPr>
              <w:t>Gg.pdf p.2</w:t>
            </w:r>
          </w:p>
        </w:tc>
        <w:tc>
          <w:tcPr>
            <w:tcW w:type="dxa" w:w="3312"/>
            <w:vAlign w:val="top"/>
            <w:shd w:fill="F1F5F8"/>
          </w:tcPr>
          <w:p>
            <w:pPr>
              <w:spacing w:after="20" w:line="245" w:lineRule="auto"/>
            </w:pPr>
            <w:r>
              <w:rPr>
                <w:color w:val="222C36"/>
                <w:sz w:val="16"/>
              </w:rPr>
              <w:t>WI p.6 of 6</w:t>
            </w:r>
          </w:p>
        </w:tc>
        <w:tc>
          <w:tcPr>
            <w:tcW w:type="dxa" w:w="14976"/>
            <w:vAlign w:val="top"/>
            <w:shd w:fill="F1F5F8"/>
          </w:tcPr>
          <w:p>
            <w:pPr>
              <w:spacing w:after="20" w:line="245" w:lineRule="auto"/>
            </w:pPr>
            <w:r>
              <w:rPr>
                <w:color w:val="222C36"/>
                <w:sz w:val="16"/>
              </w:rPr>
              <w:t>Related forms, controlled references and revision history</w:t>
            </w:r>
          </w:p>
        </w:tc>
      </w:tr>
      <w:tr>
        <w:tc>
          <w:tcPr>
            <w:tcW w:type="dxa" w:w="3312"/>
            <w:vAlign w:val="top"/>
          </w:tcPr>
          <w:p>
            <w:pPr>
              <w:spacing w:after="20" w:line="245" w:lineRule="auto"/>
            </w:pPr>
            <w:r>
              <w:rPr>
                <w:color w:val="222C36"/>
                <w:sz w:val="16"/>
              </w:rPr>
              <w:t>Gg.pdf p.1</w:t>
            </w:r>
          </w:p>
        </w:tc>
        <w:tc>
          <w:tcPr>
            <w:tcW w:type="dxa" w:w="3312"/>
            <w:vAlign w:val="top"/>
          </w:tcPr>
          <w:p>
            <w:pPr>
              <w:spacing w:after="20" w:line="245" w:lineRule="auto"/>
            </w:pPr>
            <w:r>
              <w:rPr>
                <w:color w:val="222C36"/>
                <w:sz w:val="16"/>
              </w:rPr>
              <w:t>F-823-138-1 p.1 of 1</w:t>
            </w:r>
          </w:p>
        </w:tc>
        <w:tc>
          <w:tcPr>
            <w:tcW w:type="dxa" w:w="14976"/>
            <w:vAlign w:val="top"/>
          </w:tcPr>
          <w:p>
            <w:pPr>
              <w:spacing w:after="20" w:line="245" w:lineRule="auto"/>
            </w:pPr>
            <w:r>
              <w:rPr>
                <w:color w:val="222C36"/>
                <w:sz w:val="16"/>
              </w:rPr>
              <w:t>Eight Oxygen Tube In-Process rows; time grid, header, instrument list and signatures</w:t>
            </w:r>
          </w:p>
        </w:tc>
      </w:tr>
    </w:tbl>
    <w:sectPr w:rsidR="00FC693F" w:rsidRPr="0006063C" w:rsidSect="00034616">
      <w:headerReference w:type="default" r:id="rId9"/>
      <w:footerReference w:type="default" r:id="rId10"/>
      <w:pgSz w:w="23818" w:h="16834" w:orient="landscape"/>
      <w:pgMar w:top="922" w:right="821" w:bottom="922" w:left="8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For technical review only  |  12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SAUDI MAIS  |  QC  |  SOURCE-BASED TECHNICAL REVIEW — UNAPPROVED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Aptos" w:hAnsi="Aptos"/>
      <w:color w:val="3742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62C45"/>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62C45"/>
      <w:sz w:val="2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62C45"/>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62C4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