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REJECT CONTROL</w:t>
      </w:r>
    </w:p>
    <w:p>
      <w:pPr>
        <w:pStyle w:val="NoteText"/>
        <w:spacing w:after="180"/>
      </w:pPr>
      <w:r>
        <w:t>Controlled procedure draft  /  Saudi Mais Quality System</w:t>
      </w:r>
    </w:p>
    <w:p>
      <w:pPr>
        <w:pStyle w:val="Heading1"/>
      </w:pPr>
      <w:r>
        <w:t>1.  Purpose</w:t>
      </w:r>
    </w:p>
    <w:p>
      <w:pPr/>
      <w:r>
        <w:t>To establish one controlled and traceable process for identifying, segregating, documenting, approving and executing the disposition of rejected materials, products and parts from production, Quarantine, OBM and supplier-related sources; to prevent unintended use, transfer or destruction before the applicable decision.</w:t>
      </w:r>
    </w:p>
    <w:p>
      <w:pPr>
        <w:pStyle w:val="Heading1"/>
      </w:pPr>
      <w:r>
        <w:t>2.  Scope</w:t>
      </w:r>
    </w:p>
    <w:p>
      <w:pPr/>
      <w:r>
        <w:t>Applicable to Assembly, Injection and Packaging daily production rejects, Quarantine inspection rejects, warehouse-related OBM rejects and supplier-supplied material or parts, from initial detection through authorized disposition and record closure. Separate controls apply if a nonconformity is detected after product delivery or affects released product.</w:t>
      </w:r>
    </w:p>
    <w:p>
      <w:pPr>
        <w:pStyle w:val="Heading1"/>
      </w:pPr>
      <w:r>
        <w:t>3. 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 w:val="true"/>
          <w:cantSplit/>
        </w:trPr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Term / record</w:t>
            </w:r>
          </w:p>
        </w:tc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Definition / meaning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HOLD QC</w:t>
            </w:r>
          </w:p>
        </w:tc>
        <w:tc>
          <w:tcPr>
            <w:tcW w:type="dxa" w:w="741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Temporary status for material/product pending QC verification or documented disposition; not equivalent to authorization to destroy.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Daily reject rate</w:t>
            </w:r>
          </w:p>
        </w:tc>
        <w:tc>
          <w:tcPr>
            <w:tcW w:type="dxa" w:w="741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The area-specific reject percentage determined using the company-approved calculation and reporting method; 2.5% is a company threshold, not an ISO limit.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OBM</w:t>
            </w:r>
          </w:p>
        </w:tc>
        <w:tc>
          <w:tcPr>
            <w:tcW w:type="dxa" w:w="741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Out of Box Measurement inspection, following the terminology in the existing REJ procedure.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Disposition</w:t>
            </w:r>
          </w:p>
        </w:tc>
        <w:tc>
          <w:tcPr>
            <w:tcW w:type="dxa" w:w="741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Documented decision: Rework, Return to Supplier, Transfer to Warehouse for Destruction, or specifically described Other.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F-7-5-3-12-2</w:t>
            </w:r>
          </w:p>
        </w:tc>
        <w:tc>
          <w:tcPr>
            <w:tcW w:type="dxa" w:w="741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Daily Production &amp; Rejection Record; routine daily production rejection record.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F-7-5-7-8</w:t>
            </w:r>
          </w:p>
        </w:tc>
        <w:tc>
          <w:tcPr>
            <w:tcW w:type="dxa" w:w="741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Rejection Slip for Material / Products / Parts; formal rejection/disposition record used where specified below.</w:t>
            </w:r>
          </w:p>
        </w:tc>
      </w:tr>
    </w:tbl>
    <w:p>
      <w:pPr>
        <w:pStyle w:val="Heading1"/>
      </w:pPr>
      <w:r>
        <w:t>4. 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7099"/>
      </w:tblGrid>
      <w:tr>
        <w:trPr>
          <w:tblHeader w:val="true"/>
          <w:cantSplit/>
        </w:trPr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QC Compliance / Quality Controller</w:t>
            </w:r>
          </w:p>
        </w:tc>
        <w:tc>
          <w:tcPr>
            <w:tcW w:type="dxa" w:w="709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Daily area follow-up, random checks, identification verification, rejection slip preparation, supporting evidence, coordination and closure.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Area Supervisor / Production</w:t>
            </w:r>
          </w:p>
        </w:tc>
        <w:tc>
          <w:tcPr>
            <w:tcW w:type="dxa" w:w="709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Segregate rejects, ensure accurate daily production entries and physically verify elevated production rejection; sign when elevated approval is required.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Quarantine / Inspection</w:t>
            </w:r>
          </w:p>
        </w:tc>
        <w:tc>
          <w:tcPr>
            <w:tcW w:type="dxa" w:w="709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Provide completed Inspection Report and traceable representative rejected sample; maintain secure status pending disposition.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OBM team</w:t>
            </w:r>
          </w:p>
        </w:tc>
        <w:tc>
          <w:tcPr>
            <w:tcW w:type="dxa" w:w="709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Provide inspection/rejection findings and lot / quantity details for warehouse-related rejected items.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Purchasing Manager</w:t>
            </w:r>
          </w:p>
        </w:tc>
        <w:tc>
          <w:tcPr>
            <w:tcW w:type="dxa" w:w="709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Evaluate and document whether supplier-related rejected goods can be returned; coordinate authorized supplier return.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Quality Manager &amp; Factory Director</w:t>
            </w:r>
          </w:p>
        </w:tc>
        <w:tc>
          <w:tcPr>
            <w:tcW w:type="dxa" w:w="709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Jointly determine and sign formal disposition on F-7-5-7-8 where this form is mandatory; ensure affected materials remain controlled.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Warehouse</w:t>
            </w:r>
          </w:p>
        </w:tc>
        <w:tc>
          <w:tcPr>
            <w:tcW w:type="dxa" w:w="709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Receive only authorized transferred rejected goods; record handover and carry out approved destruction within the permitted site process; send evidence to QC.</w:t>
            </w:r>
          </w:p>
        </w:tc>
      </w:tr>
    </w:tbl>
    <w:p>
      <w:pPr>
        <w:pStyle w:val="Heading1"/>
      </w:pPr>
      <w:r>
        <w:t>5.  Procedure</w:t>
      </w:r>
    </w:p>
    <w:p>
      <w:pPr>
        <w:pStyle w:val="Heading2"/>
      </w:pPr>
      <w:r>
        <w:t>5.1  Identification, segregation and HOLD QC</w:t>
      </w:r>
    </w:p>
    <w:p>
      <w:pPr>
        <w:pStyle w:val="ListBullet"/>
        <w:spacing w:after="48"/>
        <w:ind w:left="331" w:hanging="187"/>
      </w:pPr>
      <w:r>
        <w:t>Identify the source (Production, Quarantine, OBM or supplier-related), product code, description, lot/batch, unit, quantity, area and factual reason for rejection.</w:t>
      </w:r>
    </w:p>
    <w:p>
      <w:pPr>
        <w:pStyle w:val="ListBullet"/>
        <w:spacing w:after="48"/>
        <w:ind w:left="331" w:hanging="187"/>
      </w:pPr>
      <w:r>
        <w:t>When a damaged or potentially nonconforming product is identified, immediately segregate it and attach a visible HOLD QC tag. Keep it out of approved inventory and production use until QC documents an applicable routine classification or the required management disposition is signed.</w:t>
      </w:r>
    </w:p>
    <w:p>
      <w:pPr>
        <w:pStyle w:val="ListBullet"/>
        <w:spacing w:after="48"/>
        <w:ind w:left="331" w:hanging="187"/>
      </w:pPr>
      <w:r>
        <w:t>The HOLD QC label shall show at least product/item code, lot, quantity, rejection reason, origin, date, QC contact and the linked record number where applicable.</w:t>
      </w:r>
    </w:p>
    <w:p>
      <w:pPr>
        <w:pStyle w:val="ListBullet"/>
        <w:spacing w:after="48"/>
        <w:ind w:left="331" w:hanging="187"/>
      </w:pPr>
      <w:r>
        <w:t>No person shall release, rework, return to supplier, transfer for destruction or destroy products outside the applicable documented authorization and status-control route.</w:t>
      </w:r>
    </w:p>
    <w:p>
      <w:pPr>
        <w:pStyle w:val="Heading2"/>
      </w:pPr>
      <w:r>
        <w:t>5.2  Routine daily production rejects: Assembly / Injection / Packaging</w:t>
      </w:r>
    </w:p>
    <w:p>
      <w:pPr/>
      <w:r>
        <w:t>Daily rejects occur as part of normal operations in Assembly, Injection and Packaging. Normality does not excuse missing quantity/lot records, incorrect classification, unidentified nonconforming product or uncontrolled disposal.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rPr>
          <w:tblHeader w:val="true"/>
          <w:cantSplit/>
        </w:trPr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Daily rate</w:t>
            </w:r>
          </w:p>
        </w:tc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documentation and actions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Below 2.5%</w:t>
            </w:r>
          </w:p>
        </w:tc>
        <w:tc>
          <w:tcPr>
            <w:tcW w:type="dxa" w:w="79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Use F-7-5-3-12-2 only as the routine daily record. QC Compliance performs random physical/data verification. A separate F-7-5-7-8 is NOT required solely for this routine below-threshold reject.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Above 2.5%</w:t>
            </w:r>
          </w:p>
        </w:tc>
        <w:tc>
          <w:tcPr>
            <w:tcW w:type="dxa" w:w="79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Record daily rejects in F-7-5-3-12-2 AND prepare F-7-5-7-8 as the dedicated formal reject report. Obtain Area Supervisor, Quality Manager and Factory Director signatures before irreversible disposition.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Exactly 2.5%</w:t>
            </w:r>
          </w:p>
        </w:tc>
        <w:tc>
          <w:tcPr>
            <w:tcW w:type="dxa" w:w="79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The previous REJ Rev. 1 does not define the boundary. Keep affected product on HOLD QC and obtain documented Quality Manager direction pending formal revision of the threshold rule.</w:t>
            </w:r>
          </w:p>
        </w:tc>
      </w:tr>
    </w:tbl>
    <w:p>
      <w:pPr/>
      <w:r>
        <w:t>QC random verification includes physical defect, location/tag status, product code, lot number, date, recorded reject reason and accuracy of reported quantities. QC uses the existing approved method for reject-rate calculation; this draft does not create a new denominator.</w:t>
      </w:r>
    </w:p>
    <w:p>
      <w:pPr>
        <w:pStyle w:val="Heading2"/>
      </w:pPr>
      <w:r>
        <w:t>5.3  Rejects originating from Quarantine</w:t>
      </w:r>
    </w:p>
    <w:p>
      <w:pPr>
        <w:pStyle w:val="ListBullet"/>
        <w:spacing w:after="48"/>
        <w:ind w:left="331" w:hanging="187"/>
      </w:pPr>
      <w:r>
        <w:t>Quarantine / Inspection shall provide QC with both the applicable completed Inspection Report and a representative rejected sample traceable to the same item/lot and failure. Missing evidence prevents final disposition submission.</w:t>
      </w:r>
    </w:p>
    <w:p>
      <w:pPr>
        <w:pStyle w:val="ListBullet"/>
        <w:spacing w:after="48"/>
        <w:ind w:left="331" w:hanging="187"/>
      </w:pPr>
      <w:r>
        <w:t>QC verifies the sample, inspection result, product identification, quantity and rejection reason, and prepares F-7-5-7-8 with the Inspection Report and sample identification attached or cross-referenced.</w:t>
      </w:r>
    </w:p>
    <w:p>
      <w:pPr>
        <w:pStyle w:val="ListBullet"/>
        <w:spacing w:after="48"/>
        <w:ind w:left="331" w:hanging="187"/>
      </w:pPr>
      <w:r>
        <w:t>The Quality Manager and Factory Director shall select the disposition and sign the Rejection Slip before the authorized action is implemented.</w:t>
      </w:r>
    </w:p>
    <w:p>
      <w:pPr>
        <w:pStyle w:val="Heading2"/>
      </w:pPr>
      <w:r>
        <w:t>5.4  OBM rejects and warehouse handling</w:t>
      </w:r>
    </w:p>
    <w:p>
      <w:pPr>
        <w:pStyle w:val="ListBullet"/>
        <w:spacing w:after="48"/>
        <w:ind w:left="331" w:hanging="187"/>
      </w:pPr>
      <w:r>
        <w:t>For EVERY OBM reject, QC prepares F-7-5-7-8 regardless of rejection percentage and obtains Quality Manager and Factory Director signed disposition approval.</w:t>
      </w:r>
    </w:p>
    <w:p>
      <w:pPr>
        <w:pStyle w:val="ListBullet"/>
        <w:spacing w:after="48"/>
        <w:ind w:left="331" w:hanging="187"/>
      </w:pPr>
      <w:r>
        <w:t>For OBM rejection below 2.5%, QC retains the original random verification and Focus system traceability entry, in addition to the new mandatory F-7-5-7-8.</w:t>
      </w:r>
    </w:p>
    <w:p>
      <w:pPr>
        <w:pStyle w:val="ListBullet"/>
        <w:spacing w:after="48"/>
        <w:ind w:left="331" w:hanging="187"/>
      </w:pPr>
      <w:r>
        <w:t>For OBM rejection above 2.5%, Area Supervisor sign-off is additionally required, consistent with the original elevated approval route. Use a signed attachment if F-7-5-7-8 has no matching Area Supervisor field.</w:t>
      </w:r>
    </w:p>
    <w:p>
      <w:pPr>
        <w:pStyle w:val="ListBullet"/>
        <w:spacing w:after="48"/>
        <w:ind w:left="331" w:hanging="187"/>
      </w:pPr>
      <w:r>
        <w:t>If the signed decision is destruction, return the identified rejected products to Warehouse. Send an official email attaching the approved F-7-5-7-8 and any supporting report/authorizations. Warehouse performs the authorized site-controlled destruction and supplies completion evidence to QC.</w:t>
      </w:r>
    </w:p>
    <w:p>
      <w:pPr>
        <w:pStyle w:val="ListBullet"/>
        <w:spacing w:after="48"/>
        <w:ind w:left="331" w:hanging="187"/>
      </w:pPr>
      <w:r>
        <w:t>If management explicitly selects another permitted disposition (e.g., approved rework or supplier return), execute that selected path; do not automatically destroy every OBM reject.</w:t>
      </w:r>
    </w:p>
    <w:p>
      <w:pPr>
        <w:pStyle w:val="Heading2"/>
      </w:pPr>
      <w:r>
        <w:t>5.5  Supplier-supplied rejected products</w:t>
      </w:r>
    </w:p>
    <w:p>
      <w:pPr/>
      <w:r>
        <w:t>When the rejected item came from an external supplier, QC shall contact the Purchasing Manager before irreversible action. Purchasing shall document supplier-return feasibility and response / reference. Purchasing coordinates the return only after the Quality Manager and Factory Director approve Return to Supplier on the formal rejection record. Commercial acceptance of a return is not quality release authorization.</w:t>
      </w:r>
    </w:p>
    <w:p>
      <w:pPr>
        <w:pStyle w:val="Heading2"/>
      </w:pPr>
      <w:r>
        <w:t>5.6  Formal disposition selection and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Decision branch</w:t>
            </w:r>
          </w:p>
        </w:tc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Minimum implementation and closure control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Rework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Use reviewed/approved rework instruction or method; assess potential adverse effects as required by applicable controls; QC reinspects/tests and documents acceptance or further rejection before release.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Return to Supplier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Purchasing Manager verifies feasibility; Quality Manager and Factory Director approve; maintain supplier communication, return authorization, shipping and inventory adjustment evidence.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Transfer to Warehouse for Destruction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Transfer only the signed-authorized code/lot/quantity; obtain Warehouse receipt, controlled destruction evidence and record reconciliation.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Other (specify)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Describe exact action, rationale, responsibilities and closure evidence; seek applicable risk/regulatory review. The “Other” box alone never authorizes unreviewed use-as-is or market release.</w:t>
            </w:r>
          </w:p>
        </w:tc>
      </w:tr>
    </w:tbl>
    <w:p>
      <w:pPr/>
      <w:r>
        <w:t>The existing F-7-5-7-8 sample contains Rework, Transfer to Warehouse and Others. Until Document Control approves a form revision, write “Return to Supplier” clearly under Others with the supporting Purchasing record; do not hand-edit the controlled form layout.</w:t>
      </w:r>
    </w:p>
    <w:p>
      <w:pPr>
        <w:pStyle w:val="Heading2"/>
      </w:pPr>
      <w:r>
        <w:t>5.7  Record closure, changes and escalation</w:t>
      </w:r>
    </w:p>
    <w:p>
      <w:pPr>
        <w:pStyle w:val="ListBullet"/>
        <w:spacing w:after="48"/>
        <w:ind w:left="331" w:hanging="187"/>
      </w:pPr>
      <w:r>
        <w:t>Verify that decision, item code, lot, quantity, signatories, handover evidence and actual disposition all match before marking the case closed.</w:t>
      </w:r>
    </w:p>
    <w:p>
      <w:pPr>
        <w:pStyle w:val="ListBullet"/>
        <w:spacing w:after="48"/>
        <w:ind w:left="331" w:hanging="187"/>
      </w:pPr>
      <w:r>
        <w:t>Maintain inspection reports, sample references, Focus entries, daily reports, signed F-7-5-7-8, correspondence, rework verification, supplier return and destruction evidence per the company records-retention process.</w:t>
      </w:r>
    </w:p>
    <w:p>
      <w:pPr>
        <w:pStyle w:val="ListBullet"/>
        <w:spacing w:after="48"/>
        <w:ind w:left="331" w:hanging="187"/>
      </w:pPr>
      <w:r>
        <w:t>Escalate recurrent/significant rejection trends and any potential post-delivery impact through applicable nonconformity, CAPA and regulatory escalation procedures. Do not presume a warehouse OBM case is post-delivery solely because it is in Warehouse.</w:t>
      </w:r>
    </w:p>
    <w:p>
      <w:pPr>
        <w:pStyle w:val="Heading1"/>
      </w:pPr>
      <w:r>
        <w:t>6.  Approval and Evidence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78"/>
        <w:gridCol w:w="2563"/>
        <w:gridCol w:w="2419"/>
      </w:tblGrid>
      <w:tr>
        <w:trPr>
          <w:tblHeader w:val="true"/>
          <w:cantSplit/>
        </w:trPr>
        <w:tc>
          <w:tcPr>
            <w:tcW w:type="dxa" w:w="2448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Source / condition</w:t>
            </w:r>
          </w:p>
        </w:tc>
        <w:tc>
          <w:tcPr>
            <w:tcW w:type="dxa" w:w="2448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Core record</w:t>
            </w:r>
          </w:p>
        </w:tc>
        <w:tc>
          <w:tcPr>
            <w:tcW w:type="dxa" w:w="2448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Authorizations</w:t>
            </w:r>
          </w:p>
        </w:tc>
        <w:tc>
          <w:tcPr>
            <w:tcW w:type="dxa" w:w="2448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Closure evidence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Production &lt;2.5%</w:t>
            </w:r>
          </w:p>
        </w:tc>
        <w:tc>
          <w:tcPr>
            <w:tcW w:type="dxa" w:w="257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F-7-5-3-12-2</w:t>
            </w:r>
          </w:p>
        </w:tc>
        <w:tc>
          <w:tcPr>
            <w:tcW w:type="dxa" w:w="256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QC random verification; no individual F-7-5-7-8</w:t>
            </w:r>
          </w:p>
        </w:tc>
        <w:tc>
          <w:tcPr>
            <w:tcW w:type="dxa" w:w="241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Verified daily record and controlled reject segregation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Production &gt;2.5%</w:t>
            </w:r>
          </w:p>
        </w:tc>
        <w:tc>
          <w:tcPr>
            <w:tcW w:type="dxa" w:w="257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Daily record + F-7-5-7-8</w:t>
            </w:r>
          </w:p>
        </w:tc>
        <w:tc>
          <w:tcPr>
            <w:tcW w:type="dxa" w:w="256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Area Supervisor + Quality Manager + Factory Director</w:t>
            </w:r>
          </w:p>
        </w:tc>
        <w:tc>
          <w:tcPr>
            <w:tcW w:type="dxa" w:w="241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Signed decision; rework, return or destruction evidence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Production =2.5%</w:t>
            </w:r>
          </w:p>
        </w:tc>
        <w:tc>
          <w:tcPr>
            <w:tcW w:type="dxa" w:w="257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Daily record + interim written instruction</w:t>
            </w:r>
          </w:p>
        </w:tc>
        <w:tc>
          <w:tcPr>
            <w:tcW w:type="dxa" w:w="256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Quality Manager documents interim direction</w:t>
            </w:r>
          </w:p>
        </w:tc>
        <w:tc>
          <w:tcPr>
            <w:tcW w:type="dxa" w:w="241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HOLD QC pending authorized decision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Quarantine - any rate</w:t>
            </w:r>
          </w:p>
        </w:tc>
        <w:tc>
          <w:tcPr>
            <w:tcW w:type="dxa" w:w="257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Inspection Report + sample + F-7-5-7-8</w:t>
            </w:r>
          </w:p>
        </w:tc>
        <w:tc>
          <w:tcPr>
            <w:tcW w:type="dxa" w:w="256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Quality Manager + Factory Director</w:t>
            </w:r>
          </w:p>
        </w:tc>
        <w:tc>
          <w:tcPr>
            <w:tcW w:type="dxa" w:w="241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Disposition evidence + sample linkage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OBM &lt;2.5%</w:t>
            </w:r>
          </w:p>
        </w:tc>
        <w:tc>
          <w:tcPr>
            <w:tcW w:type="dxa" w:w="257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OBM findings + Focus + F-7-5-7-8</w:t>
            </w:r>
          </w:p>
        </w:tc>
        <w:tc>
          <w:tcPr>
            <w:tcW w:type="dxa" w:w="256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Quality Manager + Factory Director</w:t>
            </w:r>
          </w:p>
        </w:tc>
        <w:tc>
          <w:tcPr>
            <w:tcW w:type="dxa" w:w="241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Approved return/handover + action evidence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OBM &gt;2.5%</w:t>
            </w:r>
          </w:p>
        </w:tc>
        <w:tc>
          <w:tcPr>
            <w:tcW w:type="dxa" w:w="257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OBM findings + F-7-5-7-8</w:t>
            </w:r>
          </w:p>
        </w:tc>
        <w:tc>
          <w:tcPr>
            <w:tcW w:type="dxa" w:w="256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Area Supervisor + Quality Manager + Factory Director</w:t>
            </w:r>
          </w:p>
        </w:tc>
        <w:tc>
          <w:tcPr>
            <w:tcW w:type="dxa" w:w="241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Authorized handover + action evidence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Supplier-origin case</w:t>
            </w:r>
          </w:p>
        </w:tc>
        <w:tc>
          <w:tcPr>
            <w:tcW w:type="dxa" w:w="257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Above as appropriate + Purchasing feedback</w:t>
            </w:r>
          </w:p>
        </w:tc>
        <w:tc>
          <w:tcPr>
            <w:tcW w:type="dxa" w:w="2563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Quality Manager + Factory Director on formal disposition</w:t>
            </w:r>
          </w:p>
        </w:tc>
        <w:tc>
          <w:tcPr>
            <w:tcW w:type="dxa" w:w="2419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Supplier acceptance / return evidence if applicable</w:t>
            </w:r>
          </w:p>
        </w:tc>
      </w:tr>
    </w:tbl>
    <w:p>
      <w:pPr>
        <w:pStyle w:val="Heading1"/>
      </w:pPr>
      <w:r>
        <w:t>7.  Controlled Forms, Records and Internal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688"/>
      </w:tblGrid>
      <w:tr>
        <w:trPr>
          <w:tblHeader w:val="true"/>
          <w:cantSplit/>
        </w:trPr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Identifier / name</w:t>
            </w:r>
          </w:p>
        </w:tc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 / status</w:t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F-7-5-3-12-2 - Daily Production &amp; Rejection Record</w:t>
            </w:r>
          </w:p>
        </w:tc>
        <w:tc>
          <w:tcPr>
            <w:tcW w:type="dxa" w:w="568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Routine daily Assembly, Injection and Packaging recording; use controlled current version.</w:t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F-7-5-7-8 - Rejection Slip for Material / Products / Parts</w:t>
            </w:r>
          </w:p>
        </w:tc>
        <w:tc>
          <w:tcPr>
            <w:tcW w:type="dxa" w:w="568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Formal rejection and disposition; supplied illustrative company form shows Rev. 4 (current revision must be verified).</w:t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REJ - Reject Handling and Destruction Procedure, Rev. 1 (15.05.2026)</w:t>
            </w:r>
          </w:p>
        </w:tc>
        <w:tc>
          <w:tcPr>
            <w:tcW w:type="dxa" w:w="568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Predecessor source procedure; this draft proposes its replacement after approval.</w:t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SOP-8-2-6 - Inspection and Testing Procedure</w:t>
            </w:r>
          </w:p>
        </w:tc>
        <w:tc>
          <w:tcPr>
            <w:tcW w:type="dxa" w:w="568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Company example (Rev. 9 pictured), relevant inspection / Quarantine interface; verify current controlled version before issuing cross-reference.</w:t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Applicable Inspection Report / OBM evidence / Focus entry</w:t>
            </w:r>
          </w:p>
        </w:tc>
        <w:tc>
          <w:tcPr>
            <w:tcW w:type="dxa" w:w="568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Source verification and traceability documents, as applicable.</w:t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Current Rework, Warehouse Disposal, NCR / CAPA and Supplier Return instructions</w:t>
            </w:r>
          </w:p>
        </w:tc>
        <w:tc>
          <w:tcPr>
            <w:tcW w:type="dxa" w:w="5688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Follow if applicable; exact internal document numbers to be verified by Document Control.</w:t>
            </w:r>
          </w:p>
        </w:tc>
      </w:tr>
    </w:tbl>
    <w:p>
      <w:pPr>
        <w:pStyle w:val="Heading1"/>
      </w:pPr>
      <w:r>
        <w:t>8.  Applicable References and Cross-References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rPr>
          <w:tblHeader w:val="true"/>
          <w:cantSplit/>
        </w:trPr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Relevant control / application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ISO 13485:2016, 4.2.5</w:t>
            </w:r>
          </w:p>
        </w:tc>
        <w:tc>
          <w:tcPr>
            <w:tcW w:type="dxa" w:w="61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Control, legibility and retention of rejection, approval and disposition records.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ISO 13485:2016, 7.4.1 and 7.4.3</w:t>
            </w:r>
          </w:p>
        </w:tc>
        <w:tc>
          <w:tcPr>
            <w:tcW w:type="dxa" w:w="61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Purchasing controls and verification of externally provided products; related to supplier communication.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ISO 13485:2016, 7.5.8 / 7.5.9 / 7.5.11</w:t>
            </w:r>
          </w:p>
        </w:tc>
        <w:tc>
          <w:tcPr>
            <w:tcW w:type="dxa" w:w="61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Identification, applicable traceability and preservation during segregation and transfer.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ISO 13485:2016, 8.3.1 and 8.3.2</w:t>
            </w:r>
          </w:p>
        </w:tc>
        <w:tc>
          <w:tcPr>
            <w:tcW w:type="dxa" w:w="61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Control and disposition of nonconforming product detected before delivery.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ISO 13485:2016, 8.3.3</w:t>
            </w:r>
          </w:p>
        </w:tc>
        <w:tc>
          <w:tcPr>
            <w:tcW w:type="dxa" w:w="61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Additional controls for nonconformity identified after delivery, if applicable; warehouse OBM alone is not proof of delivery.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ISO 13485:2016, 8.3.4</w:t>
            </w:r>
          </w:p>
        </w:tc>
        <w:tc>
          <w:tcPr>
            <w:tcW w:type="dxa" w:w="61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Controlled rework with appropriate verification after rework.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SFDA MDS-G024 (V1, 25.03.2025)</w:t>
            </w:r>
          </w:p>
        </w:tc>
        <w:tc>
          <w:tcPr>
            <w:tcW w:type="dxa" w:w="619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Saudi regulatory mapping guidance for ISO 13485 requirements; guidance, not a substitute for the standard.</w:t>
            </w:r>
          </w:p>
        </w:tc>
      </w:tr>
    </w:tbl>
    <w:p>
      <w:pPr>
        <w:pStyle w:val="BodySmall"/>
      </w:pPr>
      <w:r>
        <w:t>Clause links are relevance mappings, not claims that ISO requires a 2.5% rejection threshold, a particular company form number, or specific company signatories.</w:t>
      </w:r>
    </w:p>
    <w:p>
      <w:pPr>
        <w:pStyle w:val="BodySmall"/>
      </w:pPr>
      <w:r>
        <w:t xml:space="preserve">ISO official reference: </w:t>
      </w:r>
      <w:hyperlink r:id="rId11">
        <w:r>
          <w:rPr>
            <w:color w:val="315F88"/>
            <w:u w:val="single"/>
          </w:rPr>
          <w:t>ISO 13485:2016 publication</w:t>
        </w:r>
      </w:hyperlink>
    </w:p>
    <w:p>
      <w:pPr>
        <w:pStyle w:val="BodySmall"/>
      </w:pPr>
      <w:r>
        <w:t xml:space="preserve">SFDA official reference: </w:t>
      </w:r>
      <w:hyperlink r:id="rId12">
        <w:r>
          <w:rPr>
            <w:color w:val="315F88"/>
            <w:u w:val="single"/>
          </w:rPr>
          <w:t>MDS-G024 guidance</w:t>
        </w:r>
      </w:hyperlink>
    </w:p>
    <w:p>
      <w:pPr>
        <w:pStyle w:val="BodySmall"/>
      </w:pPr>
      <w:r>
        <w:t xml:space="preserve">SFDA official PDF: </w:t>
      </w:r>
      <w:hyperlink r:id="rId13">
        <w:r>
          <w:rPr>
            <w:color w:val="315F88"/>
            <w:u w:val="single"/>
          </w:rPr>
          <w:t>MDS-G024 PDF (2025)</w:t>
        </w:r>
      </w:hyperlink>
    </w:p>
    <w:p>
      <w:pPr>
        <w:pStyle w:val="Heading1"/>
      </w:pPr>
      <w:r>
        <w:t>9.  Items Requiring Confirmation Before Controlled Release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Open point</w:t>
            </w:r>
          </w:p>
        </w:tc>
        <w:tc>
          <w:tcPr>
            <w:tcW w:type="dxa" w:w="4896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management / Document Control action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Exact 2.5% boundary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Decide whether 2.5% is normal or elevated and approve corresponding revised wording.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Roles &amp; signatures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Confirm “Factory Director” replaces earlier “Factory Manager”; define Area Supervisor signature attachment for &gt;2.5% where form lacks field.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Form disposition fields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Confirm whether to revise F-7-5-7-8 to add a dedicated Return to Supplier box or retain Other with explicit text.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Destruction authorization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Confirm site-approved destruction method, EHS constraints, retention and official warehouse completion evidence.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Reject rate method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Verify approved calculation, denominator, time window and owner for each production/OBM measurement.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Document Control</w:t>
            </w:r>
          </w:p>
        </w:tc>
        <w:tc>
          <w:tcPr>
            <w:tcW w:type="dxa" w:w="727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Confirm final REJ revision / effective date and latest forms, approval hierarchy and document links.</w:t>
            </w:r>
          </w:p>
        </w:tc>
      </w:tr>
    </w:tbl>
    <w:p>
      <w:pPr>
        <w:pStyle w:val="Heading1"/>
      </w:pPr>
      <w:r>
        <w:t>10.  Modification / Documentation Change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84"/>
        <w:gridCol w:w="5760"/>
        <w:gridCol w:w="1512"/>
      </w:tblGrid>
      <w:tr>
        <w:trPr>
          <w:tblHeader w:val="true"/>
          <w:cantSplit/>
        </w:trPr>
        <w:tc>
          <w:tcPr>
            <w:tcW w:type="dxa" w:w="2448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Revision</w:t>
            </w:r>
          </w:p>
        </w:tc>
        <w:tc>
          <w:tcPr>
            <w:tcW w:type="dxa" w:w="2448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2448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Change / description</w:t>
            </w:r>
          </w:p>
        </w:tc>
        <w:tc>
          <w:tcPr>
            <w:tcW w:type="dxa" w:w="2448"/>
            <w:shd w:fill="263A53"/>
            <w:tcBorders>
              <w:top w:val="single" w:sz="5" w:color="263A53"/>
              <w:left w:val="single" w:sz="5" w:color="263A53"/>
              <w:bottom w:val="single" w:sz="5" w:color="263A53"/>
              <w:right w:val="single" w:sz="5" w:color="263A53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1</w:t>
            </w:r>
          </w:p>
        </w:tc>
        <w:tc>
          <w:tcPr>
            <w:tcW w:type="dxa" w:w="1584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15.05.2026</w:t>
            </w:r>
          </w:p>
        </w:tc>
        <w:tc>
          <w:tcPr>
            <w:tcW w:type="dxa" w:w="576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Original REJ source procedure: production and OBM threshold routes.</w:t>
            </w:r>
          </w:p>
        </w:tc>
        <w:tc>
          <w:tcPr>
            <w:tcW w:type="dxa" w:w="151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Historical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2 (proposed)</w:t>
            </w:r>
          </w:p>
        </w:tc>
        <w:tc>
          <w:tcPr>
            <w:tcW w:type="dxa" w:w="1584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16.10.2026</w:t>
            </w:r>
          </w:p>
        </w:tc>
        <w:tc>
          <w:tcPr>
            <w:tcW w:type="dxa" w:w="5760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Draft alignment: Quarantine, supplier return, QC HOLD, daily form, OBM slip, disposition, approval controls and ISO references.</w:t>
            </w:r>
          </w:p>
        </w:tc>
        <w:tc>
          <w:tcPr>
            <w:tcW w:type="dxa" w:w="1512"/>
            <w:tcBorders>
              <w:top w:val="single" w:sz="4" w:color="AAB6C2"/>
              <w:left w:val="single" w:sz="4" w:color="AAB6C2"/>
              <w:bottom w:val="single" w:sz="4" w:color="AAB6C2"/>
              <w:right w:val="single" w:sz="4" w:color="AAB6C2"/>
            </w:tcBorders>
            <w:shd w:fill="F5F7F9"/>
            <w:vAlign w:val="center"/>
            <w:tcMar>
              <w:top w:w="47" w:type="dxa"/>
              <w:bottom w:w="47" w:type="dxa"/>
              <w:left w:w="86" w:type="dxa"/>
              <w:right w:w="86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63A53"/>
                <w:sz w:val="15"/>
              </w:rPr>
              <w:t>Not approved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397" w:right="1037" w:bottom="1354" w:left="1080" w:header="461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</w:tcPr>
        <w:p>
          <w:pPr>
            <w:spacing w:after="0" w:before="0"/>
          </w:pPr>
          <w:r/>
          <w:r>
            <w:rPr>
              <w:rFonts w:ascii="Arial" w:hAnsi="Arial"/>
              <w:b w:val="0"/>
              <w:color w:val="263A53"/>
              <w:sz w:val="14"/>
            </w:rPr>
            <w:t>Prepared by: QC Manager</w:t>
          </w:r>
          <w:r>
            <w:br/>
          </w:r>
          <w:r>
            <w:rPr>
              <w:rFonts w:ascii="Arial" w:hAnsi="Arial"/>
              <w:b w:val="0"/>
              <w:color w:val="263A53"/>
              <w:sz w:val="14"/>
            </w:rPr>
            <w:t>Name / Signature: ______________</w:t>
          </w:r>
          <w:r>
            <w:br/>
          </w:r>
          <w:r>
            <w:rPr>
              <w:rFonts w:ascii="Arial" w:hAnsi="Arial"/>
              <w:b w:val="0"/>
              <w:color w:val="263A53"/>
              <w:sz w:val="14"/>
            </w:rPr>
            <w:t>Date: ______________</w:t>
          </w:r>
        </w:p>
      </w:tc>
      <w:tc>
        <w:tcPr>
          <w:tcW w:type="dxa" w:w="3264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</w:tcPr>
        <w:p>
          <w:pPr>
            <w:spacing w:after="0" w:before="0"/>
          </w:pPr>
          <w:r/>
          <w:r>
            <w:rPr>
              <w:rFonts w:ascii="Arial" w:hAnsi="Arial"/>
              <w:b w:val="0"/>
              <w:color w:val="263A53"/>
              <w:sz w:val="14"/>
            </w:rPr>
            <w:t>Reviewed by: QA Manager</w:t>
          </w:r>
          <w:r>
            <w:br/>
          </w:r>
          <w:r>
            <w:rPr>
              <w:rFonts w:ascii="Arial" w:hAnsi="Arial"/>
              <w:b w:val="0"/>
              <w:color w:val="263A53"/>
              <w:sz w:val="14"/>
            </w:rPr>
            <w:t>Name / Signature: ______________</w:t>
          </w:r>
          <w:r>
            <w:br/>
          </w:r>
          <w:r>
            <w:rPr>
              <w:rFonts w:ascii="Arial" w:hAnsi="Arial"/>
              <w:b w:val="0"/>
              <w:color w:val="263A53"/>
              <w:sz w:val="14"/>
            </w:rPr>
            <w:t>Date: ______________</w:t>
          </w:r>
        </w:p>
      </w:tc>
      <w:tc>
        <w:tcPr>
          <w:tcW w:type="dxa" w:w="3264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</w:tcPr>
        <w:p>
          <w:pPr>
            <w:spacing w:after="0" w:before="0"/>
          </w:pPr>
          <w:r/>
          <w:r>
            <w:rPr>
              <w:rFonts w:ascii="Arial" w:hAnsi="Arial"/>
              <w:b w:val="0"/>
              <w:color w:val="263A53"/>
              <w:sz w:val="14"/>
            </w:rPr>
            <w:t>Approved by: Factory Director</w:t>
          </w:r>
          <w:r>
            <w:br/>
          </w:r>
          <w:r>
            <w:rPr>
              <w:rFonts w:ascii="Arial" w:hAnsi="Arial"/>
              <w:b w:val="0"/>
              <w:color w:val="263A53"/>
              <w:sz w:val="14"/>
            </w:rPr>
            <w:t>Name / Signature: ______________</w:t>
          </w:r>
          <w:r>
            <w:br/>
          </w:r>
          <w:r>
            <w:rPr>
              <w:rFonts w:ascii="Arial" w:hAnsi="Arial"/>
              <w:b w:val="0"/>
              <w:color w:val="263A53"/>
              <w:sz w:val="14"/>
            </w:rPr>
            <w:t>Date: ______________</w:t>
          </w:r>
        </w:p>
      </w:tc>
    </w:tr>
  </w:tbl>
  <w:p>
    <w:pPr>
      <w:spacing w:before="60" w:after="0"/>
      <w:jc w:val="center"/>
    </w:pPr>
    <w:r>
      <w:rPr>
        <w:color w:val="6B7280"/>
        <w:sz w:val="12"/>
      </w:rPr>
      <w:t>Controlled document upon approval only  |  Draft copies shall not be used as operating authorization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970"/>
      <w:gridCol w:w="2822"/>
    </w:tblGrid>
    <w:tr>
      <w:trPr>
        <w:cantSplit/>
      </w:trPr>
      <w:tc>
        <w:tcPr>
          <w:tcW w:type="dxa" w:w="4896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</w:tcPr>
        <w:p>
          <w:pPr>
            <w:spacing w:after="0" w:before="0"/>
          </w:pPr>
          <w:r/>
          <w:r>
            <w:rPr>
              <w:rFonts w:ascii="Arial" w:hAnsi="Arial"/>
              <w:b/>
              <w:color w:val="263A53"/>
              <w:sz w:val="17"/>
            </w:rPr>
            <w:t>Saudi Mais Co., for Medical Products</w:t>
          </w:r>
        </w:p>
      </w:tc>
      <w:tc>
        <w:tcPr>
          <w:tcW w:type="dxa" w:w="4896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</w:tcPr>
        <w:p>
          <w:pPr>
            <w:spacing w:after="0" w:before="0"/>
          </w:pPr>
          <w:r/>
          <w:r>
            <w:rPr>
              <w:rFonts w:ascii="Arial" w:hAnsi="Arial"/>
              <w:b/>
              <w:color w:val="263A53"/>
              <w:sz w:val="15"/>
            </w:rPr>
            <w:t>Doc. #: REJ</w:t>
          </w:r>
        </w:p>
      </w:tc>
    </w:tr>
    <w:tr>
      <w:trPr>
        <w:cantSplit/>
      </w:trPr>
      <w:tc>
        <w:tcPr>
          <w:tcW w:type="dxa" w:w="4896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  <w:shd w:fill="EAF0F5"/>
        </w:tcPr>
        <w:p>
          <w:pPr>
            <w:spacing w:after="0" w:before="0"/>
          </w:pPr>
          <w:r/>
          <w:r>
            <w:rPr>
              <w:rFonts w:ascii="Arial" w:hAnsi="Arial"/>
              <w:b/>
              <w:color w:val="263A53"/>
              <w:sz w:val="15"/>
            </w:rPr>
            <w:t>Standard Operating Procedure</w:t>
          </w:r>
        </w:p>
      </w:tc>
      <w:tc>
        <w:tcPr>
          <w:tcW w:type="dxa" w:w="4896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  <w:shd w:fill="EAF0F5"/>
        </w:tcPr>
        <w:p>
          <w:pPr>
            <w:spacing w:after="0" w:before="0"/>
          </w:pPr>
          <w:r/>
          <w:r>
            <w:rPr>
              <w:rFonts w:ascii="Arial" w:hAnsi="Arial"/>
              <w:b w:val="0"/>
              <w:color w:val="263A53"/>
              <w:sz w:val="15"/>
            </w:rPr>
            <w:t>Rev. #: 2 (Proposed)</w:t>
          </w:r>
        </w:p>
      </w:tc>
    </w:tr>
    <w:tr>
      <w:trPr>
        <w:cantSplit/>
      </w:trPr>
      <w:tc>
        <w:tcPr>
          <w:tcW w:type="dxa" w:w="4896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</w:tcPr>
        <w:p>
          <w:pPr>
            <w:spacing w:after="0" w:before="0"/>
          </w:pPr>
          <w:r/>
          <w:r>
            <w:rPr>
              <w:rFonts w:ascii="Arial" w:hAnsi="Arial"/>
              <w:b/>
              <w:color w:val="263A53"/>
              <w:sz w:val="15"/>
            </w:rPr>
            <w:t>Title:  Reject Handling and Destruction Procedure</w:t>
          </w:r>
        </w:p>
      </w:tc>
      <w:tc>
        <w:tcPr>
          <w:tcW w:type="dxa" w:w="4896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</w:tcPr>
        <w:p>
          <w:pPr>
            <w:spacing w:after="0" w:before="0"/>
          </w:pPr>
          <w:r/>
          <w:r>
            <w:rPr>
              <w:rFonts w:ascii="Arial" w:hAnsi="Arial"/>
              <w:b w:val="0"/>
              <w:color w:val="263A53"/>
              <w:sz w:val="15"/>
            </w:rPr>
            <w:t>Draft: 16.10.2026</w:t>
          </w:r>
        </w:p>
      </w:tc>
    </w:tr>
    <w:tr>
      <w:trPr>
        <w:cantSplit/>
      </w:trPr>
      <w:tc>
        <w:tcPr>
          <w:tcW w:type="dxa" w:w="4896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</w:tcPr>
        <w:p>
          <w:pPr>
            <w:spacing w:after="0" w:before="0"/>
          </w:pPr>
          <w:r/>
          <w:r>
            <w:rPr>
              <w:rFonts w:ascii="Arial" w:hAnsi="Arial"/>
              <w:b w:val="0"/>
              <w:color w:val="933F3F"/>
              <w:sz w:val="15"/>
            </w:rPr>
            <w:t>Status: DRAFT FOR INTERNAL REVIEW - NOT EFFECTIVE</w:t>
          </w:r>
        </w:p>
      </w:tc>
      <w:tc>
        <w:tcPr>
          <w:tcW w:type="dxa" w:w="4896"/>
          <w:tcBorders>
            <w:top w:val="single" w:sz="5" w:color="AAB6C2"/>
            <w:left w:val="single" w:sz="5" w:color="AAB6C2"/>
            <w:bottom w:val="single" w:sz="5" w:color="AAB6C2"/>
            <w:right w:val="single" w:sz="5" w:color="AAB6C2"/>
          </w:tcBorders>
          <w:vAlign w:val="center"/>
        </w:tcPr>
        <w:p>
          <w:pPr>
            <w:spacing w:after="0" w:before="0"/>
          </w:pPr>
          <w:r/>
          <w:r>
            <w:rPr>
              <w:rFonts w:ascii="Arial" w:hAnsi="Arial"/>
              <w:b w:val="0"/>
              <w:color w:val="263A53"/>
              <w:sz w:val="15"/>
            </w:rPr>
            <w:t xml:space="preserve">Page: </w:t>
          </w:r>
          <w:r>
            <w:fldChar w:fldCharType="begin"/>
          </w:r>
          <w:r>
            <w:instrText xml:space="preserve">PAGE</w:instrTex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NUMPAGES</w:instrText>
          </w:r>
          <w: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8" w:line="283" w:lineRule="auto"/>
    </w:pPr>
    <w:rPr>
      <w:rFonts w:ascii="Arial" w:hAnsi="Arial"/>
      <w:color w:val="263A5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63A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315F8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A53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after="52"/>
    </w:pPr>
    <w:rPr>
      <w:rFonts w:ascii="Arial" w:hAnsi="Arial"/>
      <w:sz w:val="16"/>
    </w:rPr>
  </w:style>
  <w:style w:type="paragraph" w:customStyle="1" w:styleId="TableText">
    <w:name w:val="Table Text"/>
    <w:basedOn w:val="Normal"/>
    <w:pPr>
      <w:spacing w:after="52"/>
    </w:pPr>
    <w:rPr>
      <w:rFonts w:ascii="Arial" w:hAnsi="Arial"/>
      <w:sz w:val="16"/>
    </w:rPr>
  </w:style>
  <w:style w:type="paragraph" w:customStyle="1" w:styleId="NoteText">
    <w:name w:val="Note Text"/>
    <w:basedOn w:val="Normal"/>
    <w:pPr>
      <w:spacing w:after="52"/>
    </w:pPr>
    <w:rPr>
      <w:rFonts w:ascii="Arial" w:hAnsi="Arial"/>
      <w:i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mmittee.iso.org/standard/59752.html" TargetMode="External"/><Relationship Id="rId12" Type="http://schemas.openxmlformats.org/officeDocument/2006/relationships/hyperlink" Target="https://sfda.gov.sa/en/guide/17814" TargetMode="External"/><Relationship Id="rId13" Type="http://schemas.openxmlformats.org/officeDocument/2006/relationships/hyperlink" Target="https://sfda.gov.sa/sites/default/files/2025-04/MDS-G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