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B3149"/>
          <w:sz w:val="34"/>
        </w:rPr>
        <w:t>REJECT HANDLING AND DESTRUCTION PROCEDURE</w:t>
      </w:r>
    </w:p>
    <w:p>
      <w:pPr>
        <w:spacing w:after="200"/>
      </w:pPr>
      <w:r>
        <w:rPr>
          <w:i/>
          <w:color w:val="6A7581"/>
          <w:sz w:val="18"/>
        </w:rPr>
        <w:t>Operational control • Daily production, Quarantine, OBM and supplier-related rejects</w:t>
      </w:r>
    </w:p>
    <w:tbl>
      <w:tblPr>
        <w:tblW w:type="auto" w:w="0"/>
        <w:tblLook w:firstColumn="1" w:firstRow="1" w:lastColumn="0" w:lastRow="0" w:noHBand="0" w:noVBand="1" w:val="04A0"/>
      </w:tblPr>
      <w:tblGrid>
        <w:gridCol w:w="9695"/>
      </w:tblGrid>
      <w:tr>
        <w:tc>
          <w:tcPr>
            <w:tcW w:type="dxa" w:w="9695"/>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9F1F2"/>
          </w:tcPr>
          <w:p>
            <w:pPr>
              <w:spacing w:line="264" w:lineRule="auto"/>
            </w:pPr>
            <w:r>
              <w:rPr>
                <w:color w:val="176070"/>
              </w:rPr>
            </w:r>
            <w:r>
              <w:rPr>
                <w:rFonts w:ascii="Arial" w:hAnsi="Arial"/>
                <w:b w:val="0"/>
                <w:color w:val="176070"/>
                <w:sz w:val="16"/>
              </w:rPr>
              <w:t>DOCUMENT STATUS  |  Draft supplement to existing REJ Rev. 1. Internal 2.5% threshold, company forms, responsibilities and signature route require formal authorization before use.</w:t>
            </w:r>
          </w:p>
        </w:tc>
      </w:tr>
    </w:tbl>
    <w:p>
      <w:pPr>
        <w:spacing w:after="0"/>
      </w:pPr>
    </w:p>
    <w:p>
      <w:pPr>
        <w:pStyle w:val="Heading1"/>
      </w:pPr>
      <w:r>
        <w:t>1.   Purpose</w:t>
      </w:r>
    </w:p>
    <w:p>
      <w:r>
        <w:rPr>
          <w:b w:val="0"/>
        </w:rPr>
        <w:t>To establish the authorized framework for identifying, segregating, verifying, documenting, approving, executing and closing rejection cases for medical-device materials, products and parts. The procedure protects product traceability, prevents unintended use and requires evidence of the actual disposition.</w:t>
      </w:r>
    </w:p>
    <w:p>
      <w:pPr>
        <w:pStyle w:val="Heading1"/>
      </w:pPr>
      <w:r>
        <w:t>2.   Scope</w:t>
      </w:r>
    </w:p>
    <w:p>
      <w:r>
        <w:rPr>
          <w:b w:val="0"/>
        </w:rPr>
        <w:t>Applicable to production rejects from Assembly, Injection and Packaging; rejected items identified in Quarantine inspection; rejected items identified through OBM; and supplier-supplied items. Includes daily Focus registration and reconciliation. Cases identified after product delivery require additional assessment under the applicable post-delivery/complaints/regulatory procedure.</w:t>
      </w:r>
    </w:p>
    <w:p>
      <w:pPr>
        <w:pStyle w:val="Heading1"/>
      </w:pPr>
      <w:r>
        <w:t>3.   Definitions</w:t>
      </w:r>
    </w:p>
    <w:tbl>
      <w:tblPr>
        <w:tblW w:type="auto" w:w="0"/>
        <w:jc w:val="center"/>
        <w:tblLayout w:type="fixed"/>
        <w:tblLook w:firstColumn="1" w:firstRow="1" w:lastColumn="0" w:lastRow="0" w:noHBand="0" w:noVBand="1" w:val="04A0"/>
      </w:tblPr>
      <w:tblGrid>
        <w:gridCol w:w="2268"/>
        <w:gridCol w:w="7370"/>
      </w:tblGrid>
      <w:tr>
        <w:trPr>
          <w:tblHeader w:val="true"/>
        </w:trP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Term</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Meaning</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Routine daily reject</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Production rejection documented using F-7-5-3-12-2 within the company-defined normal rate (&lt;2.5%).</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Formal reject case</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A case requiring F-7-5-7-8 and a signed disposition decision.</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QC HOLD</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Physical/system status preventing unintended use or movement while assessment/approval is pending.</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Disposition</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Authorized outcome: Rework; Return to Supplier; Transfer to Warehouse for Destruction; or explicitly defined Other.</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OBM</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Out of Box Measurement, per terminology in the original REJ procedure.</w:t>
            </w:r>
          </w:p>
        </w:tc>
      </w:tr>
      <w:tr>
        <w:tc>
          <w:tcPr>
            <w:tcW w:type="dxa" w:w="226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Focus</w:t>
            </w:r>
          </w:p>
        </w:tc>
        <w:tc>
          <w:tcPr>
            <w:tcW w:type="dxa" w:w="737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Company system used for daily rejected-stock entries and related traceability.</w:t>
            </w:r>
          </w:p>
        </w:tc>
      </w:tr>
    </w:tbl>
    <w:p>
      <w:pPr>
        <w:spacing w:after="0"/>
      </w:pPr>
    </w:p>
    <w:p>
      <w:pPr>
        <w:pStyle w:val="Heading1"/>
      </w:pPr>
      <w:r>
        <w:t>4.   Responsibilities</w:t>
      </w:r>
    </w:p>
    <w:tbl>
      <w:tblPr>
        <w:tblW w:type="auto" w:w="0"/>
        <w:jc w:val="center"/>
        <w:tblLayout w:type="fixed"/>
        <w:tblLook w:firstColumn="1" w:firstRow="1" w:lastColumn="0" w:lastRow="0" w:noHBand="0" w:noVBand="1" w:val="04A0"/>
      </w:tblPr>
      <w:tblGrid>
        <w:gridCol w:w="2721"/>
        <w:gridCol w:w="6917"/>
      </w:tblGrid>
      <w:tr>
        <w:trPr>
          <w:tblHeader w:val="true"/>
        </w:trP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Role</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Responsibility</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Production employee (area owner)</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Creates F-7-5-3-12-2 for own Assembly/Injection/Packaging area and signs; accurately identifies and segregates rejects.</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QC employee / Quality Controller</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Reviews physical status, quantities and reject reason; checks daily record and signs QC review.</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Area Supervisor</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Approves/signs the daily production record; physically verifies/signs formal escalated reports when &gt;2.5%.</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QC Compliance</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Randomly verifies daily production rejects; verifies every non-routine rejection case; records ALL verified rejection entries in Focus daily; reconciles documentation and closure.</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Quarantine / Inspection</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Provides completed inspection report and traceable rejected sample for Quarantine-origin cases.</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OBM Team</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Provides the OBM results, identification, lot and rejected quantities.</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Purchasing Manager</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Evaluates supplier return feasibility and records supplier response; coordinates returns only after approval.</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Quality Manager + Factory Director</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Jointly select and sign formal disposition on F-7-5-7-8 where mandatory.</w:t>
            </w:r>
          </w:p>
        </w:tc>
      </w:tr>
      <w:tr>
        <w:tc>
          <w:tcPr>
            <w:tcW w:type="dxa" w:w="272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Warehouse</w:t>
            </w:r>
          </w:p>
        </w:tc>
        <w:tc>
          <w:tcPr>
            <w:tcW w:type="dxa" w:w="691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Controls signed-authorized returned rejected stock, performs approved warehouse destruction and sends receipt/proof to QC.</w:t>
            </w:r>
          </w:p>
        </w:tc>
      </w:tr>
    </w:tbl>
    <w:p>
      <w:pPr>
        <w:spacing w:after="0"/>
      </w:pPr>
    </w:p>
    <w:p>
      <w:pPr>
        <w:pStyle w:val="Heading1"/>
      </w:pPr>
      <w:r>
        <w:t>5.   Control Requirements</w:t>
      </w:r>
    </w:p>
    <w:p>
      <w:pPr>
        <w:pStyle w:val="Heading2"/>
      </w:pPr>
      <w:r>
        <w:t>5.1   Identification and HOLD QC</w:t>
      </w:r>
    </w:p>
    <w:p>
      <w:r>
        <w:rPr>
          <w:b w:val="0"/>
        </w:rPr>
        <w:t>When damage, suspected nonconformity or a rejected condition is found, the originating team shall identify item/description, item code, lot, quantity, source, date and defect. Segregate affected products from conforming stock and use a visible Reject label with explicit QC HOLD status or a supplementary HOLD QC tag pending the authorized decision. Document the location and control in the relevant record.</w:t>
      </w:r>
    </w:p>
    <w:p>
      <w:r>
        <w:rPr>
          <w:b w:val="0"/>
        </w:rPr>
        <w:t>A Reject label (example reference F-7-5-3-11-4, number to be confirmed by Document Control) identifies rejection but does not by itself authorize rework, return, release or destruction. Holds shall be updated only when the relevant authorized route is documented.</w:t>
      </w:r>
    </w:p>
    <w:p>
      <w:pPr>
        <w:pStyle w:val="Heading2"/>
      </w:pPr>
      <w:r>
        <w:t>5.2   Routine Daily Production — Assembly, Injection and Packaging</w:t>
      </w:r>
    </w:p>
    <w:tbl>
      <w:tblPr>
        <w:tblW w:type="auto" w:w="0"/>
        <w:jc w:val="center"/>
        <w:tblLayout w:type="fixed"/>
        <w:tblLook w:firstColumn="1" w:firstRow="1" w:lastColumn="0" w:lastRow="0" w:noHBand="0" w:noVBand="1" w:val="04A0"/>
      </w:tblPr>
      <w:tblGrid>
        <w:gridCol w:w="1701"/>
        <w:gridCol w:w="7937"/>
      </w:tblGrid>
      <w:tr>
        <w:trPr>
          <w:tblHeader w:val="true"/>
        </w:trP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Checkpoint</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Company procedure</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Create</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Responsible Production employee completes and signs F-7-5-3-12-2 for each applicable area/day.</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Review</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QC employee checks documented information and signs its review.</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Approve</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Area Supervisor reviews/approves and signs the daily record.</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Verify</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QC Compliance performs random physical/data checks of the daily rejects: defect, item code, lot, date, tags, reason, counts and form signatures.</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&lt;2.5%</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No separate F-7-5-7-8 is needed solely for routine daily rejection. The signed daily form and controlled item status remain mandatory.</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&gt;2.5%</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Create F-7-5-7-8 in addition to F-7-5-3-12-2. Obtain Area Supervisor, Quality Manager and Factory Director approvals before the chosen action.</w:t>
            </w:r>
          </w:p>
        </w:tc>
      </w:tr>
      <w:tr>
        <w:tc>
          <w:tcPr>
            <w:tcW w:type="dxa" w:w="170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=2.5%</w:t>
            </w:r>
          </w:p>
        </w:tc>
        <w:tc>
          <w:tcPr>
            <w:tcW w:type="dxa" w:w="793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Not defined in original REJ Rev. 1. HOLD QC and obtain documented Quality Manager direction until a boundary rule is formally approved.</w:t>
            </w:r>
          </w:p>
        </w:tc>
      </w:tr>
    </w:tbl>
    <w:p>
      <w:pPr>
        <w:spacing w:after="0"/>
      </w:pPr>
    </w:p>
    <w:tbl>
      <w:tblPr>
        <w:tblW w:type="auto" w:w="0"/>
        <w:tblLook w:firstColumn="1" w:firstRow="1" w:lastColumn="0" w:lastRow="0" w:noHBand="0" w:noVBand="1" w:val="04A0"/>
      </w:tblPr>
      <w:tblGrid>
        <w:gridCol w:w="9695"/>
      </w:tblGrid>
      <w:tr>
        <w:tc>
          <w:tcPr>
            <w:tcW w:type="dxa" w:w="9695"/>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9F1F2"/>
          </w:tcPr>
          <w:p>
            <w:pPr>
              <w:spacing w:line="264" w:lineRule="auto"/>
            </w:pPr>
            <w:r>
              <w:rPr>
                <w:color w:val="176070"/>
              </w:rPr>
            </w:r>
            <w:r>
              <w:rPr>
                <w:rFonts w:ascii="Arial" w:hAnsi="Arial"/>
                <w:b w:val="0"/>
                <w:color w:val="176070"/>
                <w:sz w:val="16"/>
              </w:rPr>
              <w:t>CONTROL POINT  |  The 2.5% limit is an internal company trigger; ISO 13485 does not impose this percentage. The denominator and calculation method must follow the current approved site record/method. A routine report waiver is NOT authorization to destroy product.</w:t>
            </w:r>
          </w:p>
        </w:tc>
      </w:tr>
    </w:tbl>
    <w:p>
      <w:pPr>
        <w:spacing w:after="0"/>
      </w:pPr>
    </w:p>
    <w:p>
      <w:pPr>
        <w:pStyle w:val="Heading2"/>
      </w:pPr>
      <w:r>
        <w:t>5.3   Quarantine Rejects</w:t>
      </w:r>
    </w:p>
    <w:p>
      <w:r>
        <w:rPr>
          <w:b w:val="0"/>
        </w:rPr>
        <w:t>Every Quarantine-origin reject requires a completed applicable Inspection Report, an identifiable representative rejected sample, and F-7-5-7-8. QC Compliance verifies source evidence for EACH case, including item/lot/quantity/defect, then Quality Manager and Factory Director select and sign disposition. Keep the affected lot on HOLD QC pending the approved decision. Missing report/sample shall block closure and disposition approval.</w:t>
      </w:r>
    </w:p>
    <w:p>
      <w:pPr>
        <w:pStyle w:val="Heading2"/>
      </w:pPr>
      <w:r>
        <w:t>5.4   OBM Rejects</w:t>
      </w:r>
    </w:p>
    <w:p>
      <w:r>
        <w:rPr>
          <w:b w:val="0"/>
        </w:rPr>
        <w:t>Every OBM-origin reject requires a formal F-7-5-7-8 regardless of the reject percentage. QC Compliance verifies EACH OBM case and supporting OBM findings. Quality Manager and Factory Director jointly approve the action; for an OBM case above 2.5%, obtain Area Supervisor sign-off as prescribed by the original escalated approval route. If destruction is selected, the signed-authorized goods are returned to Warehouse, with the approved report and authorization email; Warehouse executes and documents actual destruction. Other outcomes must follow their own authorized paths.</w:t>
      </w:r>
    </w:p>
    <w:p>
      <w:pPr>
        <w:pStyle w:val="Heading2"/>
      </w:pPr>
      <w:r>
        <w:t>5.5   Supplier-Supplied Rejected Goods</w:t>
      </w:r>
    </w:p>
    <w:p>
      <w:r>
        <w:rPr>
          <w:b w:val="0"/>
        </w:rPr>
        <w:t>For materials, components or finished goods supplied by an external supplier, notify Purchasing Manager before an irreversible disposition. Purchasing assesses practical/contractual ability to Return to Supplier and preserves the response/reference. The Quality Manager and Factory Director then select and sign the final disposition; supplier agreement by itself does not authorize product release or movement.</w:t>
      </w:r>
    </w:p>
    <w:p>
      <w:pPr>
        <w:pStyle w:val="Heading2"/>
      </w:pPr>
      <w:r>
        <w:t>5.6   Disposition Menu and Signature Controls</w:t>
      </w:r>
    </w:p>
    <w:tbl>
      <w:tblPr>
        <w:tblW w:type="auto" w:w="0"/>
        <w:jc w:val="center"/>
        <w:tblLayout w:type="fixed"/>
        <w:tblLook w:firstColumn="1" w:firstRow="1" w:lastColumn="0" w:lastRow="0" w:noHBand="0" w:noVBand="1" w:val="04A0"/>
      </w:tblPr>
      <w:tblGrid>
        <w:gridCol w:w="3118"/>
        <w:gridCol w:w="6520"/>
      </w:tblGrid>
      <w:tr>
        <w:trPr>
          <w:tblHeader w:val="true"/>
        </w:trPr>
        <w:tc>
          <w:tcPr>
            <w:tcW w:type="dxa" w:w="311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Decision</w:t>
            </w:r>
          </w:p>
        </w:tc>
        <w:tc>
          <w:tcPr>
            <w:tcW w:type="dxa" w:w="652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Mandatory condition / evidence</w:t>
            </w:r>
          </w:p>
        </w:tc>
      </w:tr>
      <w:tr>
        <w:tc>
          <w:tcPr>
            <w:tcW w:type="dxa" w:w="311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Rework</w:t>
            </w:r>
          </w:p>
        </w:tc>
        <w:tc>
          <w:tcPr>
            <w:tcW w:type="dxa" w:w="652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Only to an approved rework method/route. Evaluate product impact and reverify against applicable acceptance criteria before any release; retain signed records.</w:t>
            </w:r>
          </w:p>
        </w:tc>
      </w:tr>
      <w:tr>
        <w:tc>
          <w:tcPr>
            <w:tcW w:type="dxa" w:w="311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Return to Supplier</w:t>
            </w:r>
          </w:p>
        </w:tc>
        <w:tc>
          <w:tcPr>
            <w:tcW w:type="dxa" w:w="652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Purchasing confirms feasibility; management approves; retain documented return authorization and shipment/receipt or credit evidence.</w:t>
            </w:r>
          </w:p>
        </w:tc>
      </w:tr>
      <w:tr>
        <w:tc>
          <w:tcPr>
            <w:tcW w:type="dxa" w:w="311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Transfer to Warehouse for Destruction</w:t>
            </w:r>
          </w:p>
        </w:tc>
        <w:tc>
          <w:tcPr>
            <w:tcW w:type="dxa" w:w="652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Release only the signed item/lot/qty to Warehouse, attach approval and obtain receiving plus evidence of destruction.</w:t>
            </w:r>
          </w:p>
        </w:tc>
      </w:tr>
      <w:tr>
        <w:tc>
          <w:tcPr>
            <w:tcW w:type="dxa" w:w="311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Other (specify)</w:t>
            </w:r>
          </w:p>
        </w:tc>
        <w:tc>
          <w:tcPr>
            <w:tcW w:type="dxa" w:w="6520"/>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Detailed written explanation, quality rationale and signed authorization; consult applicable risk/regulatory controls.</w:t>
            </w:r>
          </w:p>
        </w:tc>
      </w:tr>
    </w:tbl>
    <w:p>
      <w:pPr>
        <w:spacing w:after="0"/>
      </w:pPr>
    </w:p>
    <w:p>
      <w:r>
        <w:rPr>
          <w:b w:val="0"/>
        </w:rPr>
        <w:t>The illustrated F-7-5-7-8 provides Rework / Transfer to Warehouse / Others. Until formal form revision, select Others and clearly write “Return to Supplier” when relevant. Do not change the controlled form layout informally.</w:t>
      </w:r>
    </w:p>
    <w:p>
      <w:pPr>
        <w:pStyle w:val="Heading2"/>
      </w:pPr>
      <w:r>
        <w:t>5.7   Daily Focus Entry and Reconciliation</w:t>
      </w:r>
    </w:p>
    <w:p>
      <w:r>
        <w:rPr>
          <w:b w:val="0"/>
        </w:rPr>
        <w:t>QC Compliance shall enter ALL rejection categories in the Focus system DAILY after verification: routine production from Assembly/Injection/Packaging and every applicable Quarantine, OBM and supplier-related case. Routine daily production rejects are physically/data-checked on a random basis; EVERY other rejection case is verified as a case before posting. This does not mean inspection of every rejected unit unless the inspection method requires it.</w:t>
      </w:r>
    </w:p>
    <w:p>
      <w:r>
        <w:rPr>
          <w:b w:val="0"/>
        </w:rPr>
        <w:t>Use the relevant rejected-stock transaction (illustrated in the example as “M.Prod Rejected Stock”), or the approved transaction for the rejection source. Post actual item/lot/quantity, rejection type, origin/date and appropriate source reference; do not infer a Focus field or transaction if it is unavailable. Preserve the original rejection/event date separately from the entry date as applicable. Reconcile source forms, approvals and inventory status daily; any access, mismatch or posting failure is reported and logged for correction, not silently skipped.</w:t>
      </w:r>
    </w:p>
    <w:p>
      <w:pPr>
        <w:pStyle w:val="Heading2"/>
      </w:pPr>
      <w:r>
        <w:t>5.8   Closure and Escalation</w:t>
      </w:r>
    </w:p>
    <w:p>
      <w:r>
        <w:rPr>
          <w:b w:val="0"/>
        </w:rPr>
        <w:t>A formal reject case remains open until signed disposition, material transfer/action, supporting evidence and Focus/stock movement are matched by item code, lot and quantity. Missing signatures, Quarantine sample/report, supplier confirmation, warehouse destruction proof or quantity reconciliation prevent closure. Escalate adverse trends, recurring defects and potential released-product impact through applicable NCR/CAPA/regulatory procedures.</w:t>
      </w:r>
    </w:p>
    <w:p>
      <w:pPr>
        <w:pStyle w:val="Heading1"/>
      </w:pPr>
      <w:r>
        <w:t>6.   Approval / Record Matrix</w:t>
      </w:r>
    </w:p>
    <w:tbl>
      <w:tblPr>
        <w:tblW w:type="auto" w:w="0"/>
        <w:jc w:val="center"/>
        <w:tblLayout w:type="fixed"/>
        <w:tblLook w:firstColumn="1" w:firstRow="1" w:lastColumn="0" w:lastRow="0" w:noHBand="0" w:noVBand="1" w:val="04A0"/>
      </w:tblPr>
      <w:tblGrid>
        <w:gridCol w:w="1984"/>
        <w:gridCol w:w="2324"/>
        <w:gridCol w:w="2948"/>
        <w:gridCol w:w="2381"/>
      </w:tblGrid>
      <w:tr>
        <w:trPr>
          <w:tblHeader w:val="true"/>
        </w:trP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Source / trigger</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Records</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Approval route</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Posting / closure</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Routine production &lt;2.5%</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F-7-5-3-12-2</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Production preparer → QC reviewer → Area Supervisor approver</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QC Compliance random check; Focus daily</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Production &gt;2.5%</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Daily form + F-7-5-7-8</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Area Supervisor → Quality Manager → Factory Director</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Signed disposition + evidence; Focus daily</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Production =2.5%</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Daily form + interim instruction</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Quality Manager documents boundary direction</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Hold pending authorized rule; Focus as verified</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Quarantine — every case</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Inspection Report + sample + F-7-5-7-8</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Quality Manager + Factory Director</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QC Compliance case verification; Focus daily</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OBM — every case</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OBM results + F-7-5-7-8</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Quality Manager + Factory Director; Area Supervisor if &gt;2.5%</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4"/>
              </w:rPr>
              <w:t>Return to Warehouse only if destruction approved; Focus daily</w:t>
            </w:r>
          </w:p>
        </w:tc>
      </w:tr>
      <w:tr>
        <w:tc>
          <w:tcPr>
            <w:tcW w:type="dxa" w:w="198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Supplier-related</w:t>
            </w:r>
          </w:p>
        </w:tc>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Supplier details + Purchasing record + applicable formal slip</w:t>
            </w:r>
          </w:p>
        </w:tc>
        <w:tc>
          <w:tcPr>
            <w:tcW w:type="dxa" w:w="2948"/>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Purchasing assessment; Quality Manager + Factory Director</w:t>
            </w:r>
          </w:p>
        </w:tc>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4"/>
              </w:rPr>
              <w:t>Authorized return / alternative + proof; Focus daily</w:t>
            </w:r>
          </w:p>
        </w:tc>
      </w:tr>
    </w:tbl>
    <w:p>
      <w:pPr>
        <w:spacing w:after="0"/>
      </w:pPr>
    </w:p>
    <w:p>
      <w:pPr>
        <w:pStyle w:val="Heading1"/>
      </w:pPr>
      <w:r>
        <w:t>7.   Controlled Documents and References</w:t>
      </w:r>
    </w:p>
    <w:tbl>
      <w:tblPr>
        <w:tblW w:type="auto" w:w="0"/>
        <w:jc w:val="center"/>
        <w:tblLayout w:type="fixed"/>
        <w:tblLook w:firstColumn="1" w:firstRow="1" w:lastColumn="0" w:lastRow="0" w:noHBand="0" w:noVBand="1" w:val="04A0"/>
      </w:tblPr>
      <w:tblGrid>
        <w:gridCol w:w="2381"/>
        <w:gridCol w:w="7257"/>
      </w:tblGrid>
      <w:tr>
        <w:trPr>
          <w:tblHeader w:val="true"/>
        </w:trP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Identifier</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4"/>
              </w:rPr>
              <w:t>Document and application</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F-7-5-3-12-2</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Daily Production &amp; Rejection Record (as supplied by QC; controlled revision to confirm).</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F-7-5-7-8</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Rejection Slip for Material / Products / Parts; illustrated Rev. 4.</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F-7-5-3-11-4</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Label for Reject: code interpreted from supplied photograph; confirm revision and controlled copy.</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SOP-8-2-6</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Inspection and Testing Procedure, from company reference example; confirm current revision.</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ISO 13485:2016</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4.2.5, 7.4.1/7.4.3, 7.5.8, 7.5.9, 7.5.11, 8.2.6, 8.3.1–8.3.4, 8.4 (relevance mapping only).</w:t>
            </w:r>
          </w:p>
        </w:tc>
      </w:tr>
      <w:tr>
        <w:tc>
          <w:tcPr>
            <w:tcW w:type="dxa" w:w="238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SFDA MDS-G024 V1</w:t>
            </w:r>
          </w:p>
        </w:tc>
        <w:tc>
          <w:tcPr>
            <w:tcW w:type="dxa" w:w="725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Guidance for ISO 13485 Requirements and Corresponding SFDA-MDS Requirements; version 25.03.2025.</w:t>
            </w:r>
          </w:p>
        </w:tc>
      </w:tr>
    </w:tbl>
    <w:p>
      <w:pPr>
        <w:spacing w:after="0"/>
      </w:pPr>
    </w:p>
    <w:p>
      <w:r>
        <w:rPr>
          <w:b w:val="0"/>
        </w:rPr>
        <w:t>External source links: ISO https://www.iso.org/standard/59752.html ; SFDA https://oldsfda.sfda.gov.sa/sites/default/files/2025-04/MDS-G024_0.pdf</w:t>
      </w:r>
    </w:p>
    <w:p>
      <w:pPr>
        <w:pStyle w:val="Heading1"/>
      </w:pPr>
      <w:r>
        <w:t>8.   Controlled Release Decisions / Change History</w:t>
      </w:r>
    </w:p>
    <w:tbl>
      <w:tblPr>
        <w:tblW w:type="auto" w:w="0"/>
        <w:jc w:val="center"/>
        <w:tblLayout w:type="fixed"/>
        <w:tblLook w:firstColumn="1" w:firstRow="1" w:lastColumn="0" w:lastRow="0" w:noHBand="0" w:noVBand="1" w:val="04A0"/>
      </w:tblPr>
      <w:tblGrid>
        <w:gridCol w:w="2324"/>
        <w:gridCol w:w="7313"/>
      </w:tblGrid>
      <w:tr>
        <w:trPr>
          <w:tblHeader w:val="true"/>
        </w:trPr>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Status</w:t>
            </w:r>
          </w:p>
        </w:tc>
        <w:tc>
          <w:tcPr>
            <w:tcW w:type="dxa" w:w="7313"/>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E0E8ED"/>
          </w:tcPr>
          <w:p>
            <w:pPr>
              <w:keepNext/>
              <w:spacing w:line="264" w:lineRule="auto"/>
            </w:pPr>
            <w:r/>
            <w:r>
              <w:rPr>
                <w:rFonts w:ascii="Arial" w:hAnsi="Arial"/>
                <w:b/>
                <w:color w:val="1B3149"/>
                <w:sz w:val="15"/>
              </w:rPr>
              <w:t>Item</w:t>
            </w:r>
          </w:p>
        </w:tc>
      </w:tr>
      <w:tr>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Pending decision</w:t>
            </w:r>
          </w:p>
        </w:tc>
        <w:tc>
          <w:tcPr>
            <w:tcW w:type="dxa" w:w="7313"/>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Define whether exactly 2.5% is normal or elevated; approve calculation method; reconcile approval titles Factory Manager / Factory Director.</w:t>
            </w:r>
          </w:p>
        </w:tc>
      </w:tr>
      <w:tr>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Pending document control</w:t>
            </w:r>
          </w:p>
        </w:tc>
        <w:tc>
          <w:tcPr>
            <w:tcW w:type="dxa" w:w="7313"/>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shd w:fill="F7F9FA"/>
          </w:tcPr>
          <w:p>
            <w:pPr>
              <w:spacing w:line="264" w:lineRule="auto"/>
            </w:pPr>
            <w:r/>
            <w:r>
              <w:rPr>
                <w:rFonts w:ascii="Arial" w:hAnsi="Arial"/>
                <w:b w:val="0"/>
                <w:color w:val="3C4A59"/>
                <w:sz w:val="15"/>
              </w:rPr>
              <w:t>Confirm rejection label reference and whether F-7-5-7-8 requires a controlled “Return to Supplier” checkbox or attachment.</w:t>
            </w:r>
          </w:p>
        </w:tc>
      </w:tr>
      <w:tr>
        <w:tc>
          <w:tcPr>
            <w:tcW w:type="dxa" w:w="2324"/>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Revision 2 – PROPOSED</w:t>
            </w:r>
          </w:p>
        </w:tc>
        <w:tc>
          <w:tcPr>
            <w:tcW w:type="dxa" w:w="7313"/>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3C4A59"/>
                <w:sz w:val="15"/>
              </w:rPr>
              <w:t>16.10.2026: adds signed daily workflow, HOLD QC, Quarantine, all OBM reports, supplier return, choice of disposition, daily Focus entry and evidence closure. Not effective pending signatures.</w:t>
            </w:r>
          </w:p>
        </w:tc>
      </w:tr>
    </w:tbl>
    <w:p>
      <w:pPr>
        <w:spacing w:after="0"/>
      </w:pPr>
    </w:p>
    <w:sectPr w:rsidR="00FC693F" w:rsidRPr="0006063C" w:rsidSect="00034616">
      <w:headerReference w:type="default" r:id="rId9"/>
      <w:footerReference w:type="default" r:id="rId10"/>
      <w:pgSz w:w="11906" w:h="16838"/>
      <w:pgMar w:top="1786" w:right="1077" w:bottom="1276" w:left="1134" w:header="431"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231"/>
      <w:gridCol w:w="3231"/>
      <w:gridCol w:w="3231"/>
    </w:tblGrid>
    <w:tr>
      <w:tc>
        <w:tcPr>
          <w:tcW w:type="dxa" w:w="323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1B3149"/>
              <w:sz w:val="14"/>
            </w:rPr>
            <w:t>Prepared by: QC Compliance</w:t>
            <w:br/>
            <w:t>Name / Signature / Date: __________</w:t>
          </w:r>
        </w:p>
      </w:tc>
      <w:tc>
        <w:tcPr>
          <w:tcW w:type="dxa" w:w="323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1B3149"/>
              <w:sz w:val="14"/>
            </w:rPr>
            <w:t>Reviewed by: Quality Manager</w:t>
            <w:br/>
            <w:t>Name / Signature / Date: __________</w:t>
          </w:r>
        </w:p>
      </w:tc>
      <w:tc>
        <w:tcPr>
          <w:tcW w:type="dxa" w:w="3231"/>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1B3149"/>
              <w:sz w:val="14"/>
            </w:rPr>
            <w:t>Approved by: Factory Director</w:t>
            <w:br/>
            <w:t>Name / Signature / Date: __________</w:t>
          </w:r>
        </w:p>
      </w:tc>
    </w:tr>
  </w:tbl>
  <w:p>
    <w:pPr>
      <w:spacing w:before="40" w:after="0"/>
      <w:jc w:val="center"/>
    </w:pPr>
    <w:r>
      <w:rPr>
        <w:b/>
        <w:color w:val="6A7581"/>
        <w:sz w:val="14"/>
      </w:rPr>
      <w:t>CONTROLLED DRAFT  •  Not effective until signed approval and Document Control issuance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633"/>
      <w:gridCol w:w="3061"/>
    </w:tblGrid>
    <w:tr>
      <w:tc>
        <w:tcPr>
          <w:tcW w:type="dxa" w:w="484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Pr>
              <w:color w:val="1B3149"/>
            </w:rPr>
          </w:r>
          <w:r>
            <w:rPr>
              <w:rFonts w:ascii="Arial" w:hAnsi="Arial"/>
              <w:b/>
              <w:color w:val="1B3149"/>
              <w:sz w:val="18"/>
            </w:rPr>
            <w:t>Saudi Mais Co. for Medical Products</w:t>
            <w:br/>
            <w:t>Standard Operating Procedure</w:t>
          </w:r>
        </w:p>
      </w:tc>
      <w:tc>
        <w:tcPr>
          <w:tcW w:type="dxa" w:w="484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1B3149"/>
              <w:sz w:val="16"/>
            </w:rPr>
            <w:t>Doc. #:  REJ</w:t>
            <w:br/>
            <w:t>Rev. #:  2 - PROPOSED</w:t>
          </w:r>
        </w:p>
      </w:tc>
    </w:tr>
    <w:tr>
      <w:tc>
        <w:tcPr>
          <w:tcW w:type="dxa" w:w="484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color w:val="1B3149"/>
              <w:sz w:val="18"/>
            </w:rPr>
            <w:t>Title: Reject Handling and Destruction Procedure</w:t>
          </w:r>
        </w:p>
      </w:tc>
      <w:tc>
        <w:tcPr>
          <w:tcW w:type="dxa" w:w="4847"/>
          <w:vAlign w:val="center"/>
          <w:tcMar>
            <w:top w:w="60" w:type="dxa"/>
            <w:bottom w:w="60" w:type="dxa"/>
            <w:left w:w="110" w:type="dxa"/>
            <w:right w:w="110" w:type="dxa"/>
          </w:tcMar>
          <w:tcBorders>
            <w:top w:val="single" w:sz="4" w:color="CAD2D9"/>
            <w:left w:val="single" w:sz="4" w:color="CAD2D9"/>
            <w:bottom w:val="single" w:sz="4" w:color="CAD2D9"/>
            <w:right w:val="single" w:sz="4" w:color="CAD2D9"/>
          </w:tcBorders>
        </w:tcPr>
        <w:p>
          <w:pPr>
            <w:spacing w:line="264" w:lineRule="auto"/>
          </w:pPr>
          <w:r/>
          <w:r>
            <w:rPr>
              <w:rFonts w:ascii="Arial" w:hAnsi="Arial"/>
              <w:b w:val="0"/>
              <w:color w:val="1B3149"/>
              <w:sz w:val="16"/>
            </w:rPr>
            <w:t>Date:  16.10.2026</w:t>
            <w:br/>
            <w:t xml:space="preserve">Page:  </w:t>
          </w:r>
          <w:r>
            <w:t xml:space="preserve"> </w:t>
          </w:r>
          <w:r>
            <w:fldChar w:fldCharType="begin"/>
          </w:r>
          <w:r>
            <w:instrText xml:space="preserve"> PAGE </w:instrText>
          </w:r>
          <w:r>
            <w:fldChar w:fldCharType="end"/>
          </w:r>
          <w:r>
            <w:t xml:space="preserve"> / </w:t>
          </w:r>
          <w:r>
            <w:fldChar w:fldCharType="begin"/>
          </w:r>
          <w:r>
            <w:instrText xml:space="preserve"> NUMPAGES </w:instrText>
          </w:r>
          <w:r>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3C4A5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B3149"/>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B314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