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20"/>
      </w:pPr>
    </w:p>
    <w:tbl>
      <w:tblPr>
        <w:tblW w:type="auto" w:w="0"/>
        <w:jc w:val="center"/>
        <w:tblLook w:firstColumn="1" w:firstRow="1" w:lastColumn="0" w:lastRow="0" w:noHBand="0" w:noVBand="1" w:val="04A0"/>
      </w:tblPr>
      <w:tblGrid>
        <w:gridCol w:w="10312"/>
      </w:tblGrid>
      <w:tr>
        <w:tc>
          <w:tcPr>
            <w:tcW w:type="dxa" w:w="10312"/>
            <w:shd w:fill="0F7C7B"/>
            <w:tcMar>
              <w:top w:w="120" w:type="dxa"/>
              <w:start w:w="120" w:type="dxa"/>
              <w:bottom w:w="120" w:type="dxa"/>
              <w:end w:w="120" w:type="dxa"/>
            </w:tcMar>
          </w:tcPr>
          <w:p>
            <w:pPr>
              <w:jc w:val="center"/>
            </w:pPr>
            <w:r>
              <w:rPr>
                <w:rFonts w:ascii="Noto Sans Arabic UI" w:hAnsi="Noto Sans Arabic UI" w:cs="Noto Sans Arabic UI" w:eastAsia="Noto Sans Arabic UI"/>
                <w:b/>
                <w:color w:val="FFFFFF"/>
                <w:sz w:val="22"/>
              </w:rPr>
              <w:t>QC DOCUMENT GAP ANALYSIS</w:t>
            </w:r>
          </w:p>
        </w:tc>
      </w:tr>
    </w:tbl>
    <w:p>
      <w:pPr>
        <w:spacing w:before="520" w:after="80"/>
        <w:jc w:val="center"/>
      </w:pPr>
      <w:r>
        <w:rPr>
          <w:rFonts w:ascii="Noto Sans Arabic UI" w:hAnsi="Noto Sans Arabic UI" w:cs="Noto Sans Arabic UI" w:eastAsia="Noto Sans Arabic UI"/>
          <w:b/>
          <w:color w:val="16324F"/>
          <w:sz w:val="56"/>
        </w:rPr>
        <w:t>Semi Auto Biopsy Needle</w:t>
      </w:r>
    </w:p>
    <w:p>
      <w:pPr>
        <w:spacing w:after="280"/>
        <w:jc w:val="center"/>
      </w:pPr>
      <w:r>
        <w:rPr>
          <w:rFonts w:ascii="Noto Sans Arabic UI" w:hAnsi="Noto Sans Arabic UI" w:cs="Noto Sans Arabic UI" w:eastAsia="Noto Sans Arabic UI"/>
          <w:b/>
          <w:color w:val="0F7C7B"/>
          <w:sz w:val="38"/>
        </w:rPr>
        <w:t>ISO 9626:2016 Gap Analysis</w:t>
      </w:r>
    </w:p>
    <w:p>
      <w:pPr>
        <w:spacing w:after="560"/>
        <w:jc w:val="center"/>
        <w:bidi w:val="1"/>
      </w:pPr>
      <w:r>
        <w:rPr>
          <w:rFonts w:ascii="Noto Sans Arabic UI" w:hAnsi="Noto Sans Arabic UI" w:cs="Noto Sans Arabic UI" w:eastAsia="Noto Sans Arabic UI"/>
          <w:b w:val="0"/>
          <w:color w:val="667085"/>
          <w:sz w:val="24"/>
        </w:rPr>
        <w:t>تحليل الفجوات بين متطلبات ISO 9626:2016 وWI والتقرير التفتيشي الخاص بالمنتج</w:t>
      </w:r>
    </w:p>
    <w:tbl>
      <w:tblPr>
        <w:tblW w:type="auto" w:w="0"/>
        <w:jc w:val="center"/>
        <w:tblLayout w:type="fixed"/>
        <w:tblLook w:firstColumn="1" w:firstRow="1" w:lastColumn="0" w:lastRow="0" w:noHBand="0" w:noVBand="1" w:val="04A0"/>
      </w:tblPr>
      <w:tblGrid>
        <w:gridCol w:w="5156"/>
        <w:gridCol w:w="5156"/>
      </w:tblGrid>
      <w:tr>
        <w:tc>
          <w:tcPr>
            <w:tcW w:type="dxa" w:w="2948"/>
            <w:shd w:fill="EAF1F7"/>
            <w:vAlign w:val="center"/>
            <w:tcMar>
              <w:top w:w="70" w:type="dxa"/>
              <w:start w:w="90" w:type="dxa"/>
              <w:bottom w:w="70" w:type="dxa"/>
              <w:end w:w="90" w:type="dxa"/>
            </w:tcMar>
            <w:tcBorders>
              <w:bottom w:val="single" w:sz="4" w:color="D9E2EA"/>
            </w:tcBorders>
          </w:tcPr>
          <w:p>
            <w:pPr>
              <w:spacing w:after="0" w:before="0" w:line="252" w:lineRule="auto"/>
              <w:jc w:val="left"/>
              <w:bidi w:val="0"/>
            </w:pPr>
            <w:r>
              <w:rPr>
                <w:rFonts w:ascii="Noto Sans Arabic UI" w:hAnsi="Noto Sans Arabic UI" w:cs="Noto Sans Arabic UI" w:eastAsia="Noto Sans Arabic UI"/>
                <w:b/>
                <w:color w:val="16324F"/>
                <w:sz w:val="17"/>
              </w:rPr>
              <w:t>Work Instruction</w:t>
            </w:r>
          </w:p>
        </w:tc>
        <w:tc>
          <w:tcPr>
            <w:tcW w:type="dxa" w:w="6123"/>
            <w:shd w:fill="FFFFFF"/>
            <w:vAlign w:val="center"/>
            <w:tcMar>
              <w:top w:w="70" w:type="dxa"/>
              <w:start w:w="90" w:type="dxa"/>
              <w:bottom w:w="70" w:type="dxa"/>
              <w:end w:w="90" w:type="dxa"/>
            </w:tcMar>
            <w:tcBorders>
              <w:bottom w:val="single" w:sz="4" w:color="D9E2EA"/>
            </w:tcBorders>
          </w:tcPr>
          <w:p>
            <w:pPr>
              <w:spacing w:after="0" w:before="0" w:line="252" w:lineRule="auto"/>
              <w:jc w:val="left"/>
              <w:bidi w:val="0"/>
            </w:pPr>
            <w:r>
              <w:rPr>
                <w:rFonts w:ascii="Noto Sans Arabic UI" w:hAnsi="Noto Sans Arabic UI" w:cs="Noto Sans Arabic UI" w:eastAsia="Noto Sans Arabic UI"/>
                <w:b w:val="0"/>
                <w:color w:val="243746"/>
                <w:sz w:val="17"/>
              </w:rPr>
              <w:t>WI-8-2-2-53 Rev.0 — Production &amp; Test Procedure for Semi Auto Biopsy Needle</w:t>
            </w:r>
          </w:p>
        </w:tc>
      </w:tr>
      <w:tr>
        <w:tc>
          <w:tcPr>
            <w:tcW w:type="dxa" w:w="2948"/>
            <w:shd w:fill="EAF1F7"/>
            <w:vAlign w:val="center"/>
            <w:tcMar>
              <w:top w:w="70" w:type="dxa"/>
              <w:start w:w="90" w:type="dxa"/>
              <w:bottom w:w="70" w:type="dxa"/>
              <w:end w:w="90" w:type="dxa"/>
            </w:tcMar>
            <w:tcBorders>
              <w:bottom w:val="single" w:sz="4" w:color="D9E2EA"/>
            </w:tcBorders>
          </w:tcPr>
          <w:p>
            <w:pPr>
              <w:spacing w:after="0" w:before="0" w:line="252" w:lineRule="auto"/>
              <w:jc w:val="left"/>
              <w:bidi w:val="0"/>
            </w:pPr>
            <w:r>
              <w:rPr>
                <w:rFonts w:ascii="Noto Sans Arabic UI" w:hAnsi="Noto Sans Arabic UI" w:cs="Noto Sans Arabic UI" w:eastAsia="Noto Sans Arabic UI"/>
                <w:b/>
                <w:color w:val="16324F"/>
                <w:sz w:val="17"/>
              </w:rPr>
              <w:t>Standard</w:t>
            </w:r>
          </w:p>
        </w:tc>
        <w:tc>
          <w:tcPr>
            <w:tcW w:type="dxa" w:w="6123"/>
            <w:shd w:fill="FFFFFF"/>
            <w:vAlign w:val="center"/>
            <w:tcMar>
              <w:top w:w="70" w:type="dxa"/>
              <w:start w:w="90" w:type="dxa"/>
              <w:bottom w:w="70" w:type="dxa"/>
              <w:end w:w="90" w:type="dxa"/>
            </w:tcMar>
            <w:tcBorders>
              <w:bottom w:val="single" w:sz="4" w:color="D9E2EA"/>
            </w:tcBorders>
          </w:tcPr>
          <w:p>
            <w:pPr>
              <w:spacing w:after="0" w:before="0" w:line="252" w:lineRule="auto"/>
              <w:jc w:val="left"/>
              <w:bidi w:val="0"/>
            </w:pPr>
            <w:r>
              <w:rPr>
                <w:rFonts w:ascii="Noto Sans Arabic UI" w:hAnsi="Noto Sans Arabic UI" w:cs="Noto Sans Arabic UI" w:eastAsia="Noto Sans Arabic UI"/>
                <w:b w:val="0"/>
                <w:color w:val="243746"/>
                <w:sz w:val="17"/>
              </w:rPr>
              <w:t>ISO 9626:2016 — Stainless steel needle tubing for the manufacture of medical devices</w:t>
            </w:r>
          </w:p>
        </w:tc>
      </w:tr>
      <w:tr>
        <w:tc>
          <w:tcPr>
            <w:tcW w:type="dxa" w:w="2948"/>
            <w:shd w:fill="EAF1F7"/>
            <w:vAlign w:val="center"/>
            <w:tcMar>
              <w:top w:w="70" w:type="dxa"/>
              <w:start w:w="90" w:type="dxa"/>
              <w:bottom w:w="70" w:type="dxa"/>
              <w:end w:w="90" w:type="dxa"/>
            </w:tcMar>
            <w:tcBorders>
              <w:bottom w:val="single" w:sz="4" w:color="D9E2EA"/>
            </w:tcBorders>
          </w:tcPr>
          <w:p>
            <w:pPr>
              <w:spacing w:after="0" w:before="0" w:line="252" w:lineRule="auto"/>
              <w:jc w:val="left"/>
              <w:bidi w:val="0"/>
            </w:pPr>
            <w:r>
              <w:rPr>
                <w:rFonts w:ascii="Noto Sans Arabic UI" w:hAnsi="Noto Sans Arabic UI" w:cs="Noto Sans Arabic UI" w:eastAsia="Noto Sans Arabic UI"/>
                <w:b/>
                <w:color w:val="16324F"/>
                <w:sz w:val="17"/>
              </w:rPr>
              <w:t>Inspection Report</w:t>
            </w:r>
          </w:p>
        </w:tc>
        <w:tc>
          <w:tcPr>
            <w:tcW w:type="dxa" w:w="6123"/>
            <w:shd w:fill="FFFFFF"/>
            <w:vAlign w:val="center"/>
            <w:tcMar>
              <w:top w:w="70" w:type="dxa"/>
              <w:start w:w="90" w:type="dxa"/>
              <w:bottom w:w="70" w:type="dxa"/>
              <w:end w:w="90" w:type="dxa"/>
            </w:tcMar>
            <w:tcBorders>
              <w:bottom w:val="single" w:sz="4" w:color="D9E2EA"/>
            </w:tcBorders>
          </w:tcPr>
          <w:p>
            <w:pPr>
              <w:spacing w:after="0" w:before="0" w:line="252" w:lineRule="auto"/>
              <w:jc w:val="left"/>
              <w:bidi w:val="0"/>
            </w:pPr>
            <w:r>
              <w:rPr>
                <w:rFonts w:ascii="Noto Sans Arabic UI" w:hAnsi="Noto Sans Arabic UI" w:cs="Noto Sans Arabic UI" w:eastAsia="Noto Sans Arabic UI"/>
                <w:b w:val="0"/>
                <w:color w:val="243746"/>
                <w:sz w:val="17"/>
              </w:rPr>
              <w:t>F-823-T162 Rev.1 — Inspection &amp; Test Report for Biopsy Needle (cross-check based on prior QC analysis)</w:t>
            </w:r>
          </w:p>
        </w:tc>
      </w:tr>
      <w:tr>
        <w:tc>
          <w:tcPr>
            <w:tcW w:type="dxa" w:w="2948"/>
            <w:shd w:fill="EAF1F7"/>
            <w:vAlign w:val="center"/>
            <w:tcMar>
              <w:top w:w="70" w:type="dxa"/>
              <w:start w:w="90" w:type="dxa"/>
              <w:bottom w:w="70" w:type="dxa"/>
              <w:end w:w="90" w:type="dxa"/>
            </w:tcMar>
            <w:tcBorders>
              <w:bottom w:val="single" w:sz="4" w:color="D9E2EA"/>
            </w:tcBorders>
          </w:tcPr>
          <w:p>
            <w:pPr>
              <w:spacing w:after="0" w:before="0" w:line="252" w:lineRule="auto"/>
              <w:jc w:val="left"/>
              <w:bidi w:val="0"/>
            </w:pPr>
            <w:r>
              <w:rPr>
                <w:rFonts w:ascii="Noto Sans Arabic UI" w:hAnsi="Noto Sans Arabic UI" w:cs="Noto Sans Arabic UI" w:eastAsia="Noto Sans Arabic UI"/>
                <w:b/>
                <w:color w:val="16324F"/>
                <w:sz w:val="17"/>
              </w:rPr>
              <w:t>Assessment Date</w:t>
            </w:r>
          </w:p>
        </w:tc>
        <w:tc>
          <w:tcPr>
            <w:tcW w:type="dxa" w:w="6123"/>
            <w:shd w:fill="FFFFFF"/>
            <w:vAlign w:val="center"/>
            <w:tcMar>
              <w:top w:w="70" w:type="dxa"/>
              <w:start w:w="90" w:type="dxa"/>
              <w:bottom w:w="70" w:type="dxa"/>
              <w:end w:w="90" w:type="dxa"/>
            </w:tcMar>
            <w:tcBorders>
              <w:bottom w:val="single" w:sz="4" w:color="D9E2EA"/>
            </w:tcBorders>
          </w:tcPr>
          <w:p>
            <w:pPr>
              <w:spacing w:after="0" w:before="0" w:line="252" w:lineRule="auto"/>
              <w:jc w:val="left"/>
              <w:bidi w:val="0"/>
            </w:pPr>
            <w:r>
              <w:rPr>
                <w:rFonts w:ascii="Noto Sans Arabic UI" w:hAnsi="Noto Sans Arabic UI" w:cs="Noto Sans Arabic UI" w:eastAsia="Noto Sans Arabic UI"/>
                <w:b w:val="0"/>
                <w:color w:val="243746"/>
                <w:sz w:val="17"/>
              </w:rPr>
              <w:t>06 Oct 2026</w:t>
            </w:r>
          </w:p>
        </w:tc>
      </w:tr>
    </w:tbl>
    <w:p>
      <w:pPr>
        <w:spacing w:before="480"/>
        <w:jc w:val="center"/>
      </w:pPr>
      <w:r>
        <w:rPr>
          <w:rFonts w:ascii="Noto Sans Arabic UI" w:hAnsi="Noto Sans Arabic UI" w:cs="Noto Sans Arabic UI" w:eastAsia="Noto Sans Arabic UI"/>
          <w:b/>
          <w:color w:val="667085"/>
          <w:sz w:val="17"/>
        </w:rPr>
        <w:t>Document-content assessment only — not a product conformity certificate.</w:t>
      </w:r>
    </w:p>
    <w:p>
      <w:r>
        <w:br w:type="page"/>
      </w:r>
    </w:p>
    <w:tbl>
      <w:tblPr>
        <w:tblW w:type="auto" w:w="0"/>
        <w:jc w:val="center"/>
        <w:tblLayout w:type="autofit"/>
        <w:tblLook w:firstColumn="1" w:firstRow="1" w:lastColumn="0" w:lastRow="0" w:noHBand="0" w:noVBand="1" w:val="04A0"/>
      </w:tblPr>
      <w:tblGrid>
        <w:gridCol w:w="10312"/>
      </w:tblGrid>
      <w:tr>
        <w:tc>
          <w:tcPr>
            <w:tcW w:type="dxa" w:w="10312"/>
            <w:shd w:fill="16324F"/>
            <w:tcMar>
              <w:top w:w="110" w:type="dxa"/>
              <w:start w:w="160" w:type="dxa"/>
              <w:bottom w:w="110" w:type="dxa"/>
              <w:end w:w="160" w:type="dxa"/>
            </w:tcMar>
          </w:tcPr>
          <w:p>
            <w:pPr>
              <w:jc w:val="right"/>
              <w:bidi w:val="1"/>
            </w:pPr>
            <w:r>
              <w:rPr>
                <w:rFonts w:ascii="Noto Sans Arabic UI" w:hAnsi="Noto Sans Arabic UI" w:cs="Noto Sans Arabic UI" w:eastAsia="Noto Sans Arabic UI"/>
                <w:b/>
                <w:color w:val="FFFFFF"/>
                <w:sz w:val="26"/>
              </w:rPr>
              <w:t>الملخص التنفيذي</w:t>
            </w:r>
            <w:r>
              <w:rPr>
                <w:rFonts w:ascii="Noto Sans Arabic UI" w:hAnsi="Noto Sans Arabic UI" w:cs="Noto Sans Arabic UI" w:eastAsia="Noto Sans Arabic UI"/>
                <w:b w:val="0"/>
                <w:color w:val="DDE7F0"/>
                <w:sz w:val="18"/>
              </w:rPr>
              <w:t xml:space="preserve">  |  Executive Summary</w:t>
            </w:r>
          </w:p>
        </w:tc>
      </w:tr>
    </w:tbl>
    <w:p>
      <w:pPr>
        <w:spacing w:after="40"/>
      </w:pPr>
    </w:p>
    <w:p>
      <w:pPr>
        <w:spacing w:after="80" w:before="0" w:line="276" w:lineRule="auto"/>
        <w:jc w:val="right"/>
        <w:bidi w:val="1"/>
      </w:pPr>
      <w:r>
        <w:rPr>
          <w:rFonts w:ascii="Noto Sans Arabic UI" w:hAnsi="Noto Sans Arabic UI" w:cs="Noto Sans Arabic UI" w:eastAsia="Noto Sans Arabic UI"/>
          <w:b/>
          <w:color w:val="16324F"/>
          <w:sz w:val="26"/>
        </w:rPr>
        <w:t>النتيجة الرئيسية</w:t>
      </w:r>
    </w:p>
    <w:p>
      <w:pPr>
        <w:spacing w:after="200" w:before="0" w:line="276" w:lineRule="auto"/>
        <w:jc w:val="right"/>
        <w:bidi w:val="1"/>
      </w:pPr>
      <w:r>
        <w:rPr>
          <w:rFonts w:ascii="Noto Sans Arabic UI" w:hAnsi="Noto Sans Arabic UI" w:cs="Noto Sans Arabic UI" w:eastAsia="Noto Sans Arabic UI"/>
          <w:b w:val="0"/>
          <w:color w:val="243746"/>
          <w:sz w:val="21"/>
        </w:rPr>
        <w:t>الـWI يذكر ISO 9626:2016 كمرجع، لكنه لا يحول عددًا من متطلبات الـneedle tubing الأساسية إلى Acceptance Criteria أو Verification Records قابلة للإثبات. أعلى الفجوات تتعلق بمواصفة المادة، الحدود البعدية، Wall Type، Stiffness، Resistance to Breakage، Corrosion، وAcidity/Alkalinity.</w:t>
      </w:r>
    </w:p>
    <w:tbl>
      <w:tblPr>
        <w:tblW w:type="auto" w:w="0"/>
        <w:jc w:val="center"/>
        <w:tblLayout w:type="fixed"/>
        <w:tblLook w:firstColumn="1" w:firstRow="1" w:lastColumn="0" w:lastRow="0" w:noHBand="0" w:noVBand="1" w:val="04A0"/>
      </w:tblPr>
      <w:tblGrid>
        <w:gridCol w:w="2578"/>
        <w:gridCol w:w="2578"/>
        <w:gridCol w:w="2578"/>
        <w:gridCol w:w="2578"/>
      </w:tblGrid>
      <w:tr>
        <w:tc>
          <w:tcPr>
            <w:tcW w:type="dxa" w:w="1800"/>
            <w:shd w:fill="EAF1F7"/>
            <w:tcMar>
              <w:top w:w="140" w:type="dxa"/>
              <w:start w:w="110" w:type="dxa"/>
              <w:bottom w:w="140" w:type="dxa"/>
              <w:end w:w="110" w:type="dxa"/>
            </w:tcMar>
            <w:vAlign w:val="center"/>
          </w:tcPr>
          <w:p>
            <w:pPr>
              <w:jc w:val="center"/>
              <w:bidi w:val="1"/>
            </w:pPr>
            <w:r>
              <w:rPr>
                <w:rFonts w:ascii="Noto Sans Arabic UI" w:hAnsi="Noto Sans Arabic UI" w:cs="Noto Sans Arabic UI" w:eastAsia="Noto Sans Arabic UI"/>
                <w:b/>
                <w:color w:val="16324F"/>
                <w:sz w:val="40"/>
              </w:rPr>
              <w:t>11</w:t>
            </w:r>
          </w:p>
          <w:p>
            <w:pPr>
              <w:jc w:val="center"/>
              <w:bidi w:val="1"/>
            </w:pPr>
            <w:r>
              <w:rPr>
                <w:rFonts w:ascii="Noto Sans Arabic UI" w:hAnsi="Noto Sans Arabic UI" w:cs="Noto Sans Arabic UI" w:eastAsia="Noto Sans Arabic UI"/>
                <w:b/>
                <w:color w:val="667085"/>
                <w:sz w:val="17"/>
              </w:rPr>
              <w:t>متطلب ISO رئيسي تمت مراجعته</w:t>
            </w:r>
          </w:p>
        </w:tc>
        <w:tc>
          <w:tcPr>
            <w:tcW w:type="dxa" w:w="1800"/>
            <w:shd w:fill="FDECEC"/>
            <w:tcMar>
              <w:top w:w="140" w:type="dxa"/>
              <w:start w:w="110" w:type="dxa"/>
              <w:bottom w:w="140" w:type="dxa"/>
              <w:end w:w="110" w:type="dxa"/>
            </w:tcMar>
            <w:vAlign w:val="center"/>
          </w:tcPr>
          <w:p>
            <w:pPr>
              <w:jc w:val="center"/>
              <w:bidi w:val="1"/>
            </w:pPr>
            <w:r>
              <w:rPr>
                <w:rFonts w:ascii="Noto Sans Arabic UI" w:hAnsi="Noto Sans Arabic UI" w:cs="Noto Sans Arabic UI" w:eastAsia="Noto Sans Arabic UI"/>
                <w:b/>
                <w:color w:val="16324F"/>
                <w:sz w:val="40"/>
              </w:rPr>
              <w:t>7</w:t>
            </w:r>
          </w:p>
          <w:p>
            <w:pPr>
              <w:jc w:val="center"/>
              <w:bidi w:val="1"/>
            </w:pPr>
            <w:r>
              <w:rPr>
                <w:rFonts w:ascii="Noto Sans Arabic UI" w:hAnsi="Noto Sans Arabic UI" w:cs="Noto Sans Arabic UI" w:eastAsia="Noto Sans Arabic UI"/>
                <w:b/>
                <w:color w:val="667085"/>
                <w:sz w:val="17"/>
              </w:rPr>
              <w:t>High-Priority Gaps</w:t>
            </w:r>
          </w:p>
        </w:tc>
        <w:tc>
          <w:tcPr>
            <w:tcW w:type="dxa" w:w="1800"/>
            <w:shd w:fill="FFF3E0"/>
            <w:tcMar>
              <w:top w:w="140" w:type="dxa"/>
              <w:start w:w="110" w:type="dxa"/>
              <w:bottom w:w="140" w:type="dxa"/>
              <w:end w:w="110" w:type="dxa"/>
            </w:tcMar>
            <w:vAlign w:val="center"/>
          </w:tcPr>
          <w:p>
            <w:pPr>
              <w:jc w:val="center"/>
              <w:bidi w:val="1"/>
            </w:pPr>
            <w:r>
              <w:rPr>
                <w:rFonts w:ascii="Noto Sans Arabic UI" w:hAnsi="Noto Sans Arabic UI" w:cs="Noto Sans Arabic UI" w:eastAsia="Noto Sans Arabic UI"/>
                <w:b/>
                <w:color w:val="16324F"/>
                <w:sz w:val="40"/>
              </w:rPr>
              <w:t>2</w:t>
            </w:r>
          </w:p>
          <w:p>
            <w:pPr>
              <w:jc w:val="center"/>
              <w:bidi w:val="1"/>
            </w:pPr>
            <w:r>
              <w:rPr>
                <w:rFonts w:ascii="Noto Sans Arabic UI" w:hAnsi="Noto Sans Arabic UI" w:cs="Noto Sans Arabic UI" w:eastAsia="Noto Sans Arabic UI"/>
                <w:b/>
                <w:color w:val="667085"/>
                <w:sz w:val="17"/>
              </w:rPr>
              <w:t>Gaps إضافية</w:t>
            </w:r>
          </w:p>
        </w:tc>
        <w:tc>
          <w:tcPr>
            <w:tcW w:type="dxa" w:w="1800"/>
            <w:shd w:fill="DFF4F3"/>
            <w:tcMar>
              <w:top w:w="140" w:type="dxa"/>
              <w:start w:w="110" w:type="dxa"/>
              <w:bottom w:w="140" w:type="dxa"/>
              <w:end w:w="110" w:type="dxa"/>
            </w:tcMar>
            <w:vAlign w:val="center"/>
          </w:tcPr>
          <w:p>
            <w:pPr>
              <w:jc w:val="center"/>
              <w:bidi w:val="1"/>
            </w:pPr>
            <w:r>
              <w:rPr>
                <w:rFonts w:ascii="Noto Sans Arabic UI" w:hAnsi="Noto Sans Arabic UI" w:cs="Noto Sans Arabic UI" w:eastAsia="Noto Sans Arabic UI"/>
                <w:b/>
                <w:color w:val="16324F"/>
                <w:sz w:val="40"/>
              </w:rPr>
              <w:t>2</w:t>
            </w:r>
          </w:p>
          <w:p>
            <w:pPr>
              <w:jc w:val="center"/>
              <w:bidi w:val="1"/>
            </w:pPr>
            <w:r>
              <w:rPr>
                <w:rFonts w:ascii="Noto Sans Arabic UI" w:hAnsi="Noto Sans Arabic UI" w:cs="Noto Sans Arabic UI" w:eastAsia="Noto Sans Arabic UI"/>
                <w:b/>
                <w:color w:val="667085"/>
                <w:sz w:val="17"/>
              </w:rPr>
              <w:t>Partial Gaps</w:t>
            </w:r>
          </w:p>
        </w:tc>
      </w:tr>
    </w:tbl>
    <w:p>
      <w:pPr>
        <w:spacing w:after="80"/>
      </w:pPr>
    </w:p>
    <w:p>
      <w:pPr>
        <w:spacing w:after="60" w:before="0" w:line="276" w:lineRule="auto"/>
        <w:jc w:val="right"/>
        <w:bidi w:val="1"/>
      </w:pPr>
      <w:r>
        <w:rPr>
          <w:rFonts w:ascii="Noto Sans Arabic UI" w:hAnsi="Noto Sans Arabic UI" w:cs="Noto Sans Arabic UI" w:eastAsia="Noto Sans Arabic UI"/>
          <w:b/>
          <w:color w:val="16324F"/>
          <w:sz w:val="24"/>
        </w:rPr>
        <w:t>نطاق المقارنة</w:t>
      </w:r>
    </w:p>
    <w:p>
      <w:pPr>
        <w:spacing w:after="80"/>
        <w:ind w:left="142"/>
        <w:jc w:val="right"/>
        <w:bidi w:val="1"/>
      </w:pPr>
      <w:r>
        <w:rPr>
          <w:rFonts w:ascii="Noto Sans Arabic UI" w:hAnsi="Noto Sans Arabic UI" w:cs="Noto Sans Arabic UI" w:eastAsia="Noto Sans Arabic UI"/>
          <w:b w:val="0"/>
          <w:color w:val="243746"/>
          <w:sz w:val="19"/>
        </w:rPr>
        <w:t>• ISO 9626:2016: Clauses 4 و5، Table 1، Table 2، Annex A، Annex B، Annex C، Annex D.</w:t>
      </w:r>
    </w:p>
    <w:p>
      <w:pPr>
        <w:spacing w:after="80"/>
        <w:ind w:left="142"/>
        <w:jc w:val="right"/>
        <w:bidi w:val="1"/>
      </w:pPr>
      <w:r>
        <w:rPr>
          <w:rFonts w:ascii="Noto Sans Arabic UI" w:hAnsi="Noto Sans Arabic UI" w:cs="Noto Sans Arabic UI" w:eastAsia="Noto Sans Arabic UI"/>
          <w:b w:val="0"/>
          <w:color w:val="243746"/>
          <w:sz w:val="19"/>
        </w:rPr>
        <w:t>• WI: أول 4 صفحات الخاصة بـ Semi Auto Biopsy Needle فقط من الملف المرفق.</w:t>
      </w:r>
    </w:p>
    <w:p>
      <w:pPr>
        <w:spacing w:after="80"/>
        <w:ind w:left="142"/>
        <w:jc w:val="right"/>
        <w:bidi w:val="1"/>
      </w:pPr>
      <w:r>
        <w:rPr>
          <w:rFonts w:ascii="Noto Sans Arabic UI" w:hAnsi="Noto Sans Arabic UI" w:cs="Noto Sans Arabic UI" w:eastAsia="Noto Sans Arabic UI"/>
          <w:b w:val="0"/>
          <w:color w:val="243746"/>
          <w:sz w:val="19"/>
        </w:rPr>
        <w:t>• Inspection Report: المطابقة مبنية على التحليل السابق المتاح لـ F-823-T162 Rev.1. لم يُستخدم وجود بند عام مثل “Needle Dimension” كدليل كافٍ ما لم يثبت معيار قبول ISO نفسه.</w:t>
      </w:r>
    </w:p>
    <w:tbl>
      <w:tblPr>
        <w:tblW w:type="auto" w:w="0"/>
        <w:jc w:val="center"/>
        <w:tblLook w:firstColumn="1" w:firstRow="1" w:lastColumn="0" w:lastRow="0" w:noHBand="0" w:noVBand="1" w:val="04A0"/>
      </w:tblPr>
      <w:tblGrid>
        <w:gridCol w:w="10312"/>
      </w:tblGrid>
      <w:tr>
        <w:tc>
          <w:tcPr>
            <w:tcW w:type="dxa" w:w="10312"/>
            <w:shd w:fill="FFF3E0"/>
            <w:tcMar>
              <w:top w:w="120" w:type="dxa"/>
              <w:start w:w="150" w:type="dxa"/>
              <w:bottom w:w="120" w:type="dxa"/>
              <w:end w:w="150" w:type="dxa"/>
            </w:tcMar>
          </w:tcPr>
          <w:p>
            <w:pPr>
              <w:jc w:val="right"/>
              <w:bidi w:val="1"/>
            </w:pPr>
            <w:r>
              <w:rPr>
                <w:rFonts w:ascii="Noto Sans Arabic UI" w:hAnsi="Noto Sans Arabic UI" w:cs="Noto Sans Arabic UI" w:eastAsia="Noto Sans Arabic UI"/>
                <w:b/>
                <w:color w:val="B54708"/>
                <w:sz w:val="18"/>
              </w:rPr>
              <w:t xml:space="preserve">ملاحظة Document Control: </w:t>
            </w:r>
            <w:r>
              <w:rPr>
                <w:rFonts w:ascii="Noto Sans Arabic UI" w:hAnsi="Noto Sans Arabic UI" w:cs="Noto Sans Arabic UI" w:eastAsia="Noto Sans Arabic UI"/>
                <w:b w:val="0"/>
                <w:color w:val="243746"/>
                <w:sz w:val="18"/>
              </w:rPr>
              <w:t>الـWI في الصفحة 4 يشير إلى F-823-T58 (Inspection &amp; Test Report for needle and Stylet)، بينما التحليل السابق يستخدم F-823-T162 Rev.1 للـBiopsy Needle. يلزم حسم أيهما السجل الساري وتحديث المرجع وفقًا لذلك.</w:t>
            </w:r>
          </w:p>
        </w:tc>
      </w:tr>
    </w:tbl>
    <w:p>
      <w:r>
        <w:br w:type="page"/>
      </w:r>
    </w:p>
    <w:tbl>
      <w:tblPr>
        <w:tblW w:type="auto" w:w="0"/>
        <w:jc w:val="center"/>
        <w:tblLayout w:type="autofit"/>
        <w:tblLook w:firstColumn="1" w:firstRow="1" w:lastColumn="0" w:lastRow="0" w:noHBand="0" w:noVBand="1" w:val="04A0"/>
      </w:tblPr>
      <w:tblGrid>
        <w:gridCol w:w="10312"/>
      </w:tblGrid>
      <w:tr>
        <w:tc>
          <w:tcPr>
            <w:tcW w:type="dxa" w:w="10312"/>
            <w:shd w:fill="16324F"/>
            <w:tcMar>
              <w:top w:w="110" w:type="dxa"/>
              <w:start w:w="160" w:type="dxa"/>
              <w:bottom w:w="110" w:type="dxa"/>
              <w:end w:w="160" w:type="dxa"/>
            </w:tcMar>
          </w:tcPr>
          <w:p>
            <w:pPr>
              <w:jc w:val="right"/>
              <w:bidi w:val="1"/>
            </w:pPr>
            <w:r>
              <w:rPr>
                <w:rFonts w:ascii="Noto Sans Arabic UI" w:hAnsi="Noto Sans Arabic UI" w:cs="Noto Sans Arabic UI" w:eastAsia="Noto Sans Arabic UI"/>
                <w:b/>
                <w:color w:val="FFFFFF"/>
                <w:sz w:val="26"/>
              </w:rPr>
              <w:t>مصفوفة الربط التفصيلية</w:t>
            </w:r>
            <w:r>
              <w:rPr>
                <w:rFonts w:ascii="Noto Sans Arabic UI" w:hAnsi="Noto Sans Arabic UI" w:cs="Noto Sans Arabic UI" w:eastAsia="Noto Sans Arabic UI"/>
                <w:b w:val="0"/>
                <w:color w:val="DDE7F0"/>
                <w:sz w:val="18"/>
              </w:rPr>
              <w:t xml:space="preserve">  |  ISO ↔ WI ↔ Inspection Report</w:t>
            </w:r>
          </w:p>
        </w:tc>
      </w:tr>
    </w:tbl>
    <w:p>
      <w:pPr>
        <w:spacing w:after="40"/>
      </w:pP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454"/>
            <w:shd w:fill="16324F"/>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FFFFFF"/>
                <w:sz w:val="16"/>
              </w:rPr>
              <w:t>#</w:t>
            </w:r>
          </w:p>
        </w:tc>
        <w:tc>
          <w:tcPr>
            <w:tcW w:type="dxa" w:w="2381"/>
            <w:shd w:fill="16324F"/>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FFFFFF"/>
                <w:sz w:val="16"/>
              </w:rPr>
              <w:t>ISO 9626 Requirement + Page</w:t>
            </w:r>
          </w:p>
        </w:tc>
        <w:tc>
          <w:tcPr>
            <w:tcW w:type="dxa" w:w="2665"/>
            <w:shd w:fill="16324F"/>
            <w:vAlign w:val="center"/>
            <w:tcMar>
              <w:top w:w="70" w:type="dxa"/>
              <w:start w:w="90" w:type="dxa"/>
              <w:bottom w:w="70" w:type="dxa"/>
              <w:end w:w="90" w:type="dxa"/>
            </w:tcMar>
          </w:tcPr>
          <w:p>
            <w:pPr>
              <w:spacing w:after="0" w:before="0" w:line="252" w:lineRule="auto"/>
              <w:jc w:val="center"/>
              <w:bidi w:val="1"/>
            </w:pPr>
            <w:r>
              <w:rPr>
                <w:rFonts w:ascii="Noto Sans Arabic UI" w:hAnsi="Noto Sans Arabic UI" w:cs="Noto Sans Arabic UI" w:eastAsia="Noto Sans Arabic UI"/>
                <w:b/>
                <w:color w:val="FFFFFF"/>
                <w:sz w:val="16"/>
              </w:rPr>
              <w:t>الموجود في WI</w:t>
            </w:r>
          </w:p>
        </w:tc>
        <w:tc>
          <w:tcPr>
            <w:tcW w:type="dxa" w:w="2891"/>
            <w:shd w:fill="16324F"/>
            <w:vAlign w:val="center"/>
            <w:tcMar>
              <w:top w:w="70" w:type="dxa"/>
              <w:start w:w="90" w:type="dxa"/>
              <w:bottom w:w="70" w:type="dxa"/>
              <w:end w:w="90" w:type="dxa"/>
            </w:tcMar>
          </w:tcPr>
          <w:p>
            <w:pPr>
              <w:spacing w:after="0" w:before="0" w:line="252" w:lineRule="auto"/>
              <w:jc w:val="center"/>
              <w:bidi w:val="1"/>
            </w:pPr>
            <w:r>
              <w:rPr>
                <w:rFonts w:ascii="Noto Sans Arabic UI" w:hAnsi="Noto Sans Arabic UI" w:cs="Noto Sans Arabic UI" w:eastAsia="Noto Sans Arabic UI"/>
                <w:b/>
                <w:color w:val="FFFFFF"/>
                <w:sz w:val="16"/>
              </w:rPr>
              <w:t>الموجود في Inspection Report</w:t>
            </w:r>
          </w:p>
        </w:tc>
        <w:tc>
          <w:tcPr>
            <w:tcW w:type="dxa" w:w="1417"/>
            <w:shd w:fill="16324F"/>
            <w:vAlign w:val="center"/>
            <w:tcMar>
              <w:top w:w="70" w:type="dxa"/>
              <w:start w:w="90" w:type="dxa"/>
              <w:bottom w:w="70" w:type="dxa"/>
              <w:end w:w="90" w:type="dxa"/>
            </w:tcMar>
          </w:tcPr>
          <w:p>
            <w:pPr>
              <w:spacing w:after="0" w:before="0" w:line="252" w:lineRule="auto"/>
              <w:jc w:val="center"/>
              <w:bidi w:val="1"/>
            </w:pPr>
            <w:r>
              <w:rPr>
                <w:rFonts w:ascii="Noto Sans Arabic UI" w:hAnsi="Noto Sans Arabic UI" w:cs="Noto Sans Arabic UI" w:eastAsia="Noto Sans Arabic UI"/>
                <w:b/>
                <w:color w:val="FFFFFF"/>
                <w:sz w:val="16"/>
              </w:rPr>
              <w:t>Assessment</w:t>
            </w:r>
          </w:p>
        </w:tc>
      </w:tr>
      <w:tr>
        <w:trPr>
          <w:cantSplit w:val="1"/>
        </w:trPr>
        <w:tc>
          <w:tcPr>
            <w:tcW w:type="dxa" w:w="2062"/>
            <w:tcBorders>
              <w:bottom w:val="single" w:sz="3" w:color="D9E2EA"/>
            </w:tcBorders>
            <w:shd w:fill="F2F4F7"/>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16324F"/>
                <w:sz w:val="16"/>
              </w:rPr>
              <w:t>1</w:t>
            </w:r>
          </w:p>
        </w:tc>
        <w:tc>
          <w:tcPr>
            <w:tcW w:type="dxa" w:w="2062"/>
            <w:tcBorders>
              <w:bottom w:val="single" w:sz="3" w:color="D9E2EA"/>
            </w:tcBorders>
            <w:vAlign w:val="center"/>
            <w:tcMar>
              <w:top w:w="70" w:type="dxa"/>
              <w:start w:w="90" w:type="dxa"/>
              <w:bottom w:w="70" w:type="dxa"/>
              <w:end w:w="90" w:type="dxa"/>
            </w:tcMar>
          </w:tcPr>
          <w:p>
            <w:pPr>
              <w:spacing w:after="0" w:before="0" w:line="252" w:lineRule="auto"/>
              <w:jc w:val="left"/>
              <w:bidi w:val="0"/>
            </w:pPr>
            <w:r>
              <w:rPr>
                <w:rFonts w:ascii="Noto Sans Arabic UI" w:hAnsi="Noto Sans Arabic UI" w:cs="Noto Sans Arabic UI" w:eastAsia="Noto Sans Arabic UI"/>
                <w:b/>
                <w:color w:val="16324F"/>
                <w:sz w:val="15"/>
              </w:rPr>
              <w:t>Material — Clause 4</w:t>
              <w:br/>
              <w:t>PDF p.8 (ISO p.2)</w:t>
            </w:r>
          </w:p>
        </w:tc>
        <w:tc>
          <w:tcPr>
            <w:tcW w:type="dxa" w:w="2062"/>
            <w:tcBorders>
              <w:bottom w:val="single" w:sz="3" w:color="D9E2EA"/>
            </w:tcBorders>
            <w:vAlign w:val="center"/>
            <w:tcMar>
              <w:top w:w="70" w:type="dxa"/>
              <w:start w:w="90" w:type="dxa"/>
              <w:bottom w:w="70" w:type="dxa"/>
              <w:end w:w="90" w:type="dxa"/>
            </w:tcMar>
          </w:tcPr>
          <w:p>
            <w:pPr>
              <w:spacing w:after="0" w:before="0" w:line="252" w:lineRule="auto"/>
              <w:jc w:val="right"/>
              <w:bidi w:val="1"/>
            </w:pPr>
            <w:r>
              <w:rPr>
                <w:rFonts w:ascii="Noto Sans Arabic UI" w:hAnsi="Noto Sans Arabic UI" w:cs="Noto Sans Arabic UI" w:eastAsia="Noto Sans Arabic UI"/>
                <w:b w:val="0"/>
                <w:color w:val="243746"/>
                <w:sz w:val="15"/>
              </w:rPr>
              <w:t>WI p.3: “100% stainless steel material” فقط؛ لا يوجد Grade أو ربط بـ ISO 15510.</w:t>
            </w:r>
          </w:p>
        </w:tc>
        <w:tc>
          <w:tcPr>
            <w:tcW w:type="dxa" w:w="2062"/>
            <w:tcBorders>
              <w:bottom w:val="single" w:sz="3" w:color="D9E2EA"/>
            </w:tcBorders>
            <w:vAlign w:val="center"/>
            <w:tcMar>
              <w:top w:w="70" w:type="dxa"/>
              <w:start w:w="90" w:type="dxa"/>
              <w:bottom w:w="70" w:type="dxa"/>
              <w:end w:w="90" w:type="dxa"/>
            </w:tcMar>
          </w:tcPr>
          <w:p>
            <w:pPr>
              <w:spacing w:after="0" w:before="0" w:line="252" w:lineRule="auto"/>
              <w:jc w:val="right"/>
              <w:bidi w:val="1"/>
            </w:pPr>
            <w:r>
              <w:rPr>
                <w:rFonts w:ascii="Noto Sans Arabic UI" w:hAnsi="Noto Sans Arabic UI" w:cs="Noto Sans Arabic UI" w:eastAsia="Noto Sans Arabic UI"/>
                <w:b w:val="0"/>
                <w:color w:val="243746"/>
                <w:sz w:val="15"/>
              </w:rPr>
              <w:t>جزئي: يوجد فحص material/appearance، لكن لا يوجد Stainless Steel Grade أو ISO 15510 / material certificate criterion.</w:t>
            </w:r>
          </w:p>
        </w:tc>
        <w:tc>
          <w:tcPr>
            <w:tcW w:type="dxa" w:w="2062"/>
            <w:tcBorders>
              <w:bottom w:val="single" w:sz="3" w:color="D9E2EA"/>
            </w:tcBorders>
            <w:shd w:fill="FDECEC"/>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B42318"/>
                <w:sz w:val="16"/>
              </w:rPr>
              <w:t>GAP — High</w:t>
            </w:r>
          </w:p>
        </w:tc>
      </w:tr>
      <w:tr>
        <w:trPr>
          <w:cantSplit w:val="1"/>
        </w:trPr>
        <w:tc>
          <w:tcPr>
            <w:tcW w:type="dxa" w:w="2062"/>
            <w:tcBorders>
              <w:bottom w:val="single" w:sz="3" w:color="D9E2EA"/>
            </w:tcBorders>
            <w:shd w:fill="F2F4F7"/>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16324F"/>
                <w:sz w:val="16"/>
              </w:rPr>
              <w:t>2</w:t>
            </w:r>
          </w:p>
        </w:tc>
        <w:tc>
          <w:tcPr>
            <w:tcW w:type="dxa" w:w="2062"/>
            <w:tcBorders>
              <w:bottom w:val="single" w:sz="3" w:color="D9E2EA"/>
            </w:tcBorders>
            <w:vAlign w:val="center"/>
            <w:tcMar>
              <w:top w:w="70" w:type="dxa"/>
              <w:start w:w="90" w:type="dxa"/>
              <w:bottom w:w="70" w:type="dxa"/>
              <w:end w:w="90" w:type="dxa"/>
            </w:tcMar>
            <w:shd w:fill="FBFCFD"/>
          </w:tcPr>
          <w:p>
            <w:pPr>
              <w:spacing w:after="0" w:before="0" w:line="252" w:lineRule="auto"/>
              <w:jc w:val="left"/>
              <w:bidi w:val="0"/>
            </w:pPr>
            <w:r>
              <w:rPr>
                <w:rFonts w:ascii="Noto Sans Arabic UI" w:hAnsi="Noto Sans Arabic UI" w:cs="Noto Sans Arabic UI" w:eastAsia="Noto Sans Arabic UI"/>
                <w:b/>
                <w:color w:val="16324F"/>
                <w:sz w:val="15"/>
              </w:rPr>
              <w:t>Surface Finish &amp; Visual Appearance — 5.2</w:t>
              <w:br/>
              <w:t>PDF p.8 (ISO p.2)</w:t>
            </w:r>
          </w:p>
        </w:tc>
        <w:tc>
          <w:tcPr>
            <w:tcW w:type="dxa" w:w="2062"/>
            <w:tcBorders>
              <w:bottom w:val="single" w:sz="3" w:color="D9E2EA"/>
            </w:tcBorders>
            <w:vAlign w:val="center"/>
            <w:tcMar>
              <w:top w:w="70" w:type="dxa"/>
              <w:start w:w="90" w:type="dxa"/>
              <w:bottom w:w="70" w:type="dxa"/>
              <w:end w:w="90" w:type="dxa"/>
            </w:tcMar>
            <w:shd w:fill="FBFCFD"/>
          </w:tcPr>
          <w:p>
            <w:pPr>
              <w:spacing w:after="0" w:before="0" w:line="252" w:lineRule="auto"/>
              <w:jc w:val="right"/>
              <w:bidi w:val="1"/>
            </w:pPr>
            <w:r>
              <w:rPr>
                <w:rFonts w:ascii="Noto Sans Arabic UI" w:hAnsi="Noto Sans Arabic UI" w:cs="Noto Sans Arabic UI" w:eastAsia="Noto Sans Arabic UI"/>
                <w:b w:val="0"/>
                <w:color w:val="243746"/>
                <w:sz w:val="15"/>
              </w:rPr>
              <w:t>WI p.3: smooth surface + بعض irregularities / tip checks.</w:t>
            </w:r>
          </w:p>
        </w:tc>
        <w:tc>
          <w:tcPr>
            <w:tcW w:type="dxa" w:w="2062"/>
            <w:tcBorders>
              <w:bottom w:val="single" w:sz="3" w:color="D9E2EA"/>
            </w:tcBorders>
            <w:vAlign w:val="center"/>
            <w:tcMar>
              <w:top w:w="70" w:type="dxa"/>
              <w:start w:w="90" w:type="dxa"/>
              <w:bottom w:w="70" w:type="dxa"/>
              <w:end w:w="90" w:type="dxa"/>
            </w:tcMar>
            <w:shd w:fill="FBFCFD"/>
          </w:tcPr>
          <w:p>
            <w:pPr>
              <w:spacing w:after="0" w:before="0" w:line="252" w:lineRule="auto"/>
              <w:jc w:val="right"/>
              <w:bidi w:val="1"/>
            </w:pPr>
            <w:r>
              <w:rPr>
                <w:rFonts w:ascii="Noto Sans Arabic UI" w:hAnsi="Noto Sans Arabic UI" w:cs="Noto Sans Arabic UI" w:eastAsia="Noto Sans Arabic UI"/>
                <w:b w:val="0"/>
                <w:color w:val="243746"/>
                <w:sz w:val="15"/>
              </w:rPr>
              <w:t>جزئي: Appearance موجود، لكن straightness وregular roundness غير ظاهرين كمعايير مستقلة.</w:t>
            </w:r>
          </w:p>
        </w:tc>
        <w:tc>
          <w:tcPr>
            <w:tcW w:type="dxa" w:w="2062"/>
            <w:tcBorders>
              <w:bottom w:val="single" w:sz="3" w:color="D9E2EA"/>
            </w:tcBorders>
            <w:shd w:fill="EAF1F7"/>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16324F"/>
                <w:sz w:val="16"/>
              </w:rPr>
              <w:t>Partial GAP</w:t>
            </w:r>
          </w:p>
        </w:tc>
      </w:tr>
      <w:tr>
        <w:trPr>
          <w:cantSplit w:val="1"/>
        </w:trPr>
        <w:tc>
          <w:tcPr>
            <w:tcW w:type="dxa" w:w="2062"/>
            <w:tcBorders>
              <w:bottom w:val="single" w:sz="3" w:color="D9E2EA"/>
            </w:tcBorders>
            <w:shd w:fill="F2F4F7"/>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16324F"/>
                <w:sz w:val="16"/>
              </w:rPr>
              <w:t>3</w:t>
            </w:r>
          </w:p>
        </w:tc>
        <w:tc>
          <w:tcPr>
            <w:tcW w:type="dxa" w:w="2062"/>
            <w:tcBorders>
              <w:bottom w:val="single" w:sz="3" w:color="D9E2EA"/>
            </w:tcBorders>
            <w:vAlign w:val="center"/>
            <w:tcMar>
              <w:top w:w="70" w:type="dxa"/>
              <w:start w:w="90" w:type="dxa"/>
              <w:bottom w:w="70" w:type="dxa"/>
              <w:end w:w="90" w:type="dxa"/>
            </w:tcMar>
          </w:tcPr>
          <w:p>
            <w:pPr>
              <w:spacing w:after="0" w:before="0" w:line="252" w:lineRule="auto"/>
              <w:jc w:val="left"/>
              <w:bidi w:val="0"/>
            </w:pPr>
            <w:r>
              <w:rPr>
                <w:rFonts w:ascii="Noto Sans Arabic UI" w:hAnsi="Noto Sans Arabic UI" w:cs="Noto Sans Arabic UI" w:eastAsia="Noto Sans Arabic UI"/>
                <w:b/>
                <w:color w:val="16324F"/>
                <w:sz w:val="15"/>
              </w:rPr>
              <w:t>Cleanliness — 5.3</w:t>
              <w:br/>
              <w:t>PDF p.8 (ISO p.2)</w:t>
            </w:r>
          </w:p>
        </w:tc>
        <w:tc>
          <w:tcPr>
            <w:tcW w:type="dxa" w:w="2062"/>
            <w:tcBorders>
              <w:bottom w:val="single" w:sz="3" w:color="D9E2EA"/>
            </w:tcBorders>
            <w:vAlign w:val="center"/>
            <w:tcMar>
              <w:top w:w="70" w:type="dxa"/>
              <w:start w:w="90" w:type="dxa"/>
              <w:bottom w:w="70" w:type="dxa"/>
              <w:end w:w="90" w:type="dxa"/>
            </w:tcMar>
          </w:tcPr>
          <w:p>
            <w:pPr>
              <w:spacing w:after="0" w:before="0" w:line="252" w:lineRule="auto"/>
              <w:jc w:val="right"/>
              <w:bidi w:val="1"/>
            </w:pPr>
            <w:r>
              <w:rPr>
                <w:rFonts w:ascii="Noto Sans Arabic UI" w:hAnsi="Noto Sans Arabic UI" w:cs="Noto Sans Arabic UI" w:eastAsia="Noto Sans Arabic UI"/>
                <w:b w:val="0"/>
                <w:color w:val="243746"/>
                <w:sz w:val="15"/>
              </w:rPr>
              <w:t>فحص blockage وبعض العيوب؛ لا يوجد metal soil / processing agents.</w:t>
            </w:r>
          </w:p>
        </w:tc>
        <w:tc>
          <w:tcPr>
            <w:tcW w:type="dxa" w:w="2062"/>
            <w:tcBorders>
              <w:bottom w:val="single" w:sz="3" w:color="D9E2EA"/>
            </w:tcBorders>
            <w:vAlign w:val="center"/>
            <w:tcMar>
              <w:top w:w="70" w:type="dxa"/>
              <w:start w:w="90" w:type="dxa"/>
              <w:bottom w:w="70" w:type="dxa"/>
              <w:end w:w="90" w:type="dxa"/>
            </w:tcMar>
          </w:tcPr>
          <w:p>
            <w:pPr>
              <w:spacing w:after="0" w:before="0" w:line="252" w:lineRule="auto"/>
              <w:jc w:val="right"/>
              <w:bidi w:val="1"/>
            </w:pPr>
            <w:r>
              <w:rPr>
                <w:rFonts w:ascii="Noto Sans Arabic UI" w:hAnsi="Noto Sans Arabic UI" w:cs="Noto Sans Arabic UI" w:eastAsia="Noto Sans Arabic UI"/>
                <w:b w:val="0"/>
                <w:color w:val="243746"/>
                <w:sz w:val="15"/>
              </w:rPr>
              <w:t>لا يوجد criterion صريح لـ metal soil وprocessing agents؛ No blockage ليس بديلًا عن cleanliness.</w:t>
            </w:r>
          </w:p>
        </w:tc>
        <w:tc>
          <w:tcPr>
            <w:tcW w:type="dxa" w:w="2062"/>
            <w:tcBorders>
              <w:bottom w:val="single" w:sz="3" w:color="D9E2EA"/>
            </w:tcBorders>
            <w:shd w:fill="FFF3E0"/>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B54708"/>
                <w:sz w:val="16"/>
              </w:rPr>
              <w:t>GAP</w:t>
            </w:r>
          </w:p>
        </w:tc>
      </w:tr>
      <w:tr>
        <w:trPr>
          <w:cantSplit w:val="1"/>
        </w:trPr>
        <w:tc>
          <w:tcPr>
            <w:tcW w:type="dxa" w:w="2062"/>
            <w:tcBorders>
              <w:bottom w:val="single" w:sz="3" w:color="D9E2EA"/>
            </w:tcBorders>
            <w:shd w:fill="F2F4F7"/>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16324F"/>
                <w:sz w:val="16"/>
              </w:rPr>
              <w:t>4</w:t>
            </w:r>
          </w:p>
        </w:tc>
        <w:tc>
          <w:tcPr>
            <w:tcW w:type="dxa" w:w="2062"/>
            <w:tcBorders>
              <w:bottom w:val="single" w:sz="3" w:color="D9E2EA"/>
            </w:tcBorders>
            <w:vAlign w:val="center"/>
            <w:tcMar>
              <w:top w:w="70" w:type="dxa"/>
              <w:start w:w="90" w:type="dxa"/>
              <w:bottom w:w="70" w:type="dxa"/>
              <w:end w:w="90" w:type="dxa"/>
            </w:tcMar>
            <w:shd w:fill="FBFCFD"/>
          </w:tcPr>
          <w:p>
            <w:pPr>
              <w:spacing w:after="0" w:before="0" w:line="252" w:lineRule="auto"/>
              <w:jc w:val="left"/>
              <w:bidi w:val="0"/>
            </w:pPr>
            <w:r>
              <w:rPr>
                <w:rFonts w:ascii="Noto Sans Arabic UI" w:hAnsi="Noto Sans Arabic UI" w:cs="Noto Sans Arabic UI" w:eastAsia="Noto Sans Arabic UI"/>
                <w:b/>
                <w:color w:val="16324F"/>
                <w:sz w:val="15"/>
              </w:rPr>
              <w:t>Acidity / Alkalinity — 5.4</w:t>
              <w:br/>
              <w:t>PDF p.8 (ISO p.2)</w:t>
              <w:br/>
              <w:t>Annex A: PDF p.14 (ISO p.8)</w:t>
            </w:r>
          </w:p>
        </w:tc>
        <w:tc>
          <w:tcPr>
            <w:tcW w:type="dxa" w:w="2062"/>
            <w:tcBorders>
              <w:bottom w:val="single" w:sz="3" w:color="D9E2EA"/>
            </w:tcBorders>
            <w:vAlign w:val="center"/>
            <w:tcMar>
              <w:top w:w="70" w:type="dxa"/>
              <w:start w:w="90" w:type="dxa"/>
              <w:bottom w:w="70" w:type="dxa"/>
              <w:end w:w="90" w:type="dxa"/>
            </w:tcMar>
            <w:shd w:fill="FBFCFD"/>
          </w:tcPr>
          <w:p>
            <w:pPr>
              <w:spacing w:after="0" w:before="0" w:line="252" w:lineRule="auto"/>
              <w:jc w:val="right"/>
              <w:bidi w:val="1"/>
            </w:pPr>
            <w:r>
              <w:rPr>
                <w:rFonts w:ascii="Noto Sans Arabic UI" w:hAnsi="Noto Sans Arabic UI" w:cs="Noto Sans Arabic UI" w:eastAsia="Noto Sans Arabic UI"/>
                <w:b w:val="0"/>
                <w:color w:val="243746"/>
                <w:sz w:val="15"/>
              </w:rPr>
              <w:t>غير موجود.</w:t>
            </w:r>
          </w:p>
        </w:tc>
        <w:tc>
          <w:tcPr>
            <w:tcW w:type="dxa" w:w="2062"/>
            <w:tcBorders>
              <w:bottom w:val="single" w:sz="3" w:color="D9E2EA"/>
            </w:tcBorders>
            <w:vAlign w:val="center"/>
            <w:tcMar>
              <w:top w:w="70" w:type="dxa"/>
              <w:start w:w="90" w:type="dxa"/>
              <w:bottom w:w="70" w:type="dxa"/>
              <w:end w:w="90" w:type="dxa"/>
            </w:tcMar>
            <w:shd w:fill="FBFCFD"/>
          </w:tcPr>
          <w:p>
            <w:pPr>
              <w:spacing w:after="0" w:before="0" w:line="252" w:lineRule="auto"/>
              <w:jc w:val="right"/>
              <w:bidi w:val="1"/>
            </w:pPr>
            <w:r>
              <w:rPr>
                <w:rFonts w:ascii="Noto Sans Arabic UI" w:hAnsi="Noto Sans Arabic UI" w:cs="Noto Sans Arabic UI" w:eastAsia="Noto Sans Arabic UI"/>
                <w:b w:val="0"/>
                <w:color w:val="243746"/>
                <w:sz w:val="15"/>
              </w:rPr>
              <w:t>غير موجود.</w:t>
            </w:r>
          </w:p>
        </w:tc>
        <w:tc>
          <w:tcPr>
            <w:tcW w:type="dxa" w:w="2062"/>
            <w:tcBorders>
              <w:bottom w:val="single" w:sz="3" w:color="D9E2EA"/>
            </w:tcBorders>
            <w:shd w:fill="FDECEC"/>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B42318"/>
                <w:sz w:val="16"/>
              </w:rPr>
              <w:t>GAP — High</w:t>
            </w:r>
          </w:p>
        </w:tc>
      </w:tr>
      <w:tr>
        <w:trPr>
          <w:cantSplit w:val="1"/>
        </w:trPr>
        <w:tc>
          <w:tcPr>
            <w:tcW w:type="dxa" w:w="2062"/>
            <w:tcBorders>
              <w:bottom w:val="single" w:sz="3" w:color="D9E2EA"/>
            </w:tcBorders>
            <w:shd w:fill="F2F4F7"/>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16324F"/>
                <w:sz w:val="16"/>
              </w:rPr>
              <w:t>5</w:t>
            </w:r>
          </w:p>
        </w:tc>
        <w:tc>
          <w:tcPr>
            <w:tcW w:type="dxa" w:w="2062"/>
            <w:tcBorders>
              <w:bottom w:val="single" w:sz="3" w:color="D9E2EA"/>
            </w:tcBorders>
            <w:vAlign w:val="center"/>
            <w:tcMar>
              <w:top w:w="70" w:type="dxa"/>
              <w:start w:w="90" w:type="dxa"/>
              <w:bottom w:w="70" w:type="dxa"/>
              <w:end w:w="90" w:type="dxa"/>
            </w:tcMar>
          </w:tcPr>
          <w:p>
            <w:pPr>
              <w:spacing w:after="0" w:before="0" w:line="252" w:lineRule="auto"/>
              <w:jc w:val="left"/>
              <w:bidi w:val="0"/>
            </w:pPr>
            <w:r>
              <w:rPr>
                <w:rFonts w:ascii="Noto Sans Arabic UI" w:hAnsi="Noto Sans Arabic UI" w:cs="Noto Sans Arabic UI" w:eastAsia="Noto Sans Arabic UI"/>
                <w:b/>
                <w:color w:val="16324F"/>
                <w:sz w:val="15"/>
              </w:rPr>
              <w:t>Size Designation — 5.5</w:t>
              <w:br/>
              <w:t>PDF p.8 (ISO p.2)</w:t>
            </w:r>
          </w:p>
        </w:tc>
        <w:tc>
          <w:tcPr>
            <w:tcW w:type="dxa" w:w="2062"/>
            <w:tcBorders>
              <w:bottom w:val="single" w:sz="3" w:color="D9E2EA"/>
            </w:tcBorders>
            <w:vAlign w:val="center"/>
            <w:tcMar>
              <w:top w:w="70" w:type="dxa"/>
              <w:start w:w="90" w:type="dxa"/>
              <w:bottom w:w="70" w:type="dxa"/>
              <w:end w:w="90" w:type="dxa"/>
            </w:tcMar>
          </w:tcPr>
          <w:p>
            <w:pPr>
              <w:spacing w:after="0" w:before="0" w:line="252" w:lineRule="auto"/>
              <w:jc w:val="right"/>
              <w:bidi w:val="1"/>
            </w:pPr>
            <w:r>
              <w:rPr>
                <w:rFonts w:ascii="Noto Sans Arabic UI" w:hAnsi="Noto Sans Arabic UI" w:cs="Noto Sans Arabic UI" w:eastAsia="Noto Sans Arabic UI"/>
                <w:b w:val="0"/>
                <w:color w:val="243746"/>
                <w:sz w:val="15"/>
              </w:rPr>
              <w:t>يستخدم Size / Needle Dimension، لكن لا يوجد designation كامل: nominal OD + gauge + wall type.</w:t>
            </w:r>
          </w:p>
        </w:tc>
        <w:tc>
          <w:tcPr>
            <w:tcW w:type="dxa" w:w="2062"/>
            <w:tcBorders>
              <w:bottom w:val="single" w:sz="3" w:color="D9E2EA"/>
            </w:tcBorders>
            <w:vAlign w:val="center"/>
            <w:tcMar>
              <w:top w:w="70" w:type="dxa"/>
              <w:start w:w="90" w:type="dxa"/>
              <w:bottom w:w="70" w:type="dxa"/>
              <w:end w:w="90" w:type="dxa"/>
            </w:tcMar>
          </w:tcPr>
          <w:p>
            <w:pPr>
              <w:spacing w:after="0" w:before="0" w:line="252" w:lineRule="auto"/>
              <w:jc w:val="right"/>
              <w:bidi w:val="1"/>
            </w:pPr>
            <w:r>
              <w:rPr>
                <w:rFonts w:ascii="Noto Sans Arabic UI" w:hAnsi="Noto Sans Arabic UI" w:cs="Noto Sans Arabic UI" w:eastAsia="Noto Sans Arabic UI"/>
                <w:b w:val="0"/>
                <w:color w:val="243746"/>
                <w:sz w:val="15"/>
              </w:rPr>
              <w:t>جزئي: Size وNeedle Dimension موجودان، لكن ليس designation كامل حسب ISO.</w:t>
            </w:r>
          </w:p>
        </w:tc>
        <w:tc>
          <w:tcPr>
            <w:tcW w:type="dxa" w:w="2062"/>
            <w:tcBorders>
              <w:bottom w:val="single" w:sz="3" w:color="D9E2EA"/>
            </w:tcBorders>
            <w:shd w:fill="FFF3E0"/>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B54708"/>
                <w:sz w:val="16"/>
              </w:rPr>
              <w:t>GAP</w:t>
            </w:r>
          </w:p>
        </w:tc>
      </w:tr>
      <w:tr>
        <w:trPr>
          <w:cantSplit w:val="1"/>
        </w:trPr>
        <w:tc>
          <w:tcPr>
            <w:tcW w:type="dxa" w:w="2062"/>
            <w:tcBorders>
              <w:bottom w:val="single" w:sz="3" w:color="D9E2EA"/>
            </w:tcBorders>
            <w:shd w:fill="F2F4F7"/>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16324F"/>
                <w:sz w:val="16"/>
              </w:rPr>
              <w:t>6</w:t>
            </w:r>
          </w:p>
        </w:tc>
        <w:tc>
          <w:tcPr>
            <w:tcW w:type="dxa" w:w="2062"/>
            <w:tcBorders>
              <w:bottom w:val="single" w:sz="3" w:color="D9E2EA"/>
            </w:tcBorders>
            <w:vAlign w:val="center"/>
            <w:tcMar>
              <w:top w:w="70" w:type="dxa"/>
              <w:start w:w="90" w:type="dxa"/>
              <w:bottom w:w="70" w:type="dxa"/>
              <w:end w:w="90" w:type="dxa"/>
            </w:tcMar>
            <w:shd w:fill="FBFCFD"/>
          </w:tcPr>
          <w:p>
            <w:pPr>
              <w:spacing w:after="0" w:before="0" w:line="252" w:lineRule="auto"/>
              <w:jc w:val="left"/>
              <w:bidi w:val="0"/>
            </w:pPr>
            <w:r>
              <w:rPr>
                <w:rFonts w:ascii="Noto Sans Arabic UI" w:hAnsi="Noto Sans Arabic UI" w:cs="Noto Sans Arabic UI" w:eastAsia="Noto Sans Arabic UI"/>
                <w:b/>
                <w:color w:val="16324F"/>
                <w:sz w:val="15"/>
              </w:rPr>
              <w:t>Dimensions — 5.6 / Table 1</w:t>
              <w:br/>
              <w:t>PDF p.8–11 (ISO p.2–5)</w:t>
            </w:r>
          </w:p>
        </w:tc>
        <w:tc>
          <w:tcPr>
            <w:tcW w:type="dxa" w:w="2062"/>
            <w:tcBorders>
              <w:bottom w:val="single" w:sz="3" w:color="D9E2EA"/>
            </w:tcBorders>
            <w:vAlign w:val="center"/>
            <w:tcMar>
              <w:top w:w="70" w:type="dxa"/>
              <w:start w:w="90" w:type="dxa"/>
              <w:bottom w:w="70" w:type="dxa"/>
              <w:end w:w="90" w:type="dxa"/>
            </w:tcMar>
            <w:shd w:fill="FBFCFD"/>
          </w:tcPr>
          <w:p>
            <w:pPr>
              <w:spacing w:after="0" w:before="0" w:line="252" w:lineRule="auto"/>
              <w:jc w:val="right"/>
              <w:bidi w:val="1"/>
            </w:pPr>
            <w:r>
              <w:rPr>
                <w:rFonts w:ascii="Noto Sans Arabic UI" w:hAnsi="Noto Sans Arabic UI" w:cs="Noto Sans Arabic UI" w:eastAsia="Noto Sans Arabic UI"/>
                <w:b w:val="0"/>
                <w:color w:val="243746"/>
                <w:sz w:val="15"/>
              </w:rPr>
              <w:t>WI p.3: “check needle dimension as per required specifications and size” بدون حدود رقمية مرتبطة بـISO.</w:t>
            </w:r>
          </w:p>
        </w:tc>
        <w:tc>
          <w:tcPr>
            <w:tcW w:type="dxa" w:w="2062"/>
            <w:tcBorders>
              <w:bottom w:val="single" w:sz="3" w:color="D9E2EA"/>
            </w:tcBorders>
            <w:vAlign w:val="center"/>
            <w:tcMar>
              <w:top w:w="70" w:type="dxa"/>
              <w:start w:w="90" w:type="dxa"/>
              <w:bottom w:w="70" w:type="dxa"/>
              <w:end w:w="90" w:type="dxa"/>
            </w:tcMar>
            <w:shd w:fill="FBFCFD"/>
          </w:tcPr>
          <w:p>
            <w:pPr>
              <w:spacing w:after="0" w:before="0" w:line="252" w:lineRule="auto"/>
              <w:jc w:val="right"/>
              <w:bidi w:val="1"/>
            </w:pPr>
            <w:r>
              <w:rPr>
                <w:rFonts w:ascii="Noto Sans Arabic UI" w:hAnsi="Noto Sans Arabic UI" w:cs="Noto Sans Arabic UI" w:eastAsia="Noto Sans Arabic UI"/>
                <w:b w:val="0"/>
                <w:color w:val="243746"/>
                <w:sz w:val="15"/>
              </w:rPr>
              <w:t>جزئي: Needle Dimension موجود، لكن لا توجد ODmin / ODmax / IDmin / Wall Type acceptance limits.</w:t>
            </w:r>
          </w:p>
        </w:tc>
        <w:tc>
          <w:tcPr>
            <w:tcW w:type="dxa" w:w="2062"/>
            <w:tcBorders>
              <w:bottom w:val="single" w:sz="3" w:color="D9E2EA"/>
            </w:tcBorders>
            <w:shd w:fill="FDECEC"/>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B42318"/>
                <w:sz w:val="16"/>
              </w:rPr>
              <w:t>GAP — High</w:t>
            </w:r>
          </w:p>
        </w:tc>
      </w:tr>
      <w:tr>
        <w:trPr>
          <w:cantSplit w:val="1"/>
        </w:trPr>
        <w:tc>
          <w:tcPr>
            <w:tcW w:type="dxa" w:w="2062"/>
            <w:tcBorders>
              <w:bottom w:val="single" w:sz="3" w:color="D9E2EA"/>
            </w:tcBorders>
            <w:shd w:fill="F2F4F7"/>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16324F"/>
                <w:sz w:val="16"/>
              </w:rPr>
              <w:t>7</w:t>
            </w:r>
          </w:p>
        </w:tc>
        <w:tc>
          <w:tcPr>
            <w:tcW w:type="dxa" w:w="2062"/>
            <w:tcBorders>
              <w:bottom w:val="single" w:sz="3" w:color="D9E2EA"/>
            </w:tcBorders>
            <w:vAlign w:val="center"/>
            <w:tcMar>
              <w:top w:w="70" w:type="dxa"/>
              <w:start w:w="90" w:type="dxa"/>
              <w:bottom w:w="70" w:type="dxa"/>
              <w:end w:w="90" w:type="dxa"/>
            </w:tcMar>
          </w:tcPr>
          <w:p>
            <w:pPr>
              <w:spacing w:after="0" w:before="0" w:line="252" w:lineRule="auto"/>
              <w:jc w:val="left"/>
              <w:bidi w:val="0"/>
            </w:pPr>
            <w:r>
              <w:rPr>
                <w:rFonts w:ascii="Noto Sans Arabic UI" w:hAnsi="Noto Sans Arabic UI" w:cs="Noto Sans Arabic UI" w:eastAsia="Noto Sans Arabic UI"/>
                <w:b/>
                <w:color w:val="16324F"/>
                <w:sz w:val="15"/>
              </w:rPr>
              <w:t>Wall Thickness Classification</w:t>
              <w:br/>
              <w:t>RW / TW / ETW / UTW</w:t>
              <w:br/>
              <w:t>Table 1: PDF p.9–11 (ISO p.3–5)</w:t>
            </w:r>
          </w:p>
        </w:tc>
        <w:tc>
          <w:tcPr>
            <w:tcW w:type="dxa" w:w="2062"/>
            <w:tcBorders>
              <w:bottom w:val="single" w:sz="3" w:color="D9E2EA"/>
            </w:tcBorders>
            <w:vAlign w:val="center"/>
            <w:tcMar>
              <w:top w:w="70" w:type="dxa"/>
              <w:start w:w="90" w:type="dxa"/>
              <w:bottom w:w="70" w:type="dxa"/>
              <w:end w:w="90" w:type="dxa"/>
            </w:tcMar>
          </w:tcPr>
          <w:p>
            <w:pPr>
              <w:spacing w:after="0" w:before="0" w:line="252" w:lineRule="auto"/>
              <w:jc w:val="right"/>
              <w:bidi w:val="1"/>
            </w:pPr>
            <w:r>
              <w:rPr>
                <w:rFonts w:ascii="Noto Sans Arabic UI" w:hAnsi="Noto Sans Arabic UI" w:cs="Noto Sans Arabic UI" w:eastAsia="Noto Sans Arabic UI"/>
                <w:b w:val="0"/>
                <w:color w:val="243746"/>
                <w:sz w:val="15"/>
              </w:rPr>
              <w:t>غير موجود.</w:t>
            </w:r>
          </w:p>
        </w:tc>
        <w:tc>
          <w:tcPr>
            <w:tcW w:type="dxa" w:w="2062"/>
            <w:tcBorders>
              <w:bottom w:val="single" w:sz="3" w:color="D9E2EA"/>
            </w:tcBorders>
            <w:vAlign w:val="center"/>
            <w:tcMar>
              <w:top w:w="70" w:type="dxa"/>
              <w:start w:w="90" w:type="dxa"/>
              <w:bottom w:w="70" w:type="dxa"/>
              <w:end w:w="90" w:type="dxa"/>
            </w:tcMar>
          </w:tcPr>
          <w:p>
            <w:pPr>
              <w:spacing w:after="0" w:before="0" w:line="252" w:lineRule="auto"/>
              <w:jc w:val="right"/>
              <w:bidi w:val="1"/>
            </w:pPr>
            <w:r>
              <w:rPr>
                <w:rFonts w:ascii="Noto Sans Arabic UI" w:hAnsi="Noto Sans Arabic UI" w:cs="Noto Sans Arabic UI" w:eastAsia="Noto Sans Arabic UI"/>
                <w:b w:val="0"/>
                <w:color w:val="243746"/>
                <w:sz w:val="15"/>
              </w:rPr>
              <w:t>غير موجود.</w:t>
            </w:r>
          </w:p>
        </w:tc>
        <w:tc>
          <w:tcPr>
            <w:tcW w:type="dxa" w:w="2062"/>
            <w:tcBorders>
              <w:bottom w:val="single" w:sz="3" w:color="D9E2EA"/>
            </w:tcBorders>
            <w:shd w:fill="FDECEC"/>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B42318"/>
                <w:sz w:val="16"/>
              </w:rPr>
              <w:t>GAP — High</w:t>
            </w:r>
          </w:p>
        </w:tc>
      </w:tr>
      <w:tr>
        <w:trPr>
          <w:cantSplit w:val="1"/>
        </w:trPr>
        <w:tc>
          <w:tcPr>
            <w:tcW w:type="dxa" w:w="2062"/>
            <w:tcBorders>
              <w:bottom w:val="single" w:sz="3" w:color="D9E2EA"/>
            </w:tcBorders>
            <w:shd w:fill="F2F4F7"/>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16324F"/>
                <w:sz w:val="16"/>
              </w:rPr>
              <w:t>8</w:t>
            </w:r>
          </w:p>
        </w:tc>
        <w:tc>
          <w:tcPr>
            <w:tcW w:type="dxa" w:w="2062"/>
            <w:tcBorders>
              <w:bottom w:val="single" w:sz="3" w:color="D9E2EA"/>
            </w:tcBorders>
            <w:vAlign w:val="center"/>
            <w:tcMar>
              <w:top w:w="70" w:type="dxa"/>
              <w:start w:w="90" w:type="dxa"/>
              <w:bottom w:w="70" w:type="dxa"/>
              <w:end w:w="90" w:type="dxa"/>
            </w:tcMar>
            <w:shd w:fill="FBFCFD"/>
          </w:tcPr>
          <w:p>
            <w:pPr>
              <w:spacing w:after="0" w:before="0" w:line="252" w:lineRule="auto"/>
              <w:jc w:val="left"/>
              <w:bidi w:val="0"/>
            </w:pPr>
            <w:r>
              <w:rPr>
                <w:rFonts w:ascii="Noto Sans Arabic UI" w:hAnsi="Noto Sans Arabic UI" w:cs="Noto Sans Arabic UI" w:eastAsia="Noto Sans Arabic UI"/>
                <w:b/>
                <w:color w:val="16324F"/>
                <w:sz w:val="15"/>
              </w:rPr>
              <w:t>Sample Size — 5.7</w:t>
              <w:br/>
              <w:t>PDF p.11 (ISO p.5)</w:t>
            </w:r>
          </w:p>
        </w:tc>
        <w:tc>
          <w:tcPr>
            <w:tcW w:type="dxa" w:w="2062"/>
            <w:tcBorders>
              <w:bottom w:val="single" w:sz="3" w:color="D9E2EA"/>
            </w:tcBorders>
            <w:vAlign w:val="center"/>
            <w:tcMar>
              <w:top w:w="70" w:type="dxa"/>
              <w:start w:w="90" w:type="dxa"/>
              <w:bottom w:w="70" w:type="dxa"/>
              <w:end w:w="90" w:type="dxa"/>
            </w:tcMar>
            <w:shd w:fill="FBFCFD"/>
          </w:tcPr>
          <w:p>
            <w:pPr>
              <w:spacing w:after="0" w:before="0" w:line="252" w:lineRule="auto"/>
              <w:jc w:val="right"/>
              <w:bidi w:val="1"/>
            </w:pPr>
            <w:r>
              <w:rPr>
                <w:rFonts w:ascii="Noto Sans Arabic UI" w:hAnsi="Noto Sans Arabic UI" w:cs="Noto Sans Arabic UI" w:eastAsia="Noto Sans Arabic UI"/>
                <w:b w:val="0"/>
                <w:color w:val="243746"/>
                <w:sz w:val="15"/>
              </w:rPr>
              <w:t>يوجد sampling/process references، لكن لا يوجد ربط واضح بـ risk-based tubing specification.</w:t>
            </w:r>
          </w:p>
        </w:tc>
        <w:tc>
          <w:tcPr>
            <w:tcW w:type="dxa" w:w="2062"/>
            <w:tcBorders>
              <w:bottom w:val="single" w:sz="3" w:color="D9E2EA"/>
            </w:tcBorders>
            <w:vAlign w:val="center"/>
            <w:tcMar>
              <w:top w:w="70" w:type="dxa"/>
              <w:start w:w="90" w:type="dxa"/>
              <w:bottom w:w="70" w:type="dxa"/>
              <w:end w:w="90" w:type="dxa"/>
            </w:tcMar>
            <w:shd w:fill="FBFCFD"/>
          </w:tcPr>
          <w:p>
            <w:pPr>
              <w:spacing w:after="0" w:before="0" w:line="252" w:lineRule="auto"/>
              <w:jc w:val="right"/>
              <w:bidi w:val="1"/>
            </w:pPr>
            <w:r>
              <w:rPr>
                <w:rFonts w:ascii="Noto Sans Arabic UI" w:hAnsi="Noto Sans Arabic UI" w:cs="Noto Sans Arabic UI" w:eastAsia="Noto Sans Arabic UI"/>
                <w:b w:val="0"/>
                <w:color w:val="243746"/>
                <w:sz w:val="15"/>
              </w:rPr>
              <w:t>يوجد Sampling/AQL data، لكن لا يثبت risk assessment الخاص بمتطلبات ISO 9626.</w:t>
            </w:r>
          </w:p>
        </w:tc>
        <w:tc>
          <w:tcPr>
            <w:tcW w:type="dxa" w:w="2062"/>
            <w:tcBorders>
              <w:bottom w:val="single" w:sz="3" w:color="D9E2EA"/>
            </w:tcBorders>
            <w:shd w:fill="EAF1F7"/>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16324F"/>
                <w:sz w:val="16"/>
              </w:rPr>
              <w:t>Partial GAP</w:t>
            </w:r>
          </w:p>
        </w:tc>
      </w:tr>
      <w:tr>
        <w:trPr>
          <w:cantSplit w:val="1"/>
        </w:trPr>
        <w:tc>
          <w:tcPr>
            <w:tcW w:type="dxa" w:w="2062"/>
            <w:tcBorders>
              <w:bottom w:val="single" w:sz="3" w:color="D9E2EA"/>
            </w:tcBorders>
            <w:shd w:fill="F2F4F7"/>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16324F"/>
                <w:sz w:val="16"/>
              </w:rPr>
              <w:t>9</w:t>
            </w:r>
          </w:p>
        </w:tc>
        <w:tc>
          <w:tcPr>
            <w:tcW w:type="dxa" w:w="2062"/>
            <w:tcBorders>
              <w:bottom w:val="single" w:sz="3" w:color="D9E2EA"/>
            </w:tcBorders>
            <w:vAlign w:val="center"/>
            <w:tcMar>
              <w:top w:w="70" w:type="dxa"/>
              <w:start w:w="90" w:type="dxa"/>
              <w:bottom w:w="70" w:type="dxa"/>
              <w:end w:w="90" w:type="dxa"/>
            </w:tcMar>
          </w:tcPr>
          <w:p>
            <w:pPr>
              <w:spacing w:after="0" w:before="0" w:line="252" w:lineRule="auto"/>
              <w:jc w:val="left"/>
              <w:bidi w:val="0"/>
            </w:pPr>
            <w:r>
              <w:rPr>
                <w:rFonts w:ascii="Noto Sans Arabic UI" w:hAnsi="Noto Sans Arabic UI" w:cs="Noto Sans Arabic UI" w:eastAsia="Noto Sans Arabic UI"/>
                <w:b/>
                <w:color w:val="16324F"/>
                <w:sz w:val="15"/>
              </w:rPr>
              <w:t>Stiffness — 5.8 / Table 2</w:t>
              <w:br/>
              <w:t>PDF p.11–12 (ISO p.5–6)</w:t>
              <w:br/>
              <w:t>Annex B: PDF p.15–16 (ISO p.9–10)</w:t>
            </w:r>
          </w:p>
        </w:tc>
        <w:tc>
          <w:tcPr>
            <w:tcW w:type="dxa" w:w="2062"/>
            <w:tcBorders>
              <w:bottom w:val="single" w:sz="3" w:color="D9E2EA"/>
            </w:tcBorders>
            <w:vAlign w:val="center"/>
            <w:tcMar>
              <w:top w:w="70" w:type="dxa"/>
              <w:start w:w="90" w:type="dxa"/>
              <w:bottom w:w="70" w:type="dxa"/>
              <w:end w:w="90" w:type="dxa"/>
            </w:tcMar>
          </w:tcPr>
          <w:p>
            <w:pPr>
              <w:spacing w:after="0" w:before="0" w:line="252" w:lineRule="auto"/>
              <w:jc w:val="right"/>
              <w:bidi w:val="1"/>
            </w:pPr>
            <w:r>
              <w:rPr>
                <w:rFonts w:ascii="Noto Sans Arabic UI" w:hAnsi="Noto Sans Arabic UI" w:cs="Noto Sans Arabic UI" w:eastAsia="Noto Sans Arabic UI"/>
                <w:b w:val="0"/>
                <w:color w:val="243746"/>
                <w:sz w:val="15"/>
              </w:rPr>
              <w:t>لا يوجد Needle Tubing Stiffness Test أو deflection criterion.</w:t>
            </w:r>
          </w:p>
        </w:tc>
        <w:tc>
          <w:tcPr>
            <w:tcW w:type="dxa" w:w="2062"/>
            <w:tcBorders>
              <w:bottom w:val="single" w:sz="3" w:color="D9E2EA"/>
            </w:tcBorders>
            <w:vAlign w:val="center"/>
            <w:tcMar>
              <w:top w:w="70" w:type="dxa"/>
              <w:start w:w="90" w:type="dxa"/>
              <w:bottom w:w="70" w:type="dxa"/>
              <w:end w:w="90" w:type="dxa"/>
            </w:tcMar>
          </w:tcPr>
          <w:p>
            <w:pPr>
              <w:spacing w:after="0" w:before="0" w:line="252" w:lineRule="auto"/>
              <w:jc w:val="right"/>
              <w:bidi w:val="1"/>
            </w:pPr>
            <w:r>
              <w:rPr>
                <w:rFonts w:ascii="Noto Sans Arabic UI" w:hAnsi="Noto Sans Arabic UI" w:cs="Noto Sans Arabic UI" w:eastAsia="Noto Sans Arabic UI"/>
                <w:b w:val="0"/>
                <w:color w:val="243746"/>
                <w:sz w:val="15"/>
              </w:rPr>
              <w:t>غير موجود. بند Spring في التقرير لا يعادل Stiffness Test للـneedle tubing.</w:t>
            </w:r>
          </w:p>
        </w:tc>
        <w:tc>
          <w:tcPr>
            <w:tcW w:type="dxa" w:w="2062"/>
            <w:tcBorders>
              <w:bottom w:val="single" w:sz="3" w:color="D9E2EA"/>
            </w:tcBorders>
            <w:shd w:fill="FDECEC"/>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B42318"/>
                <w:sz w:val="16"/>
              </w:rPr>
              <w:t>GAP — High</w:t>
            </w:r>
          </w:p>
        </w:tc>
      </w:tr>
      <w:tr>
        <w:trPr>
          <w:cantSplit w:val="1"/>
        </w:trPr>
        <w:tc>
          <w:tcPr>
            <w:tcW w:type="dxa" w:w="2062"/>
            <w:tcBorders>
              <w:bottom w:val="single" w:sz="3" w:color="D9E2EA"/>
            </w:tcBorders>
            <w:shd w:fill="F2F4F7"/>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16324F"/>
                <w:sz w:val="16"/>
              </w:rPr>
              <w:t>10</w:t>
            </w:r>
          </w:p>
        </w:tc>
        <w:tc>
          <w:tcPr>
            <w:tcW w:type="dxa" w:w="2062"/>
            <w:tcBorders>
              <w:bottom w:val="single" w:sz="3" w:color="D9E2EA"/>
            </w:tcBorders>
            <w:vAlign w:val="center"/>
            <w:tcMar>
              <w:top w:w="70" w:type="dxa"/>
              <w:start w:w="90" w:type="dxa"/>
              <w:bottom w:w="70" w:type="dxa"/>
              <w:end w:w="90" w:type="dxa"/>
            </w:tcMar>
            <w:shd w:fill="FBFCFD"/>
          </w:tcPr>
          <w:p>
            <w:pPr>
              <w:spacing w:after="0" w:before="0" w:line="252" w:lineRule="auto"/>
              <w:jc w:val="left"/>
              <w:bidi w:val="0"/>
            </w:pPr>
            <w:r>
              <w:rPr>
                <w:rFonts w:ascii="Noto Sans Arabic UI" w:hAnsi="Noto Sans Arabic UI" w:cs="Noto Sans Arabic UI" w:eastAsia="Noto Sans Arabic UI"/>
                <w:b/>
                <w:color w:val="16324F"/>
                <w:sz w:val="15"/>
              </w:rPr>
              <w:t>Resistance to Breakage — 5.9</w:t>
              <w:br/>
              <w:t>PDF p.13 (ISO p.7)</w:t>
              <w:br/>
              <w:t>Annex C: PDF p.17–18 (ISO p.11–12)</w:t>
            </w:r>
          </w:p>
        </w:tc>
        <w:tc>
          <w:tcPr>
            <w:tcW w:type="dxa" w:w="2062"/>
            <w:tcBorders>
              <w:bottom w:val="single" w:sz="3" w:color="D9E2EA"/>
            </w:tcBorders>
            <w:vAlign w:val="center"/>
            <w:tcMar>
              <w:top w:w="70" w:type="dxa"/>
              <w:start w:w="90" w:type="dxa"/>
              <w:bottom w:w="70" w:type="dxa"/>
              <w:end w:w="90" w:type="dxa"/>
            </w:tcMar>
            <w:shd w:fill="FBFCFD"/>
          </w:tcPr>
          <w:p>
            <w:pPr>
              <w:spacing w:after="0" w:before="0" w:line="252" w:lineRule="auto"/>
              <w:jc w:val="right"/>
              <w:bidi w:val="1"/>
            </w:pPr>
            <w:r>
              <w:rPr>
                <w:rFonts w:ascii="Noto Sans Arabic UI" w:hAnsi="Noto Sans Arabic UI" w:cs="Noto Sans Arabic UI" w:eastAsia="Noto Sans Arabic UI"/>
                <w:b w:val="0"/>
                <w:color w:val="243746"/>
                <w:sz w:val="15"/>
              </w:rPr>
              <w:t>غير موجود.</w:t>
            </w:r>
          </w:p>
        </w:tc>
        <w:tc>
          <w:tcPr>
            <w:tcW w:type="dxa" w:w="2062"/>
            <w:tcBorders>
              <w:bottom w:val="single" w:sz="3" w:color="D9E2EA"/>
            </w:tcBorders>
            <w:vAlign w:val="center"/>
            <w:tcMar>
              <w:top w:w="70" w:type="dxa"/>
              <w:start w:w="90" w:type="dxa"/>
              <w:bottom w:w="70" w:type="dxa"/>
              <w:end w:w="90" w:type="dxa"/>
            </w:tcMar>
            <w:shd w:fill="FBFCFD"/>
          </w:tcPr>
          <w:p>
            <w:pPr>
              <w:spacing w:after="0" w:before="0" w:line="252" w:lineRule="auto"/>
              <w:jc w:val="right"/>
              <w:bidi w:val="1"/>
            </w:pPr>
            <w:r>
              <w:rPr>
                <w:rFonts w:ascii="Noto Sans Arabic UI" w:hAnsi="Noto Sans Arabic UI" w:cs="Noto Sans Arabic UI" w:eastAsia="Noto Sans Arabic UI"/>
                <w:b w:val="0"/>
                <w:color w:val="243746"/>
                <w:sz w:val="15"/>
              </w:rPr>
              <w:t>غير موجود. Needle Gluing/Tensile يقيس تثبيت needle-holder وليس tubing breakage.</w:t>
            </w:r>
          </w:p>
        </w:tc>
        <w:tc>
          <w:tcPr>
            <w:tcW w:type="dxa" w:w="2062"/>
            <w:tcBorders>
              <w:bottom w:val="single" w:sz="3" w:color="D9E2EA"/>
            </w:tcBorders>
            <w:shd w:fill="FDECEC"/>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B42318"/>
                <w:sz w:val="16"/>
              </w:rPr>
              <w:t>GAP — High</w:t>
            </w:r>
          </w:p>
        </w:tc>
      </w:tr>
      <w:tr>
        <w:trPr>
          <w:cantSplit w:val="1"/>
        </w:trPr>
        <w:tc>
          <w:tcPr>
            <w:tcW w:type="dxa" w:w="2062"/>
            <w:tcBorders>
              <w:bottom w:val="single" w:sz="3" w:color="D9E2EA"/>
            </w:tcBorders>
            <w:shd w:fill="F2F4F7"/>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16324F"/>
                <w:sz w:val="16"/>
              </w:rPr>
              <w:t>11</w:t>
            </w:r>
          </w:p>
        </w:tc>
        <w:tc>
          <w:tcPr>
            <w:tcW w:type="dxa" w:w="2062"/>
            <w:tcBorders>
              <w:bottom w:val="single" w:sz="3" w:color="D9E2EA"/>
            </w:tcBorders>
            <w:vAlign w:val="center"/>
            <w:tcMar>
              <w:top w:w="70" w:type="dxa"/>
              <w:start w:w="90" w:type="dxa"/>
              <w:bottom w:w="70" w:type="dxa"/>
              <w:end w:w="90" w:type="dxa"/>
            </w:tcMar>
          </w:tcPr>
          <w:p>
            <w:pPr>
              <w:spacing w:after="0" w:before="0" w:line="252" w:lineRule="auto"/>
              <w:jc w:val="left"/>
              <w:bidi w:val="0"/>
            </w:pPr>
            <w:r>
              <w:rPr>
                <w:rFonts w:ascii="Noto Sans Arabic UI" w:hAnsi="Noto Sans Arabic UI" w:cs="Noto Sans Arabic UI" w:eastAsia="Noto Sans Arabic UI"/>
                <w:b/>
                <w:color w:val="16324F"/>
                <w:sz w:val="15"/>
              </w:rPr>
              <w:t>Resistance to Corrosion — 5.10</w:t>
              <w:br/>
              <w:t>PDF p.13 (ISO p.7)</w:t>
              <w:br/>
              <w:t>Annex D: PDF p.19 (ISO p.13)</w:t>
            </w:r>
          </w:p>
        </w:tc>
        <w:tc>
          <w:tcPr>
            <w:tcW w:type="dxa" w:w="2062"/>
            <w:tcBorders>
              <w:bottom w:val="single" w:sz="3" w:color="D9E2EA"/>
            </w:tcBorders>
            <w:vAlign w:val="center"/>
            <w:tcMar>
              <w:top w:w="70" w:type="dxa"/>
              <w:start w:w="90" w:type="dxa"/>
              <w:bottom w:w="70" w:type="dxa"/>
              <w:end w:w="90" w:type="dxa"/>
            </w:tcMar>
          </w:tcPr>
          <w:p>
            <w:pPr>
              <w:spacing w:after="0" w:before="0" w:line="252" w:lineRule="auto"/>
              <w:jc w:val="right"/>
              <w:bidi w:val="1"/>
            </w:pPr>
            <w:r>
              <w:rPr>
                <w:rFonts w:ascii="Noto Sans Arabic UI" w:hAnsi="Noto Sans Arabic UI" w:cs="Noto Sans Arabic UI" w:eastAsia="Noto Sans Arabic UI"/>
                <w:b w:val="0"/>
                <w:color w:val="243746"/>
                <w:sz w:val="15"/>
              </w:rPr>
              <w:t>غير موجود.</w:t>
            </w:r>
          </w:p>
        </w:tc>
        <w:tc>
          <w:tcPr>
            <w:tcW w:type="dxa" w:w="2062"/>
            <w:tcBorders>
              <w:bottom w:val="single" w:sz="3" w:color="D9E2EA"/>
            </w:tcBorders>
            <w:vAlign w:val="center"/>
            <w:tcMar>
              <w:top w:w="70" w:type="dxa"/>
              <w:start w:w="90" w:type="dxa"/>
              <w:bottom w:w="70" w:type="dxa"/>
              <w:end w:w="90" w:type="dxa"/>
            </w:tcMar>
          </w:tcPr>
          <w:p>
            <w:pPr>
              <w:spacing w:after="0" w:before="0" w:line="252" w:lineRule="auto"/>
              <w:jc w:val="right"/>
              <w:bidi w:val="1"/>
            </w:pPr>
            <w:r>
              <w:rPr>
                <w:rFonts w:ascii="Noto Sans Arabic UI" w:hAnsi="Noto Sans Arabic UI" w:cs="Noto Sans Arabic UI" w:eastAsia="Noto Sans Arabic UI"/>
                <w:b w:val="0"/>
                <w:color w:val="243746"/>
                <w:sz w:val="15"/>
              </w:rPr>
              <w:t>غير موجود.</w:t>
            </w:r>
          </w:p>
        </w:tc>
        <w:tc>
          <w:tcPr>
            <w:tcW w:type="dxa" w:w="2062"/>
            <w:tcBorders>
              <w:bottom w:val="single" w:sz="3" w:color="D9E2EA"/>
            </w:tcBorders>
            <w:shd w:fill="FDECEC"/>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B42318"/>
                <w:sz w:val="16"/>
              </w:rPr>
              <w:t>GAP — High</w:t>
            </w:r>
          </w:p>
        </w:tc>
      </w:tr>
    </w:tbl>
    <w:p>
      <w:pPr>
        <w:spacing w:before="80" w:after="0"/>
      </w:pPr>
    </w:p>
    <w:p>
      <w:r>
        <w:br w:type="page"/>
      </w:r>
    </w:p>
    <w:tbl>
      <w:tblPr>
        <w:tblW w:type="auto" w:w="0"/>
        <w:jc w:val="center"/>
        <w:tblLayout w:type="autofit"/>
        <w:tblLook w:firstColumn="1" w:firstRow="1" w:lastColumn="0" w:lastRow="0" w:noHBand="0" w:noVBand="1" w:val="04A0"/>
      </w:tblPr>
      <w:tblGrid>
        <w:gridCol w:w="10312"/>
      </w:tblGrid>
      <w:tr>
        <w:tc>
          <w:tcPr>
            <w:tcW w:type="dxa" w:w="10312"/>
            <w:shd w:fill="16324F"/>
            <w:tcMar>
              <w:top w:w="110" w:type="dxa"/>
              <w:start w:w="160" w:type="dxa"/>
              <w:bottom w:w="110" w:type="dxa"/>
              <w:end w:w="160" w:type="dxa"/>
            </w:tcMar>
          </w:tcPr>
          <w:p>
            <w:pPr>
              <w:jc w:val="right"/>
              <w:bidi w:val="1"/>
            </w:pPr>
            <w:r>
              <w:rPr>
                <w:rFonts w:ascii="Noto Sans Arabic UI" w:hAnsi="Noto Sans Arabic UI" w:cs="Noto Sans Arabic UI" w:eastAsia="Noto Sans Arabic UI"/>
                <w:b/>
                <w:color w:val="FFFFFF"/>
                <w:sz w:val="26"/>
              </w:rPr>
              <w:t>الفجوات ذات الأولوية العالية</w:t>
            </w:r>
            <w:r>
              <w:rPr>
                <w:rFonts w:ascii="Noto Sans Arabic UI" w:hAnsi="Noto Sans Arabic UI" w:cs="Noto Sans Arabic UI" w:eastAsia="Noto Sans Arabic UI"/>
                <w:b w:val="0"/>
                <w:color w:val="DDE7F0"/>
                <w:sz w:val="18"/>
              </w:rPr>
              <w:t xml:space="preserve">  |  High-Priority Findings</w:t>
            </w:r>
          </w:p>
        </w:tc>
      </w:tr>
    </w:tbl>
    <w:p>
      <w:pPr>
        <w:spacing w:after="40"/>
      </w:pPr>
    </w:p>
    <w:tbl>
      <w:tblPr>
        <w:tblW w:type="auto" w:w="0"/>
        <w:jc w:val="center"/>
        <w:tblLayout w:type="fixed"/>
        <w:tblLook w:firstColumn="1" w:firstRow="1" w:lastColumn="0" w:lastRow="0" w:noHBand="0" w:noVBand="1" w:val="04A0"/>
      </w:tblPr>
      <w:tblGrid>
        <w:gridCol w:w="5156"/>
        <w:gridCol w:w="5156"/>
      </w:tblGrid>
      <w:tr>
        <w:trPr>
          <w:cantSplit w:val="1"/>
        </w:trPr>
        <w:tc>
          <w:tcPr>
            <w:tcW w:type="dxa" w:w="737"/>
            <w:shd w:fill="0F7C7B"/>
            <w:vAlign w:val="center"/>
            <w:tcMar>
              <w:top w:w="70" w:type="dxa"/>
              <w:start w:w="90" w:type="dxa"/>
              <w:bottom w:w="70" w:type="dxa"/>
              <w:end w:w="90" w:type="dxa"/>
            </w:tcMar>
            <w:tcBorders>
              <w:bottom w:val="single" w:sz="4" w:color="D9E2EA"/>
            </w:tcBorders>
          </w:tcPr>
          <w:p>
            <w:pPr>
              <w:spacing w:after="0" w:before="0" w:line="252" w:lineRule="auto"/>
              <w:jc w:val="center"/>
              <w:bidi w:val="0"/>
            </w:pPr>
            <w:r>
              <w:rPr>
                <w:rFonts w:ascii="Noto Sans Arabic UI" w:hAnsi="Noto Sans Arabic UI" w:cs="Noto Sans Arabic UI" w:eastAsia="Noto Sans Arabic UI"/>
                <w:b/>
                <w:color w:val="FFFFFF"/>
                <w:sz w:val="26"/>
              </w:rPr>
              <w:t>01</w:t>
            </w:r>
          </w:p>
        </w:tc>
        <w:tc>
          <w:tcPr>
            <w:tcW w:type="dxa" w:w="9071"/>
            <w:shd w:fill="FFFFFF"/>
            <w:tcMar>
              <w:top w:w="100" w:type="dxa"/>
              <w:start w:w="130" w:type="dxa"/>
              <w:bottom w:w="100" w:type="dxa"/>
              <w:end w:w="130" w:type="dxa"/>
            </w:tcMar>
            <w:tcBorders>
              <w:bottom w:val="single" w:sz="4" w:color="D9E2EA"/>
            </w:tcBorders>
          </w:tcPr>
          <w:p>
            <w:pPr>
              <w:jc w:val="right"/>
              <w:bidi w:val="1"/>
            </w:pPr>
            <w:r>
              <w:rPr>
                <w:rFonts w:ascii="Noto Sans Arabic UI" w:hAnsi="Noto Sans Arabic UI" w:cs="Noto Sans Arabic UI" w:eastAsia="Noto Sans Arabic UI"/>
                <w:b/>
                <w:color w:val="16324F"/>
                <w:sz w:val="21"/>
              </w:rPr>
              <w:t xml:space="preserve">Material Grade / ISO 15510  </w:t>
            </w:r>
            <w:r>
              <w:rPr>
                <w:rFonts w:ascii="Noto Sans Arabic UI" w:hAnsi="Noto Sans Arabic UI" w:cs="Noto Sans Arabic UI" w:eastAsia="Noto Sans Arabic UI"/>
                <w:b/>
                <w:color w:val="0F7C7B"/>
                <w:sz w:val="16"/>
              </w:rPr>
              <w:t>(ISO PDF p.8 (ISO p.2))</w:t>
            </w:r>
          </w:p>
          <w:p>
            <w:pPr>
              <w:spacing w:after="0"/>
              <w:jc w:val="right"/>
              <w:bidi w:val="1"/>
            </w:pPr>
            <w:r>
              <w:rPr>
                <w:rFonts w:ascii="Noto Sans Arabic UI" w:hAnsi="Noto Sans Arabic UI" w:cs="Noto Sans Arabic UI" w:eastAsia="Noto Sans Arabic UI"/>
                <w:b w:val="0"/>
                <w:color w:val="243746"/>
                <w:sz w:val="18"/>
              </w:rPr>
              <w:t>عبارة “100% stainless steel” لا تكفي لتحديد grade أو alloy. يجب أن يكون الـapproved material grade ووسيلة التحقق (CoA / Material Certificate) معرفين وقابلين للتتبع.</w:t>
            </w:r>
          </w:p>
        </w:tc>
      </w:tr>
    </w:tbl>
    <w:p>
      <w:pPr>
        <w:spacing w:after="20"/>
      </w:pPr>
    </w:p>
    <w:tbl>
      <w:tblPr>
        <w:tblW w:type="auto" w:w="0"/>
        <w:jc w:val="center"/>
        <w:tblLayout w:type="fixed"/>
        <w:tblLook w:firstColumn="1" w:firstRow="1" w:lastColumn="0" w:lastRow="0" w:noHBand="0" w:noVBand="1" w:val="04A0"/>
      </w:tblPr>
      <w:tblGrid>
        <w:gridCol w:w="5156"/>
        <w:gridCol w:w="5156"/>
      </w:tblGrid>
      <w:tr>
        <w:trPr>
          <w:cantSplit w:val="1"/>
        </w:trPr>
        <w:tc>
          <w:tcPr>
            <w:tcW w:type="dxa" w:w="737"/>
            <w:shd w:fill="0F7C7B"/>
            <w:vAlign w:val="center"/>
            <w:tcMar>
              <w:top w:w="70" w:type="dxa"/>
              <w:start w:w="90" w:type="dxa"/>
              <w:bottom w:w="70" w:type="dxa"/>
              <w:end w:w="90" w:type="dxa"/>
            </w:tcMar>
            <w:tcBorders>
              <w:bottom w:val="single" w:sz="4" w:color="D9E2EA"/>
            </w:tcBorders>
          </w:tcPr>
          <w:p>
            <w:pPr>
              <w:spacing w:after="0" w:before="0" w:line="252" w:lineRule="auto"/>
              <w:jc w:val="center"/>
              <w:bidi w:val="0"/>
            </w:pPr>
            <w:r>
              <w:rPr>
                <w:rFonts w:ascii="Noto Sans Arabic UI" w:hAnsi="Noto Sans Arabic UI" w:cs="Noto Sans Arabic UI" w:eastAsia="Noto Sans Arabic UI"/>
                <w:b/>
                <w:color w:val="FFFFFF"/>
                <w:sz w:val="26"/>
              </w:rPr>
              <w:t>02</w:t>
            </w:r>
          </w:p>
        </w:tc>
        <w:tc>
          <w:tcPr>
            <w:tcW w:type="dxa" w:w="9071"/>
            <w:shd w:fill="FFFFFF"/>
            <w:tcMar>
              <w:top w:w="100" w:type="dxa"/>
              <w:start w:w="130" w:type="dxa"/>
              <w:bottom w:w="100" w:type="dxa"/>
              <w:end w:w="130" w:type="dxa"/>
            </w:tcMar>
            <w:tcBorders>
              <w:bottom w:val="single" w:sz="4" w:color="D9E2EA"/>
            </w:tcBorders>
          </w:tcPr>
          <w:p>
            <w:pPr>
              <w:jc w:val="right"/>
              <w:bidi w:val="1"/>
            </w:pPr>
            <w:r>
              <w:rPr>
                <w:rFonts w:ascii="Noto Sans Arabic UI" w:hAnsi="Noto Sans Arabic UI" w:cs="Noto Sans Arabic UI" w:eastAsia="Noto Sans Arabic UI"/>
                <w:b/>
                <w:color w:val="16324F"/>
                <w:sz w:val="21"/>
              </w:rPr>
              <w:t xml:space="preserve">OD / ID / Wall Type Limits  </w:t>
            </w:r>
            <w:r>
              <w:rPr>
                <w:rFonts w:ascii="Noto Sans Arabic UI" w:hAnsi="Noto Sans Arabic UI" w:cs="Noto Sans Arabic UI" w:eastAsia="Noto Sans Arabic UI"/>
                <w:b/>
                <w:color w:val="0F7C7B"/>
                <w:sz w:val="16"/>
              </w:rPr>
              <w:t>(ISO PDF p.8–11 (ISO p.2–5))</w:t>
            </w:r>
          </w:p>
          <w:p>
            <w:pPr>
              <w:spacing w:after="0"/>
              <w:jc w:val="right"/>
              <w:bidi w:val="1"/>
            </w:pPr>
            <w:r>
              <w:rPr>
                <w:rFonts w:ascii="Noto Sans Arabic UI" w:hAnsi="Noto Sans Arabic UI" w:cs="Noto Sans Arabic UI" w:eastAsia="Noto Sans Arabic UI"/>
                <w:b w:val="0"/>
                <w:color w:val="243746"/>
                <w:sz w:val="18"/>
              </w:rPr>
              <w:t>الـWI والتقرير يستخدمان dimension/size بشكل عام، لكن ISO Table 1 يحدد حدود ODmin وODmax وIDmin ويربطها بالـwall classification. يجب تحويلها إلى Acceptance Criteria أو مرجع مضبوط للمواصفة المعتمدة.</w:t>
            </w:r>
          </w:p>
        </w:tc>
      </w:tr>
    </w:tbl>
    <w:p>
      <w:pPr>
        <w:spacing w:after="20"/>
      </w:pPr>
    </w:p>
    <w:tbl>
      <w:tblPr>
        <w:tblW w:type="auto" w:w="0"/>
        <w:jc w:val="center"/>
        <w:tblLayout w:type="fixed"/>
        <w:tblLook w:firstColumn="1" w:firstRow="1" w:lastColumn="0" w:lastRow="0" w:noHBand="0" w:noVBand="1" w:val="04A0"/>
      </w:tblPr>
      <w:tblGrid>
        <w:gridCol w:w="5156"/>
        <w:gridCol w:w="5156"/>
      </w:tblGrid>
      <w:tr>
        <w:trPr>
          <w:cantSplit w:val="1"/>
        </w:trPr>
        <w:tc>
          <w:tcPr>
            <w:tcW w:type="dxa" w:w="737"/>
            <w:shd w:fill="0F7C7B"/>
            <w:vAlign w:val="center"/>
            <w:tcMar>
              <w:top w:w="70" w:type="dxa"/>
              <w:start w:w="90" w:type="dxa"/>
              <w:bottom w:w="70" w:type="dxa"/>
              <w:end w:w="90" w:type="dxa"/>
            </w:tcMar>
            <w:tcBorders>
              <w:bottom w:val="single" w:sz="4" w:color="D9E2EA"/>
            </w:tcBorders>
          </w:tcPr>
          <w:p>
            <w:pPr>
              <w:spacing w:after="0" w:before="0" w:line="252" w:lineRule="auto"/>
              <w:jc w:val="center"/>
              <w:bidi w:val="0"/>
            </w:pPr>
            <w:r>
              <w:rPr>
                <w:rFonts w:ascii="Noto Sans Arabic UI" w:hAnsi="Noto Sans Arabic UI" w:cs="Noto Sans Arabic UI" w:eastAsia="Noto Sans Arabic UI"/>
                <w:b/>
                <w:color w:val="FFFFFF"/>
                <w:sz w:val="26"/>
              </w:rPr>
              <w:t>03</w:t>
            </w:r>
          </w:p>
        </w:tc>
        <w:tc>
          <w:tcPr>
            <w:tcW w:type="dxa" w:w="9071"/>
            <w:shd w:fill="FFFFFF"/>
            <w:tcMar>
              <w:top w:w="100" w:type="dxa"/>
              <w:start w:w="130" w:type="dxa"/>
              <w:bottom w:w="100" w:type="dxa"/>
              <w:end w:w="130" w:type="dxa"/>
            </w:tcMar>
            <w:tcBorders>
              <w:bottom w:val="single" w:sz="4" w:color="D9E2EA"/>
            </w:tcBorders>
          </w:tcPr>
          <w:p>
            <w:pPr>
              <w:jc w:val="right"/>
              <w:bidi w:val="1"/>
            </w:pPr>
            <w:r>
              <w:rPr>
                <w:rFonts w:ascii="Noto Sans Arabic UI" w:hAnsi="Noto Sans Arabic UI" w:cs="Noto Sans Arabic UI" w:eastAsia="Noto Sans Arabic UI"/>
                <w:b/>
                <w:color w:val="16324F"/>
                <w:sz w:val="21"/>
              </w:rPr>
              <w:t xml:space="preserve">Stiffness  </w:t>
            </w:r>
            <w:r>
              <w:rPr>
                <w:rFonts w:ascii="Noto Sans Arabic UI" w:hAnsi="Noto Sans Arabic UI" w:cs="Noto Sans Arabic UI" w:eastAsia="Noto Sans Arabic UI"/>
                <w:b/>
                <w:color w:val="0F7C7B"/>
                <w:sz w:val="16"/>
              </w:rPr>
              <w:t>(ISO PDF p.11–12 + Annex B p.15–16)</w:t>
            </w:r>
          </w:p>
          <w:p>
            <w:pPr>
              <w:spacing w:after="0"/>
              <w:jc w:val="right"/>
              <w:bidi w:val="1"/>
            </w:pPr>
            <w:r>
              <w:rPr>
                <w:rFonts w:ascii="Noto Sans Arabic UI" w:hAnsi="Noto Sans Arabic UI" w:cs="Noto Sans Arabic UI" w:eastAsia="Noto Sans Arabic UI"/>
                <w:b w:val="0"/>
                <w:color w:val="243746"/>
                <w:sz w:val="18"/>
              </w:rPr>
              <w:t>لا يوجد اختبار stiffness أو deflection criterion للـneedle tubing. بند Spring في Inspection Report متعلق بمكوّن آخر ولا يثبت مطابقة tubing stiffness.</w:t>
            </w:r>
          </w:p>
        </w:tc>
      </w:tr>
    </w:tbl>
    <w:p>
      <w:pPr>
        <w:spacing w:after="20"/>
      </w:pPr>
    </w:p>
    <w:tbl>
      <w:tblPr>
        <w:tblW w:type="auto" w:w="0"/>
        <w:jc w:val="center"/>
        <w:tblLayout w:type="fixed"/>
        <w:tblLook w:firstColumn="1" w:firstRow="1" w:lastColumn="0" w:lastRow="0" w:noHBand="0" w:noVBand="1" w:val="04A0"/>
      </w:tblPr>
      <w:tblGrid>
        <w:gridCol w:w="5156"/>
        <w:gridCol w:w="5156"/>
      </w:tblGrid>
      <w:tr>
        <w:trPr>
          <w:cantSplit w:val="1"/>
        </w:trPr>
        <w:tc>
          <w:tcPr>
            <w:tcW w:type="dxa" w:w="737"/>
            <w:shd w:fill="0F7C7B"/>
            <w:vAlign w:val="center"/>
            <w:tcMar>
              <w:top w:w="70" w:type="dxa"/>
              <w:start w:w="90" w:type="dxa"/>
              <w:bottom w:w="70" w:type="dxa"/>
              <w:end w:w="90" w:type="dxa"/>
            </w:tcMar>
            <w:tcBorders>
              <w:bottom w:val="single" w:sz="4" w:color="D9E2EA"/>
            </w:tcBorders>
          </w:tcPr>
          <w:p>
            <w:pPr>
              <w:spacing w:after="0" w:before="0" w:line="252" w:lineRule="auto"/>
              <w:jc w:val="center"/>
              <w:bidi w:val="0"/>
            </w:pPr>
            <w:r>
              <w:rPr>
                <w:rFonts w:ascii="Noto Sans Arabic UI" w:hAnsi="Noto Sans Arabic UI" w:cs="Noto Sans Arabic UI" w:eastAsia="Noto Sans Arabic UI"/>
                <w:b/>
                <w:color w:val="FFFFFF"/>
                <w:sz w:val="26"/>
              </w:rPr>
              <w:t>04</w:t>
            </w:r>
          </w:p>
        </w:tc>
        <w:tc>
          <w:tcPr>
            <w:tcW w:type="dxa" w:w="9071"/>
            <w:shd w:fill="FFFFFF"/>
            <w:tcMar>
              <w:top w:w="100" w:type="dxa"/>
              <w:start w:w="130" w:type="dxa"/>
              <w:bottom w:w="100" w:type="dxa"/>
              <w:end w:w="130" w:type="dxa"/>
            </w:tcMar>
            <w:tcBorders>
              <w:bottom w:val="single" w:sz="4" w:color="D9E2EA"/>
            </w:tcBorders>
          </w:tcPr>
          <w:p>
            <w:pPr>
              <w:jc w:val="right"/>
              <w:bidi w:val="1"/>
            </w:pPr>
            <w:r>
              <w:rPr>
                <w:rFonts w:ascii="Noto Sans Arabic UI" w:hAnsi="Noto Sans Arabic UI" w:cs="Noto Sans Arabic UI" w:eastAsia="Noto Sans Arabic UI"/>
                <w:b/>
                <w:color w:val="16324F"/>
                <w:sz w:val="21"/>
              </w:rPr>
              <w:t xml:space="preserve">Resistance to Breakage  </w:t>
            </w:r>
            <w:r>
              <w:rPr>
                <w:rFonts w:ascii="Noto Sans Arabic UI" w:hAnsi="Noto Sans Arabic UI" w:cs="Noto Sans Arabic UI" w:eastAsia="Noto Sans Arabic UI"/>
                <w:b/>
                <w:color w:val="0F7C7B"/>
                <w:sz w:val="16"/>
              </w:rPr>
              <w:t>(ISO PDF p.13 + Annex C p.17–18)</w:t>
            </w:r>
          </w:p>
          <w:p>
            <w:pPr>
              <w:spacing w:after="0"/>
              <w:jc w:val="right"/>
              <w:bidi w:val="1"/>
            </w:pPr>
            <w:r>
              <w:rPr>
                <w:rFonts w:ascii="Noto Sans Arabic UI" w:hAnsi="Noto Sans Arabic UI" w:cs="Noto Sans Arabic UI" w:eastAsia="Noto Sans Arabic UI"/>
                <w:b w:val="0"/>
                <w:color w:val="243746"/>
                <w:sz w:val="18"/>
              </w:rPr>
              <w:t>اختبار Needle Gluing/Tensile لا يعادل اختبار resistance to breakage؛ الأول يختبر قوة التثبيت/السحب، بينما Annex C يختبر تحمل الـtubing للانحناء المتكرر وعدم ظهور visible breakage.</w:t>
            </w:r>
          </w:p>
        </w:tc>
      </w:tr>
    </w:tbl>
    <w:p>
      <w:pPr>
        <w:spacing w:after="20"/>
      </w:pPr>
    </w:p>
    <w:tbl>
      <w:tblPr>
        <w:tblW w:type="auto" w:w="0"/>
        <w:jc w:val="center"/>
        <w:tblLayout w:type="fixed"/>
        <w:tblLook w:firstColumn="1" w:firstRow="1" w:lastColumn="0" w:lastRow="0" w:noHBand="0" w:noVBand="1" w:val="04A0"/>
      </w:tblPr>
      <w:tblGrid>
        <w:gridCol w:w="5156"/>
        <w:gridCol w:w="5156"/>
      </w:tblGrid>
      <w:tr>
        <w:trPr>
          <w:cantSplit w:val="1"/>
        </w:trPr>
        <w:tc>
          <w:tcPr>
            <w:tcW w:type="dxa" w:w="737"/>
            <w:shd w:fill="0F7C7B"/>
            <w:vAlign w:val="center"/>
            <w:tcMar>
              <w:top w:w="70" w:type="dxa"/>
              <w:start w:w="90" w:type="dxa"/>
              <w:bottom w:w="70" w:type="dxa"/>
              <w:end w:w="90" w:type="dxa"/>
            </w:tcMar>
            <w:tcBorders>
              <w:bottom w:val="single" w:sz="4" w:color="D9E2EA"/>
            </w:tcBorders>
          </w:tcPr>
          <w:p>
            <w:pPr>
              <w:spacing w:after="0" w:before="0" w:line="252" w:lineRule="auto"/>
              <w:jc w:val="center"/>
              <w:bidi w:val="0"/>
            </w:pPr>
            <w:r>
              <w:rPr>
                <w:rFonts w:ascii="Noto Sans Arabic UI" w:hAnsi="Noto Sans Arabic UI" w:cs="Noto Sans Arabic UI" w:eastAsia="Noto Sans Arabic UI"/>
                <w:b/>
                <w:color w:val="FFFFFF"/>
                <w:sz w:val="26"/>
              </w:rPr>
              <w:t>05</w:t>
            </w:r>
          </w:p>
        </w:tc>
        <w:tc>
          <w:tcPr>
            <w:tcW w:type="dxa" w:w="9071"/>
            <w:shd w:fill="FFFFFF"/>
            <w:tcMar>
              <w:top w:w="100" w:type="dxa"/>
              <w:start w:w="130" w:type="dxa"/>
              <w:bottom w:w="100" w:type="dxa"/>
              <w:end w:w="130" w:type="dxa"/>
            </w:tcMar>
            <w:tcBorders>
              <w:bottom w:val="single" w:sz="4" w:color="D9E2EA"/>
            </w:tcBorders>
          </w:tcPr>
          <w:p>
            <w:pPr>
              <w:jc w:val="right"/>
              <w:bidi w:val="1"/>
            </w:pPr>
            <w:r>
              <w:rPr>
                <w:rFonts w:ascii="Noto Sans Arabic UI" w:hAnsi="Noto Sans Arabic UI" w:cs="Noto Sans Arabic UI" w:eastAsia="Noto Sans Arabic UI"/>
                <w:b/>
                <w:color w:val="16324F"/>
                <w:sz w:val="21"/>
              </w:rPr>
              <w:t xml:space="preserve">Resistance to Corrosion  </w:t>
            </w:r>
            <w:r>
              <w:rPr>
                <w:rFonts w:ascii="Noto Sans Arabic UI" w:hAnsi="Noto Sans Arabic UI" w:cs="Noto Sans Arabic UI" w:eastAsia="Noto Sans Arabic UI"/>
                <w:b/>
                <w:color w:val="0F7C7B"/>
                <w:sz w:val="16"/>
              </w:rPr>
              <w:t>(ISO PDF p.13 + Annex D p.19)</w:t>
            </w:r>
          </w:p>
          <w:p>
            <w:pPr>
              <w:spacing w:after="0"/>
              <w:jc w:val="right"/>
              <w:bidi w:val="1"/>
            </w:pPr>
            <w:r>
              <w:rPr>
                <w:rFonts w:ascii="Noto Sans Arabic UI" w:hAnsi="Noto Sans Arabic UI" w:cs="Noto Sans Arabic UI" w:eastAsia="Noto Sans Arabic UI"/>
                <w:b w:val="0"/>
                <w:color w:val="243746"/>
                <w:sz w:val="18"/>
              </w:rPr>
              <w:t>لا يوجد corrosion acceptance criterion أو record واضح ضمن WI/Inspection Report.</w:t>
            </w:r>
          </w:p>
        </w:tc>
      </w:tr>
    </w:tbl>
    <w:p>
      <w:pPr>
        <w:spacing w:after="20"/>
      </w:pPr>
    </w:p>
    <w:tbl>
      <w:tblPr>
        <w:tblW w:type="auto" w:w="0"/>
        <w:jc w:val="center"/>
        <w:tblLayout w:type="fixed"/>
        <w:tblLook w:firstColumn="1" w:firstRow="1" w:lastColumn="0" w:lastRow="0" w:noHBand="0" w:noVBand="1" w:val="04A0"/>
      </w:tblPr>
      <w:tblGrid>
        <w:gridCol w:w="5156"/>
        <w:gridCol w:w="5156"/>
      </w:tblGrid>
      <w:tr>
        <w:trPr>
          <w:cantSplit w:val="1"/>
        </w:trPr>
        <w:tc>
          <w:tcPr>
            <w:tcW w:type="dxa" w:w="737"/>
            <w:shd w:fill="0F7C7B"/>
            <w:vAlign w:val="center"/>
            <w:tcMar>
              <w:top w:w="70" w:type="dxa"/>
              <w:start w:w="90" w:type="dxa"/>
              <w:bottom w:w="70" w:type="dxa"/>
              <w:end w:w="90" w:type="dxa"/>
            </w:tcMar>
            <w:tcBorders>
              <w:bottom w:val="single" w:sz="4" w:color="D9E2EA"/>
            </w:tcBorders>
          </w:tcPr>
          <w:p>
            <w:pPr>
              <w:spacing w:after="0" w:before="0" w:line="252" w:lineRule="auto"/>
              <w:jc w:val="center"/>
              <w:bidi w:val="0"/>
            </w:pPr>
            <w:r>
              <w:rPr>
                <w:rFonts w:ascii="Noto Sans Arabic UI" w:hAnsi="Noto Sans Arabic UI" w:cs="Noto Sans Arabic UI" w:eastAsia="Noto Sans Arabic UI"/>
                <w:b/>
                <w:color w:val="FFFFFF"/>
                <w:sz w:val="26"/>
              </w:rPr>
              <w:t>06</w:t>
            </w:r>
          </w:p>
        </w:tc>
        <w:tc>
          <w:tcPr>
            <w:tcW w:type="dxa" w:w="9071"/>
            <w:shd w:fill="FFFFFF"/>
            <w:tcMar>
              <w:top w:w="100" w:type="dxa"/>
              <w:start w:w="130" w:type="dxa"/>
              <w:bottom w:w="100" w:type="dxa"/>
              <w:end w:w="130" w:type="dxa"/>
            </w:tcMar>
            <w:tcBorders>
              <w:bottom w:val="single" w:sz="4" w:color="D9E2EA"/>
            </w:tcBorders>
          </w:tcPr>
          <w:p>
            <w:pPr>
              <w:jc w:val="right"/>
              <w:bidi w:val="1"/>
            </w:pPr>
            <w:r>
              <w:rPr>
                <w:rFonts w:ascii="Noto Sans Arabic UI" w:hAnsi="Noto Sans Arabic UI" w:cs="Noto Sans Arabic UI" w:eastAsia="Noto Sans Arabic UI"/>
                <w:b/>
                <w:color w:val="16324F"/>
                <w:sz w:val="21"/>
              </w:rPr>
              <w:t xml:space="preserve">Acidity / Alkalinity  </w:t>
            </w:r>
            <w:r>
              <w:rPr>
                <w:rFonts w:ascii="Noto Sans Arabic UI" w:hAnsi="Noto Sans Arabic UI" w:cs="Noto Sans Arabic UI" w:eastAsia="Noto Sans Arabic UI"/>
                <w:b/>
                <w:color w:val="0F7C7B"/>
                <w:sz w:val="16"/>
              </w:rPr>
              <w:t>(ISO PDF p.8 + Annex A p.14)</w:t>
            </w:r>
          </w:p>
          <w:p>
            <w:pPr>
              <w:spacing w:after="0"/>
              <w:jc w:val="right"/>
              <w:bidi w:val="1"/>
            </w:pPr>
            <w:r>
              <w:rPr>
                <w:rFonts w:ascii="Noto Sans Arabic UI" w:hAnsi="Noto Sans Arabic UI" w:cs="Noto Sans Arabic UI" w:eastAsia="Noto Sans Arabic UI"/>
                <w:b w:val="0"/>
                <w:color w:val="243746"/>
                <w:sz w:val="18"/>
              </w:rPr>
              <w:t>لا يوجد extract pH test أو criterion يثبت أن فرق pH بين extract وcontrol ضمن الحد المحدد في ISO.</w:t>
            </w:r>
          </w:p>
        </w:tc>
      </w:tr>
    </w:tbl>
    <w:p>
      <w:pPr>
        <w:spacing w:after="20"/>
      </w:pPr>
    </w:p>
    <w:tbl>
      <w:tblPr>
        <w:tblW w:type="auto" w:w="0"/>
        <w:jc w:val="center"/>
        <w:tblLayout w:type="fixed"/>
        <w:tblLook w:firstColumn="1" w:firstRow="1" w:lastColumn="0" w:lastRow="0" w:noHBand="0" w:noVBand="1" w:val="04A0"/>
      </w:tblPr>
      <w:tblGrid>
        <w:gridCol w:w="5156"/>
        <w:gridCol w:w="5156"/>
      </w:tblGrid>
      <w:tr>
        <w:trPr>
          <w:cantSplit w:val="1"/>
        </w:trPr>
        <w:tc>
          <w:tcPr>
            <w:tcW w:type="dxa" w:w="737"/>
            <w:shd w:fill="0F7C7B"/>
            <w:vAlign w:val="center"/>
            <w:tcMar>
              <w:top w:w="70" w:type="dxa"/>
              <w:start w:w="90" w:type="dxa"/>
              <w:bottom w:w="70" w:type="dxa"/>
              <w:end w:w="90" w:type="dxa"/>
            </w:tcMar>
            <w:tcBorders>
              <w:bottom w:val="single" w:sz="4" w:color="D9E2EA"/>
            </w:tcBorders>
          </w:tcPr>
          <w:p>
            <w:pPr>
              <w:spacing w:after="0" w:before="0" w:line="252" w:lineRule="auto"/>
              <w:jc w:val="center"/>
              <w:bidi w:val="0"/>
            </w:pPr>
            <w:r>
              <w:rPr>
                <w:rFonts w:ascii="Noto Sans Arabic UI" w:hAnsi="Noto Sans Arabic UI" w:cs="Noto Sans Arabic UI" w:eastAsia="Noto Sans Arabic UI"/>
                <w:b/>
                <w:color w:val="FFFFFF"/>
                <w:sz w:val="26"/>
              </w:rPr>
              <w:t>07</w:t>
            </w:r>
          </w:p>
        </w:tc>
        <w:tc>
          <w:tcPr>
            <w:tcW w:type="dxa" w:w="9071"/>
            <w:shd w:fill="FFFFFF"/>
            <w:tcMar>
              <w:top w:w="100" w:type="dxa"/>
              <w:start w:w="130" w:type="dxa"/>
              <w:bottom w:w="100" w:type="dxa"/>
              <w:end w:w="130" w:type="dxa"/>
            </w:tcMar>
            <w:tcBorders>
              <w:bottom w:val="single" w:sz="4" w:color="D9E2EA"/>
            </w:tcBorders>
          </w:tcPr>
          <w:p>
            <w:pPr>
              <w:jc w:val="right"/>
              <w:bidi w:val="1"/>
            </w:pPr>
            <w:r>
              <w:rPr>
                <w:rFonts w:ascii="Noto Sans Arabic UI" w:hAnsi="Noto Sans Arabic UI" w:cs="Noto Sans Arabic UI" w:eastAsia="Noto Sans Arabic UI"/>
                <w:b/>
                <w:color w:val="16324F"/>
                <w:sz w:val="21"/>
              </w:rPr>
              <w:t xml:space="preserve">Controlled Record Alignment  </w:t>
            </w:r>
            <w:r>
              <w:rPr>
                <w:rFonts w:ascii="Noto Sans Arabic UI" w:hAnsi="Noto Sans Arabic UI" w:cs="Noto Sans Arabic UI" w:eastAsia="Noto Sans Arabic UI"/>
                <w:b/>
                <w:color w:val="0F7C7B"/>
                <w:sz w:val="16"/>
              </w:rPr>
              <w:t>(WI p.4 / Prior report analysis)</w:t>
            </w:r>
          </w:p>
          <w:p>
            <w:pPr>
              <w:spacing w:after="0"/>
              <w:jc w:val="right"/>
              <w:bidi w:val="1"/>
            </w:pPr>
            <w:r>
              <w:rPr>
                <w:rFonts w:ascii="Noto Sans Arabic UI" w:hAnsi="Noto Sans Arabic UI" w:cs="Noto Sans Arabic UI" w:eastAsia="Noto Sans Arabic UI"/>
                <w:b w:val="0"/>
                <w:color w:val="243746"/>
                <w:sz w:val="18"/>
              </w:rPr>
              <w:t>يلزم حسم F-823-T58 مقابل F-823-T162 Rev.1 وتحديث الـWI أو استخدام السجل الصحيح. استمرار التعارض يضعف traceability حتى لو كانت الفحوص نفسها صحيحة.</w:t>
            </w:r>
          </w:p>
        </w:tc>
      </w:tr>
    </w:tbl>
    <w:p>
      <w:pPr>
        <w:spacing w:after="20"/>
      </w:pPr>
    </w:p>
    <w:tbl>
      <w:tblPr>
        <w:tblW w:type="auto" w:w="0"/>
        <w:jc w:val="center"/>
        <w:tblLayout w:type="autofit"/>
        <w:tblLook w:firstColumn="1" w:firstRow="1" w:lastColumn="0" w:lastRow="0" w:noHBand="0" w:noVBand="1" w:val="04A0"/>
      </w:tblPr>
      <w:tblGrid>
        <w:gridCol w:w="10312"/>
      </w:tblGrid>
      <w:tr>
        <w:tc>
          <w:tcPr>
            <w:tcW w:type="dxa" w:w="10312"/>
            <w:shd w:fill="16324F"/>
            <w:tcMar>
              <w:top w:w="110" w:type="dxa"/>
              <w:start w:w="160" w:type="dxa"/>
              <w:bottom w:w="110" w:type="dxa"/>
              <w:end w:w="160" w:type="dxa"/>
            </w:tcMar>
          </w:tcPr>
          <w:p>
            <w:pPr>
              <w:jc w:val="right"/>
              <w:bidi w:val="1"/>
            </w:pPr>
            <w:r>
              <w:rPr>
                <w:rFonts w:ascii="Noto Sans Arabic UI" w:hAnsi="Noto Sans Arabic UI" w:cs="Noto Sans Arabic UI" w:eastAsia="Noto Sans Arabic UI"/>
                <w:b/>
                <w:color w:val="FFFFFF"/>
                <w:sz w:val="26"/>
              </w:rPr>
              <w:t>الإجراء المقترح</w:t>
            </w:r>
            <w:r>
              <w:rPr>
                <w:rFonts w:ascii="Noto Sans Arabic UI" w:hAnsi="Noto Sans Arabic UI" w:cs="Noto Sans Arabic UI" w:eastAsia="Noto Sans Arabic UI"/>
                <w:b w:val="0"/>
                <w:color w:val="DDE7F0"/>
                <w:sz w:val="18"/>
              </w:rPr>
              <w:t xml:space="preserve">  |  Recommended Document Actions</w:t>
            </w:r>
          </w:p>
        </w:tc>
      </w:tr>
    </w:tbl>
    <w:p>
      <w:pPr>
        <w:spacing w:after="40"/>
      </w:pP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134"/>
            <w:shd w:fill="16324F"/>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FFFFFF"/>
                <w:sz w:val="17"/>
              </w:rPr>
              <w:t>Priority</w:t>
            </w:r>
          </w:p>
        </w:tc>
        <w:tc>
          <w:tcPr>
            <w:tcW w:type="dxa" w:w="1247"/>
            <w:shd w:fill="16324F"/>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FFFFFF"/>
                <w:sz w:val="17"/>
              </w:rPr>
              <w:t>No.</w:t>
            </w:r>
          </w:p>
        </w:tc>
        <w:tc>
          <w:tcPr>
            <w:tcW w:type="dxa" w:w="7427"/>
            <w:shd w:fill="16324F"/>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FFFFFF"/>
                <w:sz w:val="17"/>
              </w:rPr>
              <w:t>Action</w:t>
            </w:r>
          </w:p>
        </w:tc>
      </w:tr>
      <w:tr>
        <w:trPr>
          <w:cantSplit w:val="1"/>
        </w:trPr>
        <w:tc>
          <w:tcPr>
            <w:tcW w:type="dxa" w:w="3437"/>
            <w:shd w:fill="FDECEC"/>
            <w:vAlign w:val="center"/>
            <w:tcMar>
              <w:top w:w="70" w:type="dxa"/>
              <w:start w:w="90" w:type="dxa"/>
              <w:bottom w:w="70" w:type="dxa"/>
              <w:end w:w="90" w:type="dxa"/>
            </w:tcMar>
            <w:tcBorders>
              <w:bottom w:val="single" w:sz="3" w:color="D9E2EA"/>
            </w:tcBorders>
          </w:tcPr>
          <w:p>
            <w:pPr>
              <w:spacing w:after="0" w:before="0" w:line="252" w:lineRule="auto"/>
              <w:jc w:val="center"/>
              <w:bidi w:val="0"/>
            </w:pPr>
            <w:r>
              <w:rPr>
                <w:rFonts w:ascii="Noto Sans Arabic UI" w:hAnsi="Noto Sans Arabic UI" w:cs="Noto Sans Arabic UI" w:eastAsia="Noto Sans Arabic UI"/>
                <w:b/>
                <w:color w:val="B42318"/>
                <w:sz w:val="17"/>
              </w:rPr>
              <w:t>P1</w:t>
            </w:r>
          </w:p>
        </w:tc>
        <w:tc>
          <w:tcPr>
            <w:tcW w:type="dxa" w:w="3437"/>
            <w:vAlign w:val="center"/>
            <w:tcMar>
              <w:top w:w="70" w:type="dxa"/>
              <w:start w:w="90" w:type="dxa"/>
              <w:bottom w:w="70" w:type="dxa"/>
              <w:end w:w="90" w:type="dxa"/>
            </w:tcMar>
            <w:tcBorders>
              <w:bottom w:val="single" w:sz="3" w:color="D9E2EA"/>
            </w:tcBorders>
          </w:tcPr>
          <w:p>
            <w:pPr>
              <w:spacing w:after="0" w:before="0" w:line="252" w:lineRule="auto"/>
              <w:jc w:val="center"/>
              <w:bidi w:val="0"/>
            </w:pPr>
            <w:r>
              <w:rPr>
                <w:rFonts w:ascii="Noto Sans Arabic UI" w:hAnsi="Noto Sans Arabic UI" w:cs="Noto Sans Arabic UI" w:eastAsia="Noto Sans Arabic UI"/>
                <w:b/>
                <w:color w:val="16324F"/>
                <w:sz w:val="17"/>
              </w:rPr>
              <w:t>1</w:t>
            </w:r>
          </w:p>
        </w:tc>
        <w:tc>
          <w:tcPr>
            <w:tcW w:type="dxa" w:w="3437"/>
            <w:vAlign w:val="center"/>
            <w:tcMar>
              <w:top w:w="70" w:type="dxa"/>
              <w:start w:w="90" w:type="dxa"/>
              <w:bottom w:w="70" w:type="dxa"/>
              <w:end w:w="90" w:type="dxa"/>
            </w:tcMar>
            <w:tcBorders>
              <w:bottom w:val="single" w:sz="3" w:color="D9E2EA"/>
            </w:tcBorders>
          </w:tcPr>
          <w:p>
            <w:pPr>
              <w:spacing w:after="0" w:before="0" w:line="252" w:lineRule="auto"/>
              <w:jc w:val="right"/>
              <w:bidi w:val="1"/>
            </w:pPr>
            <w:r>
              <w:rPr>
                <w:rFonts w:ascii="Noto Sans Arabic UI" w:hAnsi="Noto Sans Arabic UI" w:cs="Noto Sans Arabic UI" w:eastAsia="Noto Sans Arabic UI"/>
                <w:b w:val="0"/>
                <w:color w:val="243746"/>
                <w:sz w:val="17"/>
              </w:rPr>
              <w:t>تحديث WI أو مواصفة Raw Material مرتبطة به بحيث تحدد Material Grade / ISO 15510 verification، nominal OD/Gauge، Wall Type، وحدود OD/ID المعتمدة.</w:t>
            </w:r>
          </w:p>
        </w:tc>
      </w:tr>
      <w:tr>
        <w:trPr>
          <w:cantSplit w:val="1"/>
        </w:trPr>
        <w:tc>
          <w:tcPr>
            <w:tcW w:type="dxa" w:w="3437"/>
            <w:shd w:fill="FDECEC"/>
            <w:vAlign w:val="center"/>
            <w:tcMar>
              <w:top w:w="70" w:type="dxa"/>
              <w:start w:w="90" w:type="dxa"/>
              <w:bottom w:w="70" w:type="dxa"/>
              <w:end w:w="90" w:type="dxa"/>
            </w:tcMar>
            <w:tcBorders>
              <w:bottom w:val="single" w:sz="3" w:color="D9E2EA"/>
            </w:tcBorders>
          </w:tcPr>
          <w:p>
            <w:pPr>
              <w:spacing w:after="0" w:before="0" w:line="252" w:lineRule="auto"/>
              <w:jc w:val="center"/>
              <w:bidi w:val="0"/>
            </w:pPr>
            <w:r>
              <w:rPr>
                <w:rFonts w:ascii="Noto Sans Arabic UI" w:hAnsi="Noto Sans Arabic UI" w:cs="Noto Sans Arabic UI" w:eastAsia="Noto Sans Arabic UI"/>
                <w:b/>
                <w:color w:val="B42318"/>
                <w:sz w:val="17"/>
              </w:rPr>
              <w:t>P1</w:t>
            </w:r>
          </w:p>
        </w:tc>
        <w:tc>
          <w:tcPr>
            <w:tcW w:type="dxa" w:w="3437"/>
            <w:vAlign w:val="center"/>
            <w:tcMar>
              <w:top w:w="70" w:type="dxa"/>
              <w:start w:w="90" w:type="dxa"/>
              <w:bottom w:w="70" w:type="dxa"/>
              <w:end w:w="90" w:type="dxa"/>
            </w:tcMar>
            <w:tcBorders>
              <w:bottom w:val="single" w:sz="3" w:color="D9E2EA"/>
            </w:tcBorders>
          </w:tcPr>
          <w:p>
            <w:pPr>
              <w:spacing w:after="0" w:before="0" w:line="252" w:lineRule="auto"/>
              <w:jc w:val="center"/>
              <w:bidi w:val="0"/>
            </w:pPr>
            <w:r>
              <w:rPr>
                <w:rFonts w:ascii="Noto Sans Arabic UI" w:hAnsi="Noto Sans Arabic UI" w:cs="Noto Sans Arabic UI" w:eastAsia="Noto Sans Arabic UI"/>
                <w:b/>
                <w:color w:val="16324F"/>
                <w:sz w:val="17"/>
              </w:rPr>
              <w:t>2</w:t>
            </w:r>
          </w:p>
        </w:tc>
        <w:tc>
          <w:tcPr>
            <w:tcW w:type="dxa" w:w="3437"/>
            <w:vAlign w:val="center"/>
            <w:tcMar>
              <w:top w:w="70" w:type="dxa"/>
              <w:start w:w="90" w:type="dxa"/>
              <w:bottom w:w="70" w:type="dxa"/>
              <w:end w:w="90" w:type="dxa"/>
            </w:tcMar>
            <w:tcBorders>
              <w:bottom w:val="single" w:sz="3" w:color="D9E2EA"/>
            </w:tcBorders>
          </w:tcPr>
          <w:p>
            <w:pPr>
              <w:spacing w:after="0" w:before="0" w:line="252" w:lineRule="auto"/>
              <w:jc w:val="right"/>
              <w:bidi w:val="1"/>
            </w:pPr>
            <w:r>
              <w:rPr>
                <w:rFonts w:ascii="Noto Sans Arabic UI" w:hAnsi="Noto Sans Arabic UI" w:cs="Noto Sans Arabic UI" w:eastAsia="Noto Sans Arabic UI"/>
                <w:b w:val="0"/>
                <w:color w:val="243746"/>
                <w:sz w:val="17"/>
              </w:rPr>
              <w:t>إضافة/ربط طرق التحقق الخاصة بـ Stiffness، Breakage، Corrosion، وAcidity/Alkalinity. يمكن أن تكون عبر in-house test أو qualified supplier evidence / periodic verification إذا كان ذلك معتمدًا ومبررًا في نظام الجودة.</w:t>
            </w:r>
          </w:p>
        </w:tc>
      </w:tr>
      <w:tr>
        <w:trPr>
          <w:cantSplit w:val="1"/>
        </w:trPr>
        <w:tc>
          <w:tcPr>
            <w:tcW w:type="dxa" w:w="3437"/>
            <w:shd w:fill="FDECEC"/>
            <w:vAlign w:val="center"/>
            <w:tcMar>
              <w:top w:w="70" w:type="dxa"/>
              <w:start w:w="90" w:type="dxa"/>
              <w:bottom w:w="70" w:type="dxa"/>
              <w:end w:w="90" w:type="dxa"/>
            </w:tcMar>
            <w:tcBorders>
              <w:bottom w:val="single" w:sz="3" w:color="D9E2EA"/>
            </w:tcBorders>
          </w:tcPr>
          <w:p>
            <w:pPr>
              <w:spacing w:after="0" w:before="0" w:line="252" w:lineRule="auto"/>
              <w:jc w:val="center"/>
              <w:bidi w:val="0"/>
            </w:pPr>
            <w:r>
              <w:rPr>
                <w:rFonts w:ascii="Noto Sans Arabic UI" w:hAnsi="Noto Sans Arabic UI" w:cs="Noto Sans Arabic UI" w:eastAsia="Noto Sans Arabic UI"/>
                <w:b/>
                <w:color w:val="B42318"/>
                <w:sz w:val="17"/>
              </w:rPr>
              <w:t>P1</w:t>
            </w:r>
          </w:p>
        </w:tc>
        <w:tc>
          <w:tcPr>
            <w:tcW w:type="dxa" w:w="3437"/>
            <w:vAlign w:val="center"/>
            <w:tcMar>
              <w:top w:w="70" w:type="dxa"/>
              <w:start w:w="90" w:type="dxa"/>
              <w:bottom w:w="70" w:type="dxa"/>
              <w:end w:w="90" w:type="dxa"/>
            </w:tcMar>
            <w:tcBorders>
              <w:bottom w:val="single" w:sz="3" w:color="D9E2EA"/>
            </w:tcBorders>
          </w:tcPr>
          <w:p>
            <w:pPr>
              <w:spacing w:after="0" w:before="0" w:line="252" w:lineRule="auto"/>
              <w:jc w:val="center"/>
              <w:bidi w:val="0"/>
            </w:pPr>
            <w:r>
              <w:rPr>
                <w:rFonts w:ascii="Noto Sans Arabic UI" w:hAnsi="Noto Sans Arabic UI" w:cs="Noto Sans Arabic UI" w:eastAsia="Noto Sans Arabic UI"/>
                <w:b/>
                <w:color w:val="16324F"/>
                <w:sz w:val="17"/>
              </w:rPr>
              <w:t>3</w:t>
            </w:r>
          </w:p>
        </w:tc>
        <w:tc>
          <w:tcPr>
            <w:tcW w:type="dxa" w:w="3437"/>
            <w:vAlign w:val="center"/>
            <w:tcMar>
              <w:top w:w="70" w:type="dxa"/>
              <w:start w:w="90" w:type="dxa"/>
              <w:bottom w:w="70" w:type="dxa"/>
              <w:end w:w="90" w:type="dxa"/>
            </w:tcMar>
            <w:tcBorders>
              <w:bottom w:val="single" w:sz="3" w:color="D9E2EA"/>
            </w:tcBorders>
          </w:tcPr>
          <w:p>
            <w:pPr>
              <w:spacing w:after="0" w:before="0" w:line="252" w:lineRule="auto"/>
              <w:jc w:val="right"/>
              <w:bidi w:val="1"/>
            </w:pPr>
            <w:r>
              <w:rPr>
                <w:rFonts w:ascii="Noto Sans Arabic UI" w:hAnsi="Noto Sans Arabic UI" w:cs="Noto Sans Arabic UI" w:eastAsia="Noto Sans Arabic UI"/>
                <w:b w:val="0"/>
                <w:color w:val="243746"/>
                <w:sz w:val="17"/>
              </w:rPr>
              <w:t>تحديث Inspection Report بحيث يسجل القيم/الحدود الفعلية المطلوبة عندما يكون الاختبار جزءًا من فحص الـlot، بدل عبارات عامة مثل “as per specification” فقط.</w:t>
            </w:r>
          </w:p>
        </w:tc>
      </w:tr>
      <w:tr>
        <w:trPr>
          <w:cantSplit w:val="1"/>
        </w:trPr>
        <w:tc>
          <w:tcPr>
            <w:tcW w:type="dxa" w:w="3437"/>
            <w:shd w:fill="FDECEC"/>
            <w:vAlign w:val="center"/>
            <w:tcMar>
              <w:top w:w="70" w:type="dxa"/>
              <w:start w:w="90" w:type="dxa"/>
              <w:bottom w:w="70" w:type="dxa"/>
              <w:end w:w="90" w:type="dxa"/>
            </w:tcMar>
            <w:tcBorders>
              <w:bottom w:val="single" w:sz="3" w:color="D9E2EA"/>
            </w:tcBorders>
          </w:tcPr>
          <w:p>
            <w:pPr>
              <w:spacing w:after="0" w:before="0" w:line="252" w:lineRule="auto"/>
              <w:jc w:val="center"/>
              <w:bidi w:val="0"/>
            </w:pPr>
            <w:r>
              <w:rPr>
                <w:rFonts w:ascii="Noto Sans Arabic UI" w:hAnsi="Noto Sans Arabic UI" w:cs="Noto Sans Arabic UI" w:eastAsia="Noto Sans Arabic UI"/>
                <w:b/>
                <w:color w:val="B42318"/>
                <w:sz w:val="17"/>
              </w:rPr>
              <w:t>P1</w:t>
            </w:r>
          </w:p>
        </w:tc>
        <w:tc>
          <w:tcPr>
            <w:tcW w:type="dxa" w:w="3437"/>
            <w:vAlign w:val="center"/>
            <w:tcMar>
              <w:top w:w="70" w:type="dxa"/>
              <w:start w:w="90" w:type="dxa"/>
              <w:bottom w:w="70" w:type="dxa"/>
              <w:end w:w="90" w:type="dxa"/>
            </w:tcMar>
            <w:tcBorders>
              <w:bottom w:val="single" w:sz="3" w:color="D9E2EA"/>
            </w:tcBorders>
          </w:tcPr>
          <w:p>
            <w:pPr>
              <w:spacing w:after="0" w:before="0" w:line="252" w:lineRule="auto"/>
              <w:jc w:val="center"/>
              <w:bidi w:val="0"/>
            </w:pPr>
            <w:r>
              <w:rPr>
                <w:rFonts w:ascii="Noto Sans Arabic UI" w:hAnsi="Noto Sans Arabic UI" w:cs="Noto Sans Arabic UI" w:eastAsia="Noto Sans Arabic UI"/>
                <w:b/>
                <w:color w:val="16324F"/>
                <w:sz w:val="17"/>
              </w:rPr>
              <w:t>4</w:t>
            </w:r>
          </w:p>
        </w:tc>
        <w:tc>
          <w:tcPr>
            <w:tcW w:type="dxa" w:w="3437"/>
            <w:vAlign w:val="center"/>
            <w:tcMar>
              <w:top w:w="70" w:type="dxa"/>
              <w:start w:w="90" w:type="dxa"/>
              <w:bottom w:w="70" w:type="dxa"/>
              <w:end w:w="90" w:type="dxa"/>
            </w:tcMar>
            <w:tcBorders>
              <w:bottom w:val="single" w:sz="3" w:color="D9E2EA"/>
            </w:tcBorders>
          </w:tcPr>
          <w:p>
            <w:pPr>
              <w:spacing w:after="0" w:before="0" w:line="252" w:lineRule="auto"/>
              <w:jc w:val="right"/>
              <w:bidi w:val="1"/>
            </w:pPr>
            <w:r>
              <w:rPr>
                <w:rFonts w:ascii="Noto Sans Arabic UI" w:hAnsi="Noto Sans Arabic UI" w:cs="Noto Sans Arabic UI" w:eastAsia="Noto Sans Arabic UI"/>
                <w:b w:val="0"/>
                <w:color w:val="243746"/>
                <w:sz w:val="17"/>
              </w:rPr>
              <w:t>حسم Controlled Record Number: F-823-T58 أم F-823-T162 Rev.1، ثم مواءمة المرجع في WI وسجل التفتيش.</w:t>
            </w:r>
          </w:p>
        </w:tc>
      </w:tr>
      <w:tr>
        <w:trPr>
          <w:cantSplit w:val="1"/>
        </w:trPr>
        <w:tc>
          <w:tcPr>
            <w:tcW w:type="dxa" w:w="3437"/>
            <w:shd w:fill="EAF1F7"/>
            <w:vAlign w:val="center"/>
            <w:tcMar>
              <w:top w:w="70" w:type="dxa"/>
              <w:start w:w="90" w:type="dxa"/>
              <w:bottom w:w="70" w:type="dxa"/>
              <w:end w:w="90" w:type="dxa"/>
            </w:tcMar>
            <w:tcBorders>
              <w:bottom w:val="single" w:sz="3" w:color="D9E2EA"/>
            </w:tcBorders>
          </w:tcPr>
          <w:p>
            <w:pPr>
              <w:spacing w:after="0" w:before="0" w:line="252" w:lineRule="auto"/>
              <w:jc w:val="center"/>
              <w:bidi w:val="0"/>
            </w:pPr>
            <w:r>
              <w:rPr>
                <w:rFonts w:ascii="Noto Sans Arabic UI" w:hAnsi="Noto Sans Arabic UI" w:cs="Noto Sans Arabic UI" w:eastAsia="Noto Sans Arabic UI"/>
                <w:b/>
                <w:color w:val="16324F"/>
                <w:sz w:val="17"/>
              </w:rPr>
              <w:t>P2</w:t>
            </w:r>
          </w:p>
        </w:tc>
        <w:tc>
          <w:tcPr>
            <w:tcW w:type="dxa" w:w="3437"/>
            <w:vAlign w:val="center"/>
            <w:tcMar>
              <w:top w:w="70" w:type="dxa"/>
              <w:start w:w="90" w:type="dxa"/>
              <w:bottom w:w="70" w:type="dxa"/>
              <w:end w:w="90" w:type="dxa"/>
            </w:tcMar>
            <w:tcBorders>
              <w:bottom w:val="single" w:sz="3" w:color="D9E2EA"/>
            </w:tcBorders>
          </w:tcPr>
          <w:p>
            <w:pPr>
              <w:spacing w:after="0" w:before="0" w:line="252" w:lineRule="auto"/>
              <w:jc w:val="center"/>
              <w:bidi w:val="0"/>
            </w:pPr>
            <w:r>
              <w:rPr>
                <w:rFonts w:ascii="Noto Sans Arabic UI" w:hAnsi="Noto Sans Arabic UI" w:cs="Noto Sans Arabic UI" w:eastAsia="Noto Sans Arabic UI"/>
                <w:b/>
                <w:color w:val="16324F"/>
                <w:sz w:val="17"/>
              </w:rPr>
              <w:t>5</w:t>
            </w:r>
          </w:p>
        </w:tc>
        <w:tc>
          <w:tcPr>
            <w:tcW w:type="dxa" w:w="3437"/>
            <w:vAlign w:val="center"/>
            <w:tcMar>
              <w:top w:w="70" w:type="dxa"/>
              <w:start w:w="90" w:type="dxa"/>
              <w:bottom w:w="70" w:type="dxa"/>
              <w:end w:w="90" w:type="dxa"/>
            </w:tcMar>
            <w:tcBorders>
              <w:bottom w:val="single" w:sz="3" w:color="D9E2EA"/>
            </w:tcBorders>
          </w:tcPr>
          <w:p>
            <w:pPr>
              <w:spacing w:after="0" w:before="0" w:line="252" w:lineRule="auto"/>
              <w:jc w:val="right"/>
              <w:bidi w:val="1"/>
            </w:pPr>
            <w:r>
              <w:rPr>
                <w:rFonts w:ascii="Noto Sans Arabic UI" w:hAnsi="Noto Sans Arabic UI" w:cs="Noto Sans Arabic UI" w:eastAsia="Noto Sans Arabic UI"/>
                <w:b w:val="0"/>
                <w:color w:val="243746"/>
                <w:sz w:val="17"/>
              </w:rPr>
              <w:t>تقوية Visual Inspection لتغطية straightness، regular roundness، metal soil، processing agents بشكل صريح.</w:t>
            </w:r>
          </w:p>
        </w:tc>
      </w:tr>
      <w:tr>
        <w:trPr>
          <w:cantSplit w:val="1"/>
        </w:trPr>
        <w:tc>
          <w:tcPr>
            <w:tcW w:type="dxa" w:w="3437"/>
            <w:shd w:fill="EAF1F7"/>
            <w:vAlign w:val="center"/>
            <w:tcMar>
              <w:top w:w="70" w:type="dxa"/>
              <w:start w:w="90" w:type="dxa"/>
              <w:bottom w:w="70" w:type="dxa"/>
              <w:end w:w="90" w:type="dxa"/>
            </w:tcMar>
            <w:tcBorders>
              <w:bottom w:val="single" w:sz="3" w:color="D9E2EA"/>
            </w:tcBorders>
          </w:tcPr>
          <w:p>
            <w:pPr>
              <w:spacing w:after="0" w:before="0" w:line="252" w:lineRule="auto"/>
              <w:jc w:val="center"/>
              <w:bidi w:val="0"/>
            </w:pPr>
            <w:r>
              <w:rPr>
                <w:rFonts w:ascii="Noto Sans Arabic UI" w:hAnsi="Noto Sans Arabic UI" w:cs="Noto Sans Arabic UI" w:eastAsia="Noto Sans Arabic UI"/>
                <w:b/>
                <w:color w:val="16324F"/>
                <w:sz w:val="17"/>
              </w:rPr>
              <w:t>P2</w:t>
            </w:r>
          </w:p>
        </w:tc>
        <w:tc>
          <w:tcPr>
            <w:tcW w:type="dxa" w:w="3437"/>
            <w:vAlign w:val="center"/>
            <w:tcMar>
              <w:top w:w="70" w:type="dxa"/>
              <w:start w:w="90" w:type="dxa"/>
              <w:bottom w:w="70" w:type="dxa"/>
              <w:end w:w="90" w:type="dxa"/>
            </w:tcMar>
            <w:tcBorders>
              <w:bottom w:val="single" w:sz="3" w:color="D9E2EA"/>
            </w:tcBorders>
          </w:tcPr>
          <w:p>
            <w:pPr>
              <w:spacing w:after="0" w:before="0" w:line="252" w:lineRule="auto"/>
              <w:jc w:val="center"/>
              <w:bidi w:val="0"/>
            </w:pPr>
            <w:r>
              <w:rPr>
                <w:rFonts w:ascii="Noto Sans Arabic UI" w:hAnsi="Noto Sans Arabic UI" w:cs="Noto Sans Arabic UI" w:eastAsia="Noto Sans Arabic UI"/>
                <w:b/>
                <w:color w:val="16324F"/>
                <w:sz w:val="17"/>
              </w:rPr>
              <w:t>6</w:t>
            </w:r>
          </w:p>
        </w:tc>
        <w:tc>
          <w:tcPr>
            <w:tcW w:type="dxa" w:w="3437"/>
            <w:vAlign w:val="center"/>
            <w:tcMar>
              <w:top w:w="70" w:type="dxa"/>
              <w:start w:w="90" w:type="dxa"/>
              <w:bottom w:w="70" w:type="dxa"/>
              <w:end w:w="90" w:type="dxa"/>
            </w:tcMar>
            <w:tcBorders>
              <w:bottom w:val="single" w:sz="3" w:color="D9E2EA"/>
            </w:tcBorders>
          </w:tcPr>
          <w:p>
            <w:pPr>
              <w:spacing w:after="0" w:before="0" w:line="252" w:lineRule="auto"/>
              <w:jc w:val="right"/>
              <w:bidi w:val="1"/>
            </w:pPr>
            <w:r>
              <w:rPr>
                <w:rFonts w:ascii="Noto Sans Arabic UI" w:hAnsi="Noto Sans Arabic UI" w:cs="Noto Sans Arabic UI" w:eastAsia="Noto Sans Arabic UI"/>
                <w:b w:val="0"/>
                <w:color w:val="243746"/>
                <w:sz w:val="17"/>
              </w:rPr>
              <w:t>توثيق أساس Sampling لمتطلبات tubing وربطه بـ risk assessment / intended use عندما ينطبق Clause 5.7.</w:t>
            </w:r>
          </w:p>
        </w:tc>
      </w:tr>
    </w:tbl>
    <w:p>
      <w:pPr>
        <w:spacing w:after="60" w:before="240" w:line="276" w:lineRule="auto"/>
        <w:jc w:val="right"/>
        <w:bidi w:val="1"/>
      </w:pPr>
      <w:r>
        <w:rPr>
          <w:rFonts w:ascii="Noto Sans Arabic UI" w:hAnsi="Noto Sans Arabic UI" w:cs="Noto Sans Arabic UI" w:eastAsia="Noto Sans Arabic UI"/>
          <w:b/>
          <w:color w:val="16324F"/>
          <w:sz w:val="22"/>
        </w:rPr>
        <w:t>ملاحظة منهجية</w:t>
      </w:r>
    </w:p>
    <w:p>
      <w:pPr>
        <w:spacing w:after="160" w:before="0" w:line="276" w:lineRule="auto"/>
        <w:jc w:val="right"/>
        <w:bidi w:val="1"/>
      </w:pPr>
      <w:r>
        <w:rPr>
          <w:rFonts w:ascii="Noto Sans Arabic UI" w:hAnsi="Noto Sans Arabic UI" w:cs="Noto Sans Arabic UI" w:eastAsia="Noto Sans Arabic UI"/>
          <w:b w:val="0"/>
          <w:color w:val="243746"/>
          <w:sz w:val="18"/>
        </w:rPr>
        <w:t>ليس المقصود نسخ كل Annex من ISO داخل Production WI. الأفضل أن يكون الـWI مرتبطًا بمواصفة/طريقة اختبار مضبوطة تحدد Acceptance Criteria، Method، Sampling/Frequency، والـRecord الذي يثبت المطابقة. الاختبارات التي تتم عند المورد أو دوريًا يجب أن يكون لها Evidence controlled ومبرر واضح.</w:t>
      </w:r>
    </w:p>
    <w:tbl>
      <w:tblPr>
        <w:tblW w:type="auto" w:w="0"/>
        <w:jc w:val="center"/>
        <w:tblLayout w:type="autofit"/>
        <w:tblLook w:firstColumn="1" w:firstRow="1" w:lastColumn="0" w:lastRow="0" w:noHBand="0" w:noVBand="1" w:val="04A0"/>
      </w:tblPr>
      <w:tblGrid>
        <w:gridCol w:w="10312"/>
      </w:tblGrid>
      <w:tr>
        <w:tc>
          <w:tcPr>
            <w:tcW w:type="dxa" w:w="10312"/>
            <w:shd w:fill="16324F"/>
            <w:tcMar>
              <w:top w:w="110" w:type="dxa"/>
              <w:start w:w="160" w:type="dxa"/>
              <w:bottom w:w="110" w:type="dxa"/>
              <w:end w:w="160" w:type="dxa"/>
            </w:tcMar>
          </w:tcPr>
          <w:p>
            <w:pPr>
              <w:jc w:val="right"/>
              <w:bidi w:val="1"/>
            </w:pPr>
            <w:r>
              <w:rPr>
                <w:rFonts w:ascii="Noto Sans Arabic UI" w:hAnsi="Noto Sans Arabic UI" w:cs="Noto Sans Arabic UI" w:eastAsia="Noto Sans Arabic UI"/>
                <w:b/>
                <w:color w:val="FFFFFF"/>
                <w:sz w:val="26"/>
              </w:rPr>
              <w:t>المراجع المستخدمة</w:t>
            </w:r>
            <w:r>
              <w:rPr>
                <w:rFonts w:ascii="Noto Sans Arabic UI" w:hAnsi="Noto Sans Arabic UI" w:cs="Noto Sans Arabic UI" w:eastAsia="Noto Sans Arabic UI"/>
                <w:b w:val="0"/>
                <w:color w:val="DDE7F0"/>
                <w:sz w:val="18"/>
              </w:rPr>
              <w:t xml:space="preserve">  |  Source Traceability</w:t>
            </w:r>
          </w:p>
        </w:tc>
      </w:tr>
    </w:tbl>
    <w:p>
      <w:pPr>
        <w:spacing w:after="40"/>
      </w:pPr>
    </w:p>
    <w:tbl>
      <w:tblPr>
        <w:tblW w:type="auto" w:w="0"/>
        <w:jc w:val="center"/>
        <w:tblLayout w:type="fixed"/>
        <w:tblLook w:firstColumn="1" w:firstRow="1" w:lastColumn="0" w:lastRow="0" w:noHBand="0" w:noVBand="1" w:val="04A0"/>
      </w:tblPr>
      <w:tblGrid>
        <w:gridCol w:w="3437"/>
        <w:gridCol w:w="3437"/>
        <w:gridCol w:w="3437"/>
      </w:tblGrid>
      <w:tr>
        <w:tc>
          <w:tcPr>
            <w:tcW w:type="dxa" w:w="1871"/>
            <w:shd w:fill="16324F"/>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FFFFFF"/>
                <w:sz w:val="17"/>
              </w:rPr>
              <w:t>Source</w:t>
            </w:r>
          </w:p>
        </w:tc>
        <w:tc>
          <w:tcPr>
            <w:tcW w:type="dxa" w:w="5386"/>
            <w:shd w:fill="16324F"/>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FFFFFF"/>
                <w:sz w:val="17"/>
              </w:rPr>
              <w:t>Document</w:t>
            </w:r>
          </w:p>
        </w:tc>
        <w:tc>
          <w:tcPr>
            <w:tcW w:type="dxa" w:w="2551"/>
            <w:shd w:fill="16324F"/>
            <w:vAlign w:val="center"/>
            <w:tcMar>
              <w:top w:w="70" w:type="dxa"/>
              <w:start w:w="90" w:type="dxa"/>
              <w:bottom w:w="70" w:type="dxa"/>
              <w:end w:w="90" w:type="dxa"/>
            </w:tcMar>
          </w:tcPr>
          <w:p>
            <w:pPr>
              <w:spacing w:after="0" w:before="0" w:line="252" w:lineRule="auto"/>
              <w:jc w:val="center"/>
              <w:bidi w:val="0"/>
            </w:pPr>
            <w:r>
              <w:rPr>
                <w:rFonts w:ascii="Noto Sans Arabic UI" w:hAnsi="Noto Sans Arabic UI" w:cs="Noto Sans Arabic UI" w:eastAsia="Noto Sans Arabic UI"/>
                <w:b/>
                <w:color w:val="FFFFFF"/>
                <w:sz w:val="17"/>
              </w:rPr>
              <w:t>Pages used</w:t>
            </w:r>
          </w:p>
        </w:tc>
      </w:tr>
      <w:tr>
        <w:trPr>
          <w:cantSplit w:val="1"/>
        </w:trPr>
        <w:tc>
          <w:tcPr>
            <w:tcW w:type="dxa" w:w="3437"/>
            <w:vAlign w:val="center"/>
            <w:tcMar>
              <w:top w:w="70" w:type="dxa"/>
              <w:start w:w="90" w:type="dxa"/>
              <w:bottom w:w="70" w:type="dxa"/>
              <w:end w:w="90" w:type="dxa"/>
            </w:tcMar>
            <w:tcBorders>
              <w:bottom w:val="single" w:sz="3" w:color="D9E2EA"/>
            </w:tcBorders>
          </w:tcPr>
          <w:p>
            <w:pPr>
              <w:spacing w:after="0" w:before="0" w:line="252" w:lineRule="auto"/>
              <w:jc w:val="left"/>
              <w:bidi w:val="0"/>
            </w:pPr>
            <w:r>
              <w:rPr>
                <w:rFonts w:ascii="Noto Sans Arabic UI" w:hAnsi="Noto Sans Arabic UI" w:cs="Noto Sans Arabic UI" w:eastAsia="Noto Sans Arabic UI"/>
                <w:b w:val="0"/>
                <w:color w:val="243746"/>
                <w:sz w:val="16"/>
              </w:rPr>
              <w:t>ISO</w:t>
            </w:r>
          </w:p>
        </w:tc>
        <w:tc>
          <w:tcPr>
            <w:tcW w:type="dxa" w:w="3437"/>
            <w:vAlign w:val="center"/>
            <w:tcMar>
              <w:top w:w="70" w:type="dxa"/>
              <w:start w:w="90" w:type="dxa"/>
              <w:bottom w:w="70" w:type="dxa"/>
              <w:end w:w="90" w:type="dxa"/>
            </w:tcMar>
            <w:tcBorders>
              <w:bottom w:val="single" w:sz="3" w:color="D9E2EA"/>
            </w:tcBorders>
          </w:tcPr>
          <w:p>
            <w:pPr>
              <w:spacing w:after="0" w:before="0" w:line="252" w:lineRule="auto"/>
              <w:jc w:val="left"/>
              <w:bidi w:val="0"/>
            </w:pPr>
            <w:r>
              <w:rPr>
                <w:rFonts w:ascii="Noto Sans Arabic UI" w:hAnsi="Noto Sans Arabic UI" w:cs="Noto Sans Arabic UI" w:eastAsia="Noto Sans Arabic UI"/>
                <w:b w:val="0"/>
                <w:color w:val="243746"/>
                <w:sz w:val="16"/>
              </w:rPr>
              <w:t>ISO 9626:2016 — Stainless steel needle tubing for the manufacture of medical devices</w:t>
            </w:r>
          </w:p>
        </w:tc>
        <w:tc>
          <w:tcPr>
            <w:tcW w:type="dxa" w:w="3437"/>
            <w:vAlign w:val="center"/>
            <w:tcMar>
              <w:top w:w="70" w:type="dxa"/>
              <w:start w:w="90" w:type="dxa"/>
              <w:bottom w:w="70" w:type="dxa"/>
              <w:end w:w="90" w:type="dxa"/>
            </w:tcMar>
            <w:tcBorders>
              <w:bottom w:val="single" w:sz="3" w:color="D9E2EA"/>
            </w:tcBorders>
          </w:tcPr>
          <w:p>
            <w:pPr>
              <w:spacing w:after="0" w:before="0" w:line="252" w:lineRule="auto"/>
              <w:jc w:val="left"/>
              <w:bidi w:val="0"/>
            </w:pPr>
            <w:r>
              <w:rPr>
                <w:rFonts w:ascii="Noto Sans Arabic UI" w:hAnsi="Noto Sans Arabic UI" w:cs="Noto Sans Arabic UI" w:eastAsia="Noto Sans Arabic UI"/>
                <w:b w:val="0"/>
                <w:color w:val="243746"/>
                <w:sz w:val="16"/>
              </w:rPr>
              <w:t>PDF pp.8–19; especially Clauses 4, 5.2–5.10, Tables 1–2, Annex A–D</w:t>
            </w:r>
          </w:p>
        </w:tc>
      </w:tr>
      <w:tr>
        <w:trPr>
          <w:cantSplit w:val="1"/>
        </w:trPr>
        <w:tc>
          <w:tcPr>
            <w:tcW w:type="dxa" w:w="3437"/>
            <w:vAlign w:val="center"/>
            <w:tcMar>
              <w:top w:w="70" w:type="dxa"/>
              <w:start w:w="90" w:type="dxa"/>
              <w:bottom w:w="70" w:type="dxa"/>
              <w:end w:w="90" w:type="dxa"/>
            </w:tcMar>
            <w:tcBorders>
              <w:bottom w:val="single" w:sz="3" w:color="D9E2EA"/>
            </w:tcBorders>
          </w:tcPr>
          <w:p>
            <w:pPr>
              <w:spacing w:after="0" w:before="0" w:line="252" w:lineRule="auto"/>
              <w:jc w:val="left"/>
              <w:bidi w:val="0"/>
            </w:pPr>
            <w:r>
              <w:rPr>
                <w:rFonts w:ascii="Noto Sans Arabic UI" w:hAnsi="Noto Sans Arabic UI" w:cs="Noto Sans Arabic UI" w:eastAsia="Noto Sans Arabic UI"/>
                <w:b w:val="0"/>
                <w:color w:val="243746"/>
                <w:sz w:val="16"/>
              </w:rPr>
              <w:t>WI</w:t>
            </w:r>
          </w:p>
        </w:tc>
        <w:tc>
          <w:tcPr>
            <w:tcW w:type="dxa" w:w="3437"/>
            <w:vAlign w:val="center"/>
            <w:tcMar>
              <w:top w:w="70" w:type="dxa"/>
              <w:start w:w="90" w:type="dxa"/>
              <w:bottom w:w="70" w:type="dxa"/>
              <w:end w:w="90" w:type="dxa"/>
            </w:tcMar>
            <w:tcBorders>
              <w:bottom w:val="single" w:sz="3" w:color="D9E2EA"/>
            </w:tcBorders>
          </w:tcPr>
          <w:p>
            <w:pPr>
              <w:spacing w:after="0" w:before="0" w:line="252" w:lineRule="auto"/>
              <w:jc w:val="left"/>
              <w:bidi w:val="0"/>
            </w:pPr>
            <w:r>
              <w:rPr>
                <w:rFonts w:ascii="Noto Sans Arabic UI" w:hAnsi="Noto Sans Arabic UI" w:cs="Noto Sans Arabic UI" w:eastAsia="Noto Sans Arabic UI"/>
                <w:b w:val="0"/>
                <w:color w:val="243746"/>
                <w:sz w:val="16"/>
              </w:rPr>
              <w:t>WI-8-2-2-53 Rev.0 — Production &amp; Test Procedure for Semi Auto Biopsy Needle</w:t>
            </w:r>
          </w:p>
        </w:tc>
        <w:tc>
          <w:tcPr>
            <w:tcW w:type="dxa" w:w="3437"/>
            <w:vAlign w:val="center"/>
            <w:tcMar>
              <w:top w:w="70" w:type="dxa"/>
              <w:start w:w="90" w:type="dxa"/>
              <w:bottom w:w="70" w:type="dxa"/>
              <w:end w:w="90" w:type="dxa"/>
            </w:tcMar>
            <w:tcBorders>
              <w:bottom w:val="single" w:sz="3" w:color="D9E2EA"/>
            </w:tcBorders>
          </w:tcPr>
          <w:p>
            <w:pPr>
              <w:spacing w:after="0" w:before="0" w:line="252" w:lineRule="auto"/>
              <w:jc w:val="left"/>
              <w:bidi w:val="0"/>
            </w:pPr>
            <w:r>
              <w:rPr>
                <w:rFonts w:ascii="Noto Sans Arabic UI" w:hAnsi="Noto Sans Arabic UI" w:cs="Noto Sans Arabic UI" w:eastAsia="Noto Sans Arabic UI"/>
                <w:b w:val="0"/>
                <w:color w:val="243746"/>
                <w:sz w:val="16"/>
              </w:rPr>
              <w:t>WI pp.1–4</w:t>
            </w:r>
          </w:p>
        </w:tc>
      </w:tr>
      <w:tr>
        <w:trPr>
          <w:cantSplit w:val="1"/>
        </w:trPr>
        <w:tc>
          <w:tcPr>
            <w:tcW w:type="dxa" w:w="3437"/>
            <w:vAlign w:val="center"/>
            <w:tcMar>
              <w:top w:w="70" w:type="dxa"/>
              <w:start w:w="90" w:type="dxa"/>
              <w:bottom w:w="70" w:type="dxa"/>
              <w:end w:w="90" w:type="dxa"/>
            </w:tcMar>
            <w:tcBorders>
              <w:bottom w:val="single" w:sz="3" w:color="D9E2EA"/>
            </w:tcBorders>
          </w:tcPr>
          <w:p>
            <w:pPr>
              <w:spacing w:after="0" w:before="0" w:line="252" w:lineRule="auto"/>
              <w:jc w:val="left"/>
              <w:bidi w:val="0"/>
            </w:pPr>
            <w:r>
              <w:rPr>
                <w:rFonts w:ascii="Noto Sans Arabic UI" w:hAnsi="Noto Sans Arabic UI" w:cs="Noto Sans Arabic UI" w:eastAsia="Noto Sans Arabic UI"/>
                <w:b w:val="0"/>
                <w:color w:val="243746"/>
                <w:sz w:val="16"/>
              </w:rPr>
              <w:t>Inspection Report cross-check</w:t>
            </w:r>
          </w:p>
        </w:tc>
        <w:tc>
          <w:tcPr>
            <w:tcW w:type="dxa" w:w="3437"/>
            <w:vAlign w:val="center"/>
            <w:tcMar>
              <w:top w:w="70" w:type="dxa"/>
              <w:start w:w="90" w:type="dxa"/>
              <w:bottom w:w="70" w:type="dxa"/>
              <w:end w:w="90" w:type="dxa"/>
            </w:tcMar>
            <w:tcBorders>
              <w:bottom w:val="single" w:sz="3" w:color="D9E2EA"/>
            </w:tcBorders>
          </w:tcPr>
          <w:p>
            <w:pPr>
              <w:spacing w:after="0" w:before="0" w:line="252" w:lineRule="auto"/>
              <w:jc w:val="left"/>
              <w:bidi w:val="0"/>
            </w:pPr>
            <w:r>
              <w:rPr>
                <w:rFonts w:ascii="Noto Sans Arabic UI" w:hAnsi="Noto Sans Arabic UI" w:cs="Noto Sans Arabic UI" w:eastAsia="Noto Sans Arabic UI"/>
                <w:b w:val="0"/>
                <w:color w:val="243746"/>
                <w:sz w:val="16"/>
              </w:rPr>
              <w:t>F-823-T162 Rev.1 — Inspection &amp; Test Report for Biopsy Needle</w:t>
            </w:r>
          </w:p>
        </w:tc>
        <w:tc>
          <w:tcPr>
            <w:tcW w:type="dxa" w:w="3437"/>
            <w:vAlign w:val="center"/>
            <w:tcMar>
              <w:top w:w="70" w:type="dxa"/>
              <w:start w:w="90" w:type="dxa"/>
              <w:bottom w:w="70" w:type="dxa"/>
              <w:end w:w="90" w:type="dxa"/>
            </w:tcMar>
            <w:tcBorders>
              <w:bottom w:val="single" w:sz="3" w:color="D9E2EA"/>
            </w:tcBorders>
          </w:tcPr>
          <w:p>
            <w:pPr>
              <w:spacing w:after="0" w:before="0" w:line="252" w:lineRule="auto"/>
              <w:jc w:val="left"/>
              <w:bidi w:val="0"/>
            </w:pPr>
            <w:r>
              <w:rPr>
                <w:rFonts w:ascii="Noto Sans Arabic UI" w:hAnsi="Noto Sans Arabic UI" w:cs="Noto Sans Arabic UI" w:eastAsia="Noto Sans Arabic UI"/>
                <w:b w:val="0"/>
                <w:color w:val="243746"/>
                <w:sz w:val="16"/>
              </w:rPr>
              <w:t>Prior QC gap analysis, pp.8–9</w:t>
            </w:r>
          </w:p>
        </w:tc>
      </w:tr>
    </w:tbl>
    <w:p>
      <w:pPr>
        <w:spacing w:before="320"/>
        <w:jc w:val="center"/>
      </w:pPr>
      <w:r>
        <w:rPr>
          <w:rFonts w:ascii="Noto Sans Arabic UI" w:hAnsi="Noto Sans Arabic UI" w:cs="Noto Sans Arabic UI" w:eastAsia="Noto Sans Arabic UI"/>
          <w:b/>
          <w:color w:val="667085"/>
          <w:sz w:val="16"/>
        </w:rPr>
        <w:t>End of Report</w:t>
      </w:r>
    </w:p>
    <w:sectPr w:rsidR="00FC693F" w:rsidRPr="0006063C" w:rsidSect="00034616">
      <w:headerReference w:type="default" r:id="rId9"/>
      <w:footerReference w:type="default" r:id="rId10"/>
      <w:pgSz w:w="12240" w:h="15840"/>
      <w:pgMar w:top="1020"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UI" w:hAnsi="Noto Sans Arabic UI" w:cs="Noto Sans Arabic UI" w:eastAsia="Noto Sans Arabic UI"/>
        <w:b w:val="0"/>
        <w:color w:val="667085"/>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961"/>
      <w:gridCol w:w="4961"/>
    </w:tblGrid>
    <w:tr>
      <w:tc>
        <w:tcPr>
          <w:tcW w:type="dxa" w:w="4961"/>
          <w:vAlign w:val="center"/>
          <w:tcMar>
            <w:top w:w="70" w:type="dxa"/>
            <w:start w:w="90" w:type="dxa"/>
            <w:bottom w:w="70" w:type="dxa"/>
            <w:end w:w="90" w:type="dxa"/>
          </w:tcMar>
          <w:tcBorders>
            <w:bottom w:val="single" w:sz="8" w:color="D9E2EA"/>
          </w:tcBorders>
        </w:tcPr>
        <w:p>
          <w:pPr>
            <w:spacing w:after="0" w:before="0" w:line="252" w:lineRule="auto"/>
            <w:jc w:val="left"/>
            <w:bidi w:val="0"/>
          </w:pPr>
          <w:r>
            <w:rPr>
              <w:rFonts w:ascii="Noto Sans Arabic UI" w:hAnsi="Noto Sans Arabic UI" w:cs="Noto Sans Arabic UI" w:eastAsia="Noto Sans Arabic UI"/>
              <w:b/>
              <w:color w:val="0F7C7B"/>
              <w:sz w:val="16"/>
            </w:rPr>
            <w:t>QC Compliance | Gap Analysis</w:t>
          </w:r>
        </w:p>
      </w:tc>
      <w:tc>
        <w:tcPr>
          <w:tcW w:type="dxa" w:w="4961"/>
          <w:vAlign w:val="center"/>
          <w:tcMar>
            <w:top w:w="70" w:type="dxa"/>
            <w:start w:w="90" w:type="dxa"/>
            <w:bottom w:w="70" w:type="dxa"/>
            <w:end w:w="90" w:type="dxa"/>
          </w:tcMar>
          <w:tcBorders>
            <w:bottom w:val="single" w:sz="8" w:color="D9E2EA"/>
          </w:tcBorders>
        </w:tcPr>
        <w:p>
          <w:pPr>
            <w:spacing w:after="0" w:before="0" w:line="252" w:lineRule="auto"/>
            <w:jc w:val="right"/>
            <w:bidi w:val="0"/>
          </w:pPr>
          <w:r>
            <w:rPr>
              <w:rFonts w:ascii="Noto Sans Arabic UI" w:hAnsi="Noto Sans Arabic UI" w:cs="Noto Sans Arabic UI" w:eastAsia="Noto Sans Arabic UI"/>
              <w:b/>
              <w:color w:val="667085"/>
              <w:sz w:val="16"/>
            </w:rPr>
            <w:t>Semi Auto Biopsy Needle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Noto Sans Arabic UI" w:hAnsi="Noto Sans Arabic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 Auto Biopsy Needle — ISO 9626:2016 Gap Analysis</dc:title>
  <dc:subject>QC Compliance Gap Analysis</dc:subject>
  <dc:creator>QC Compliance</dc:creator>
  <cp:keywords>ISO 9626, Semi Auto Biopsy Needle, QC, Gap Analysis</cp:keywords>
  <dc:description>generated by python-docx</dc:description>
  <cp:lastModifiedBy/>
  <cp:revision>1</cp:revision>
  <dcterms:created xsi:type="dcterms:W3CDTF">2013-12-23T23:15:00Z</dcterms:created>
  <dcterms:modified xsi:type="dcterms:W3CDTF">2013-12-23T23:15:00Z</dcterms:modified>
  <cp:category/>
</cp:coreProperties>
</file>