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ISO / Technical Closure Register</w:t>
      </w:r>
    </w:p>
    <w:p>
      <w:r>
        <w:rPr>
          <w:color w:val="126B76"/>
          <w:sz w:val="30"/>
        </w:rPr>
        <w:t>Requirements &amp; Evidence • In-Process Control Scope</w:t>
      </w:r>
    </w:p>
    <w:p>
      <w:r>
        <w:t>────────────────────────────────────────────────────</w:t>
      </w:r>
    </w:p>
    <w:tbl>
      <w:tblPr>
        <w:tblStyle w:val="LightShading-Accent1"/>
        <w:tblW w:type="auto" w:w="0"/>
        <w:tblLook w:firstColumn="1" w:firstRow="1" w:lastColumn="0" w:lastRow="0" w:noHBand="0" w:noVBand="1" w:val="04A0"/>
      </w:tblPr>
      <w:tblGrid>
        <w:gridCol w:w="11160"/>
        <w:gridCol w:w="11160"/>
      </w:tblGrid>
      <w:tr>
        <w:tc>
          <w:tcPr>
            <w:tcW w:type="dxa" w:w="11160"/>
            <w:vAlign w:val="top"/>
            <w:tcMar>
              <w:top w:w="100" w:type="dxa"/>
              <w:start w:w="95" w:type="dxa"/>
              <w:bottom w:w="100" w:type="dxa"/>
              <w:end w:w="95" w:type="dxa"/>
            </w:tcMar>
          </w:tcPr>
          <w:p>
            <w:pPr>
              <w:spacing w:after="20"/>
            </w:pPr>
            <w:r>
              <w:rPr>
                <w:b w:val="0"/>
                <w:color w:val="253344"/>
                <w:sz w:val="18"/>
              </w:rPr>
              <w:t>DOCUMENT ID</w:t>
            </w:r>
          </w:p>
        </w:tc>
        <w:tc>
          <w:tcPr>
            <w:tcW w:type="dxa" w:w="11160"/>
            <w:vAlign w:val="top"/>
            <w:tcMar>
              <w:top w:w="100" w:type="dxa"/>
              <w:start w:w="95" w:type="dxa"/>
              <w:bottom w:w="100" w:type="dxa"/>
              <w:end w:w="95" w:type="dxa"/>
            </w:tcMar>
          </w:tcPr>
          <w:p>
            <w:pPr>
              <w:spacing w:after="20"/>
            </w:pPr>
            <w:r>
              <w:rPr>
                <w:b w:val="0"/>
                <w:color w:val="253344"/>
                <w:sz w:val="18"/>
              </w:rPr>
              <w:t>DRAFT-M52-ISO-CLOSURE</w:t>
            </w:r>
          </w:p>
        </w:tc>
      </w:tr>
      <w:tr>
        <w:tc>
          <w:tcPr>
            <w:tcW w:type="dxa" w:w="11160"/>
            <w:vAlign w:val="top"/>
            <w:tcMar>
              <w:top w:w="100" w:type="dxa"/>
              <w:start w:w="95" w:type="dxa"/>
              <w:bottom w:w="100" w:type="dxa"/>
              <w:end w:w="95" w:type="dxa"/>
            </w:tcMar>
          </w:tcPr>
          <w:p>
            <w:pPr>
              <w:spacing w:after="20"/>
            </w:pPr>
            <w:r>
              <w:rPr>
                <w:b w:val="0"/>
                <w:color w:val="253344"/>
                <w:sz w:val="18"/>
              </w:rPr>
              <w:t>PRODUCT</w:t>
            </w:r>
          </w:p>
        </w:tc>
        <w:tc>
          <w:tcPr>
            <w:tcW w:type="dxa" w:w="11160"/>
            <w:vAlign w:val="top"/>
            <w:tcMar>
              <w:top w:w="100" w:type="dxa"/>
              <w:start w:w="95" w:type="dxa"/>
              <w:bottom w:w="100" w:type="dxa"/>
              <w:end w:w="95" w:type="dxa"/>
            </w:tcMar>
          </w:tcPr>
          <w:p>
            <w:pPr>
              <w:spacing w:after="20"/>
            </w:pPr>
            <w:r>
              <w:rPr>
                <w:b w:val="0"/>
                <w:color w:val="253344"/>
                <w:sz w:val="18"/>
              </w:rPr>
              <w:t>Silicone Peritoneal Catheter / Peritoneal Catheter Kit</w:t>
            </w:r>
          </w:p>
        </w:tc>
      </w:tr>
      <w:tr>
        <w:tc>
          <w:tcPr>
            <w:tcW w:type="dxa" w:w="11160"/>
            <w:vAlign w:val="top"/>
            <w:tcMar>
              <w:top w:w="100" w:type="dxa"/>
              <w:start w:w="95" w:type="dxa"/>
              <w:bottom w:w="100" w:type="dxa"/>
              <w:end w:w="95" w:type="dxa"/>
            </w:tcMar>
          </w:tcPr>
          <w:p>
            <w:pPr>
              <w:spacing w:after="20"/>
            </w:pPr>
            <w:r>
              <w:rPr>
                <w:b w:val="0"/>
                <w:color w:val="253344"/>
                <w:sz w:val="18"/>
              </w:rPr>
              <w:t>ASSESSMENT DATE</w:t>
            </w:r>
          </w:p>
        </w:tc>
        <w:tc>
          <w:tcPr>
            <w:tcW w:type="dxa" w:w="11160"/>
            <w:vAlign w:val="top"/>
            <w:tcMar>
              <w:top w:w="100" w:type="dxa"/>
              <w:start w:w="95" w:type="dxa"/>
              <w:bottom w:w="100" w:type="dxa"/>
              <w:end w:w="95" w:type="dxa"/>
            </w:tcMar>
          </w:tcPr>
          <w:p>
            <w:pPr>
              <w:spacing w:after="20"/>
            </w:pPr>
            <w:r>
              <w:rPr>
                <w:b w:val="0"/>
                <w:color w:val="253344"/>
                <w:sz w:val="18"/>
              </w:rPr>
              <w:t>27 October 2026</w:t>
            </w:r>
          </w:p>
        </w:tc>
      </w:tr>
      <w:tr>
        <w:tc>
          <w:tcPr>
            <w:tcW w:type="dxa" w:w="11160"/>
            <w:vAlign w:val="top"/>
            <w:tcMar>
              <w:top w:w="100" w:type="dxa"/>
              <w:start w:w="95" w:type="dxa"/>
              <w:bottom w:w="100" w:type="dxa"/>
              <w:end w:w="95" w:type="dxa"/>
            </w:tcMar>
          </w:tcPr>
          <w:p>
            <w:pPr>
              <w:spacing w:after="20"/>
            </w:pPr>
            <w:r>
              <w:rPr>
                <w:b w:val="0"/>
                <w:color w:val="253344"/>
                <w:sz w:val="18"/>
              </w:rPr>
              <w:t>SOURCE WI</w:t>
            </w:r>
          </w:p>
        </w:tc>
        <w:tc>
          <w:tcPr>
            <w:tcW w:type="dxa" w:w="11160"/>
            <w:vAlign w:val="top"/>
            <w:tcMar>
              <w:top w:w="100" w:type="dxa"/>
              <w:start w:w="95" w:type="dxa"/>
              <w:bottom w:w="100" w:type="dxa"/>
              <w:end w:w="95" w:type="dxa"/>
            </w:tcMar>
          </w:tcPr>
          <w:p>
            <w:pPr>
              <w:spacing w:after="20"/>
            </w:pPr>
            <w:r>
              <w:rPr>
                <w:b w:val="0"/>
                <w:color w:val="253344"/>
                <w:sz w:val="18"/>
              </w:rPr>
              <w:t>WI-8-2-2-52-1 Rev.0 (02.10.2025)</w:t>
            </w:r>
          </w:p>
        </w:tc>
      </w:tr>
      <w:tr>
        <w:tc>
          <w:tcPr>
            <w:tcW w:type="dxa" w:w="11160"/>
            <w:vAlign w:val="top"/>
            <w:tcMar>
              <w:top w:w="100" w:type="dxa"/>
              <w:start w:w="95" w:type="dxa"/>
              <w:bottom w:w="100" w:type="dxa"/>
              <w:end w:w="95" w:type="dxa"/>
            </w:tcMar>
          </w:tcPr>
          <w:p>
            <w:pPr>
              <w:spacing w:after="20"/>
            </w:pPr>
            <w:r>
              <w:rPr>
                <w:b w:val="0"/>
                <w:color w:val="253344"/>
                <w:sz w:val="18"/>
              </w:rPr>
              <w:t>SOURCE IN-PROCESS RECORD</w:t>
            </w:r>
          </w:p>
        </w:tc>
        <w:tc>
          <w:tcPr>
            <w:tcW w:type="dxa" w:w="11160"/>
            <w:vAlign w:val="top"/>
            <w:tcMar>
              <w:top w:w="100" w:type="dxa"/>
              <w:start w:w="95" w:type="dxa"/>
              <w:bottom w:w="100" w:type="dxa"/>
              <w:end w:w="95" w:type="dxa"/>
            </w:tcMar>
          </w:tcPr>
          <w:p>
            <w:pPr>
              <w:spacing w:after="20"/>
            </w:pPr>
            <w:r>
              <w:rPr>
                <w:b w:val="0"/>
                <w:color w:val="253344"/>
                <w:sz w:val="18"/>
              </w:rPr>
              <w:t>F-823-i99 Rev.7 (11.01.2026)</w:t>
            </w:r>
          </w:p>
        </w:tc>
      </w:tr>
      <w:tr>
        <w:tc>
          <w:tcPr>
            <w:tcW w:type="dxa" w:w="11160"/>
            <w:vAlign w:val="top"/>
            <w:tcMar>
              <w:top w:w="100" w:type="dxa"/>
              <w:start w:w="95" w:type="dxa"/>
              <w:bottom w:w="100" w:type="dxa"/>
              <w:end w:w="95" w:type="dxa"/>
            </w:tcMar>
          </w:tcPr>
          <w:p>
            <w:pPr>
              <w:spacing w:after="20"/>
            </w:pPr>
            <w:r>
              <w:rPr>
                <w:b w:val="0"/>
                <w:color w:val="253344"/>
                <w:sz w:val="18"/>
              </w:rPr>
              <w:t>DRAFT STATUS</w:t>
            </w:r>
          </w:p>
        </w:tc>
        <w:tc>
          <w:tcPr>
            <w:tcW w:type="dxa" w:w="11160"/>
            <w:vAlign w:val="top"/>
            <w:tcMar>
              <w:top w:w="100" w:type="dxa"/>
              <w:start w:w="95" w:type="dxa"/>
              <w:bottom w:w="100" w:type="dxa"/>
              <w:end w:w="95" w:type="dxa"/>
            </w:tcMar>
          </w:tcPr>
          <w:p>
            <w:pPr>
              <w:spacing w:after="20"/>
            </w:pPr>
            <w:r>
              <w:rPr>
                <w:b w:val="0"/>
                <w:color w:val="253344"/>
                <w:sz w:val="18"/>
              </w:rPr>
              <w:t>PROPOSED • NOT APPROVED • DO NOT USE FOR LOT RELEASE</w:t>
            </w:r>
          </w:p>
        </w:tc>
      </w:tr>
      <w:tr>
        <w:tc>
          <w:tcPr>
            <w:tcW w:type="dxa" w:w="11160"/>
            <w:vAlign w:val="top"/>
            <w:tcMar>
              <w:top w:w="100" w:type="dxa"/>
              <w:start w:w="95" w:type="dxa"/>
              <w:bottom w:w="100" w:type="dxa"/>
              <w:end w:w="95" w:type="dxa"/>
            </w:tcMar>
          </w:tcPr>
          <w:p>
            <w:pPr>
              <w:spacing w:after="20"/>
            </w:pPr>
            <w:r>
              <w:rPr>
                <w:b w:val="0"/>
                <w:color w:val="253344"/>
                <w:sz w:val="18"/>
              </w:rPr>
              <w:t>ASSESSMENT BASIS</w:t>
            </w:r>
          </w:p>
        </w:tc>
        <w:tc>
          <w:tcPr>
            <w:tcW w:type="dxa" w:w="11160"/>
            <w:vAlign w:val="top"/>
            <w:tcMar>
              <w:top w:w="100" w:type="dxa"/>
              <w:start w:w="95" w:type="dxa"/>
              <w:bottom w:w="100" w:type="dxa"/>
              <w:end w:w="95" w:type="dxa"/>
            </w:tcMar>
          </w:tcPr>
          <w:p>
            <w:pPr>
              <w:spacing w:after="20"/>
            </w:pPr>
            <w:r>
              <w:rPr>
                <w:b w:val="0"/>
                <w:color w:val="253344"/>
                <w:sz w:val="18"/>
              </w:rPr>
              <w:t>27 screened requirement groups / process controls</w:t>
            </w:r>
          </w:p>
        </w:tc>
      </w:tr>
      <w:tr>
        <w:tc>
          <w:tcPr>
            <w:tcW w:type="dxa" w:w="11160"/>
            <w:vAlign w:val="top"/>
            <w:tcMar>
              <w:top w:w="100" w:type="dxa"/>
              <w:start w:w="95" w:type="dxa"/>
              <w:bottom w:w="100" w:type="dxa"/>
              <w:end w:w="95" w:type="dxa"/>
            </w:tcMar>
          </w:tcPr>
          <w:p>
            <w:pPr>
              <w:spacing w:after="20"/>
            </w:pPr>
            <w:r>
              <w:rPr>
                <w:b w:val="0"/>
                <w:color w:val="253344"/>
                <w:sz w:val="18"/>
              </w:rPr>
              <w:t>CLOSED WITH VERIFIED EVIDENCE</w:t>
            </w:r>
          </w:p>
        </w:tc>
        <w:tc>
          <w:tcPr>
            <w:tcW w:type="dxa" w:w="11160"/>
            <w:vAlign w:val="top"/>
            <w:tcMar>
              <w:top w:w="100" w:type="dxa"/>
              <w:start w:w="95" w:type="dxa"/>
              <w:bottom w:w="100" w:type="dxa"/>
              <w:end w:w="95" w:type="dxa"/>
            </w:tcMar>
          </w:tcPr>
          <w:p>
            <w:pPr>
              <w:spacing w:after="20"/>
            </w:pPr>
            <w:r>
              <w:rPr>
                <w:b w:val="0"/>
                <w:color w:val="253344"/>
                <w:sz w:val="18"/>
              </w:rPr>
              <w:t>0</w:t>
            </w:r>
          </w:p>
        </w:tc>
      </w:tr>
      <w:tr>
        <w:tc>
          <w:tcPr>
            <w:tcW w:type="dxa" w:w="11160"/>
            <w:vAlign w:val="top"/>
            <w:tcMar>
              <w:top w:w="100" w:type="dxa"/>
              <w:start w:w="95" w:type="dxa"/>
              <w:bottom w:w="100" w:type="dxa"/>
              <w:end w:w="95" w:type="dxa"/>
            </w:tcMar>
          </w:tcPr>
          <w:p>
            <w:pPr>
              <w:spacing w:after="20"/>
            </w:pPr>
            <w:r>
              <w:rPr>
                <w:b w:val="0"/>
                <w:color w:val="253344"/>
                <w:sz w:val="18"/>
              </w:rPr>
              <w:t>APPROVAL STATUS</w:t>
            </w:r>
          </w:p>
        </w:tc>
        <w:tc>
          <w:tcPr>
            <w:tcW w:type="dxa" w:w="11160"/>
            <w:vAlign w:val="top"/>
            <w:tcMar>
              <w:top w:w="100" w:type="dxa"/>
              <w:start w:w="95" w:type="dxa"/>
              <w:bottom w:w="100" w:type="dxa"/>
              <w:end w:w="95" w:type="dxa"/>
            </w:tcMar>
          </w:tcPr>
          <w:p>
            <w:pPr>
              <w:spacing w:after="20"/>
            </w:pPr>
            <w:r>
              <w:rPr>
                <w:b w:val="0"/>
                <w:color w:val="253344"/>
                <w:sz w:val="18"/>
              </w:rPr>
              <w:t>All controls open pending controlled decisions and executed evidence</w:t>
            </w:r>
          </w:p>
        </w:tc>
      </w:tr>
    </w:tbl>
    <w:p>
      <w:r>
        <w:t>Source documents remain unchanged. No operational test results, technical approvals or effective revisions are asserted.</w:t>
      </w:r>
    </w:p>
    <w:p>
      <w:r>
        <w:br w:type="page"/>
      </w:r>
    </w:p>
    <w:p>
      <w:pPr>
        <w:pStyle w:val="Heading1"/>
      </w:pPr>
      <w:r>
        <w:t>1  How to Read the Register</w:t>
      </w:r>
    </w:p>
    <w:p>
      <w:r>
        <w:t>“Covered in draft” means the proposal has wording or a field, not that it has been released or carried out. The existing documents and product standards do not by themselves prove any result. ISO 20697 entries are conditional on formally approved product/intended-use applicability; ISO 80369-6 and ISO 8536-4 are initially not applied without specific technical justification. Status N/A requires authorized evidence-based justification, not omission.</w:t>
      </w:r>
    </w:p>
    <w:p>
      <w:pPr>
        <w:pStyle w:val="Heading1"/>
      </w:pPr>
      <w:r>
        <w:t>2  Requirement Coverage &amp; Objective Evidence</w:t>
      </w:r>
    </w:p>
    <w:tbl>
      <w:tblPr>
        <w:tblStyle w:val="TableGrid"/>
        <w:tblW w:type="auto" w:w="0"/>
        <w:jc w:val="center"/>
        <w:tblLayout w:type="fixed"/>
        <w:tblLook w:firstColumn="1" w:firstRow="1" w:lastColumn="0" w:lastRow="0" w:noHBand="0" w:noVBand="1" w:val="04A0"/>
      </w:tblPr>
      <w:tblGrid>
        <w:gridCol w:w="2480"/>
        <w:gridCol w:w="2480"/>
        <w:gridCol w:w="2480"/>
        <w:gridCol w:w="2480"/>
        <w:gridCol w:w="2480"/>
        <w:gridCol w:w="2480"/>
        <w:gridCol w:w="2480"/>
        <w:gridCol w:w="2480"/>
        <w:gridCol w:w="2480"/>
      </w:tblGrid>
      <w:tr>
        <w:trPr>
          <w:tblHeader w:val="true"/>
          <w:cantSplit/>
        </w:trPr>
        <w:tc>
          <w:tcPr>
            <w:tcW w:type="dxa" w:w="1584"/>
            <w:shd w:fill="14283F"/>
            <w:vAlign w:val="top"/>
            <w:tcMar>
              <w:top w:w="100" w:type="dxa"/>
              <w:start w:w="95" w:type="dxa"/>
              <w:bottom w:w="100" w:type="dxa"/>
              <w:end w:w="95" w:type="dxa"/>
            </w:tcMar>
          </w:tcPr>
          <w:p>
            <w:pPr>
              <w:spacing w:after="20"/>
            </w:pPr>
            <w:r>
              <w:rPr>
                <w:b/>
                <w:color w:val="FFFFFF"/>
                <w:sz w:val="15"/>
              </w:rPr>
              <w:t>ID</w:t>
            </w:r>
          </w:p>
        </w:tc>
        <w:tc>
          <w:tcPr>
            <w:tcW w:type="dxa" w:w="3024"/>
            <w:shd w:fill="14283F"/>
            <w:vAlign w:val="top"/>
            <w:tcMar>
              <w:top w:w="100" w:type="dxa"/>
              <w:start w:w="95" w:type="dxa"/>
              <w:bottom w:w="100" w:type="dxa"/>
              <w:end w:w="95" w:type="dxa"/>
            </w:tcMar>
          </w:tcPr>
          <w:p>
            <w:pPr>
              <w:spacing w:after="20"/>
            </w:pPr>
            <w:r>
              <w:rPr>
                <w:b/>
                <w:color w:val="FFFFFF"/>
                <w:sz w:val="15"/>
              </w:rPr>
              <w:t>ISO / ref</w:t>
            </w:r>
          </w:p>
        </w:tc>
        <w:tc>
          <w:tcPr>
            <w:tcW w:type="dxa" w:w="3528"/>
            <w:shd w:fill="14283F"/>
            <w:vAlign w:val="top"/>
            <w:tcMar>
              <w:top w:w="100" w:type="dxa"/>
              <w:start w:w="95" w:type="dxa"/>
              <w:bottom w:w="100" w:type="dxa"/>
              <w:end w:w="95" w:type="dxa"/>
            </w:tcMar>
          </w:tcPr>
          <w:p>
            <w:pPr>
              <w:spacing w:after="20"/>
            </w:pPr>
            <w:r>
              <w:rPr>
                <w:b/>
                <w:color w:val="FFFFFF"/>
                <w:sz w:val="15"/>
              </w:rPr>
              <w:t>ISO says / assessed requirement</w:t>
            </w:r>
          </w:p>
        </w:tc>
        <w:tc>
          <w:tcPr>
            <w:tcW w:type="dxa" w:w="2160"/>
            <w:shd w:fill="14283F"/>
            <w:vAlign w:val="top"/>
            <w:tcMar>
              <w:top w:w="100" w:type="dxa"/>
              <w:start w:w="95" w:type="dxa"/>
              <w:bottom w:w="100" w:type="dxa"/>
              <w:end w:w="95" w:type="dxa"/>
            </w:tcMar>
          </w:tcPr>
          <w:p>
            <w:pPr>
              <w:spacing w:after="20"/>
            </w:pPr>
            <w:r>
              <w:rPr>
                <w:b/>
                <w:color w:val="FFFFFF"/>
                <w:sz w:val="15"/>
              </w:rPr>
              <w:t>Related gap</w:t>
            </w:r>
          </w:p>
        </w:tc>
        <w:tc>
          <w:tcPr>
            <w:tcW w:type="dxa" w:w="4320"/>
            <w:shd w:fill="14283F"/>
            <w:vAlign w:val="top"/>
            <w:tcMar>
              <w:top w:w="100" w:type="dxa"/>
              <w:start w:w="95" w:type="dxa"/>
              <w:bottom w:w="100" w:type="dxa"/>
              <w:end w:w="95" w:type="dxa"/>
            </w:tcMar>
          </w:tcPr>
          <w:p>
            <w:pPr>
              <w:spacing w:after="20"/>
            </w:pPr>
            <w:r>
              <w:rPr>
                <w:b/>
                <w:color w:val="FFFFFF"/>
                <w:sz w:val="15"/>
              </w:rPr>
              <w:t>Required evidence</w:t>
            </w:r>
          </w:p>
        </w:tc>
        <w:tc>
          <w:tcPr>
            <w:tcW w:type="dxa" w:w="2592"/>
            <w:shd w:fill="14283F"/>
            <w:vAlign w:val="top"/>
            <w:tcMar>
              <w:top w:w="100" w:type="dxa"/>
              <w:start w:w="95" w:type="dxa"/>
              <w:bottom w:w="100" w:type="dxa"/>
              <w:end w:w="95" w:type="dxa"/>
            </w:tcMar>
          </w:tcPr>
          <w:p>
            <w:pPr>
              <w:spacing w:after="20"/>
            </w:pPr>
            <w:r>
              <w:rPr>
                <w:b/>
                <w:color w:val="FFFFFF"/>
                <w:sz w:val="15"/>
              </w:rPr>
              <w:t>Verified available evidence</w:t>
            </w:r>
          </w:p>
        </w:tc>
        <w:tc>
          <w:tcPr>
            <w:tcW w:type="dxa" w:w="2016"/>
            <w:shd w:fill="14283F"/>
            <w:vAlign w:val="top"/>
            <w:tcMar>
              <w:top w:w="100" w:type="dxa"/>
              <w:start w:w="95" w:type="dxa"/>
              <w:bottom w:w="100" w:type="dxa"/>
              <w:end w:w="95" w:type="dxa"/>
            </w:tcMar>
          </w:tcPr>
          <w:p>
            <w:pPr>
              <w:spacing w:after="20"/>
            </w:pPr>
            <w:r>
              <w:rPr>
                <w:b/>
                <w:color w:val="FFFFFF"/>
                <w:sz w:val="15"/>
              </w:rPr>
              <w:t>Documentary coverage</w:t>
            </w:r>
          </w:p>
        </w:tc>
        <w:tc>
          <w:tcPr>
            <w:tcW w:type="dxa" w:w="2376"/>
            <w:shd w:fill="14283F"/>
            <w:vAlign w:val="top"/>
            <w:tcMar>
              <w:top w:w="100" w:type="dxa"/>
              <w:start w:w="95" w:type="dxa"/>
              <w:bottom w:w="100" w:type="dxa"/>
              <w:end w:w="95" w:type="dxa"/>
            </w:tcMar>
          </w:tcPr>
          <w:p>
            <w:pPr>
              <w:spacing w:after="20"/>
            </w:pPr>
            <w:r>
              <w:rPr>
                <w:b/>
                <w:color w:val="FFFFFF"/>
                <w:sz w:val="15"/>
              </w:rPr>
              <w:t>Operational status</w:t>
            </w:r>
          </w:p>
        </w:tc>
        <w:tc>
          <w:tcPr>
            <w:tcW w:type="dxa" w:w="2016"/>
            <w:shd w:fill="14283F"/>
            <w:vAlign w:val="top"/>
            <w:tcMar>
              <w:top w:w="100" w:type="dxa"/>
              <w:start w:w="95" w:type="dxa"/>
              <w:bottom w:w="100" w:type="dxa"/>
              <w:end w:w="95" w:type="dxa"/>
            </w:tcMar>
          </w:tcPr>
          <w:p>
            <w:pPr>
              <w:spacing w:after="20"/>
            </w:pPr>
            <w:r>
              <w:rPr>
                <w:b/>
                <w:color w:val="FFFFFF"/>
                <w:sz w:val="15"/>
              </w:rPr>
              <w:t>Open action</w:t>
            </w:r>
          </w:p>
        </w:tc>
      </w:tr>
      <w:tr>
        <w:trPr>
          <w:cantSplit/>
        </w:trPr>
        <w:tc>
          <w:tcPr>
            <w:tcW w:type="dxa" w:w="1584"/>
            <w:vAlign w:val="top"/>
            <w:tcMar>
              <w:top w:w="100" w:type="dxa"/>
              <w:start w:w="95" w:type="dxa"/>
              <w:bottom w:w="100" w:type="dxa"/>
              <w:end w:w="95" w:type="dxa"/>
            </w:tcMar>
          </w:tcPr>
          <w:p>
            <w:pPr>
              <w:spacing w:after="20"/>
            </w:pPr>
            <w:r>
              <w:rPr>
                <w:b/>
                <w:color w:val="1B4567"/>
                <w:sz w:val="15"/>
              </w:rPr>
              <w:t>REQ-001</w:t>
            </w:r>
          </w:p>
        </w:tc>
        <w:tc>
          <w:tcPr>
            <w:tcW w:type="dxa" w:w="3024"/>
            <w:vAlign w:val="top"/>
            <w:tcMar>
              <w:top w:w="100" w:type="dxa"/>
              <w:start w:w="95" w:type="dxa"/>
              <w:bottom w:w="100" w:type="dxa"/>
              <w:end w:w="95" w:type="dxa"/>
            </w:tcMar>
          </w:tcPr>
          <w:p>
            <w:pPr>
              <w:spacing w:after="20"/>
            </w:pPr>
            <w:r>
              <w:rPr>
                <w:b w:val="0"/>
                <w:color w:val="253344"/>
                <w:sz w:val="15"/>
              </w:rPr>
              <w:t>ISO 20697 §1</w:t>
            </w:r>
          </w:p>
        </w:tc>
        <w:tc>
          <w:tcPr>
            <w:tcW w:type="dxa" w:w="3528"/>
            <w:vAlign w:val="top"/>
            <w:tcMar>
              <w:top w:w="100" w:type="dxa"/>
              <w:start w:w="95" w:type="dxa"/>
              <w:bottom w:w="100" w:type="dxa"/>
              <w:end w:w="95" w:type="dxa"/>
            </w:tcMar>
          </w:tcPr>
          <w:p>
            <w:pPr>
              <w:spacing w:after="20"/>
            </w:pPr>
            <w:r>
              <w:rPr>
                <w:b w:val="0"/>
                <w:color w:val="253344"/>
                <w:sz w:val="15"/>
              </w:rPr>
              <w:t>Intended-use applicability to peritoneal dialysis catheter</w:t>
            </w:r>
          </w:p>
        </w:tc>
        <w:tc>
          <w:tcPr>
            <w:tcW w:type="dxa" w:w="2160"/>
            <w:vAlign w:val="top"/>
            <w:tcMar>
              <w:top w:w="100" w:type="dxa"/>
              <w:start w:w="95" w:type="dxa"/>
              <w:bottom w:w="100" w:type="dxa"/>
              <w:end w:w="95" w:type="dxa"/>
            </w:tcMar>
          </w:tcPr>
          <w:p>
            <w:pPr>
              <w:spacing w:after="20"/>
            </w:pPr>
            <w:r>
              <w:rPr>
                <w:b w:val="0"/>
                <w:color w:val="253344"/>
                <w:sz w:val="15"/>
              </w:rPr>
              <w:t>GAP-001</w:t>
            </w:r>
          </w:p>
        </w:tc>
        <w:tc>
          <w:tcPr>
            <w:tcW w:type="dxa" w:w="4320"/>
            <w:vAlign w:val="top"/>
            <w:tcMar>
              <w:top w:w="100" w:type="dxa"/>
              <w:start w:w="95" w:type="dxa"/>
              <w:bottom w:w="100" w:type="dxa"/>
              <w:end w:w="95" w:type="dxa"/>
            </w:tcMar>
          </w:tcPr>
          <w:p>
            <w:pPr>
              <w:spacing w:after="20"/>
            </w:pPr>
            <w:r>
              <w:rPr>
                <w:b w:val="0"/>
                <w:color w:val="253344"/>
                <w:sz w:val="15"/>
              </w:rPr>
              <w:t>Approval of scope/variant matrix</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Technical Input</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REQ-002</w:t>
            </w:r>
          </w:p>
        </w:tc>
        <w:tc>
          <w:tcPr>
            <w:tcW w:type="dxa" w:w="3024"/>
            <w:vAlign w:val="top"/>
            <w:tcMar>
              <w:top w:w="100" w:type="dxa"/>
              <w:start w:w="95" w:type="dxa"/>
              <w:bottom w:w="100" w:type="dxa"/>
              <w:end w:w="95" w:type="dxa"/>
            </w:tcMar>
            <w:shd w:fill="F1F5F8"/>
          </w:tcPr>
          <w:p>
            <w:pPr>
              <w:spacing w:after="20"/>
            </w:pPr>
            <w:r>
              <w:rPr>
                <w:b w:val="0"/>
                <w:color w:val="253344"/>
                <w:sz w:val="15"/>
              </w:rPr>
              <w:t>ISO 20697 §4</w:t>
            </w:r>
          </w:p>
        </w:tc>
        <w:tc>
          <w:tcPr>
            <w:tcW w:type="dxa" w:w="3528"/>
            <w:vAlign w:val="top"/>
            <w:tcMar>
              <w:top w:w="100" w:type="dxa"/>
              <w:start w:w="95" w:type="dxa"/>
              <w:bottom w:w="100" w:type="dxa"/>
              <w:end w:w="95" w:type="dxa"/>
            </w:tcMar>
            <w:shd w:fill="F1F5F8"/>
          </w:tcPr>
          <w:p>
            <w:pPr>
              <w:spacing w:after="20"/>
            </w:pPr>
            <w:r>
              <w:rPr>
                <w:b w:val="0"/>
                <w:color w:val="253344"/>
                <w:sz w:val="15"/>
              </w:rPr>
              <w:t>Access and drainage functional performance (if in scope)</w:t>
            </w:r>
          </w:p>
        </w:tc>
        <w:tc>
          <w:tcPr>
            <w:tcW w:type="dxa" w:w="2160"/>
            <w:vAlign w:val="top"/>
            <w:tcMar>
              <w:top w:w="100" w:type="dxa"/>
              <w:start w:w="95" w:type="dxa"/>
              <w:bottom w:w="100" w:type="dxa"/>
              <w:end w:w="95" w:type="dxa"/>
            </w:tcMar>
            <w:shd w:fill="F1F5F8"/>
          </w:tcPr>
          <w:p>
            <w:pPr>
              <w:spacing w:after="20"/>
            </w:pPr>
            <w:r>
              <w:rPr>
                <w:b w:val="0"/>
                <w:color w:val="253344"/>
                <w:sz w:val="15"/>
              </w:rPr>
              <w:t>GAP-001; GAP-007</w:t>
            </w:r>
          </w:p>
        </w:tc>
        <w:tc>
          <w:tcPr>
            <w:tcW w:type="dxa" w:w="4320"/>
            <w:vAlign w:val="top"/>
            <w:tcMar>
              <w:top w:w="100" w:type="dxa"/>
              <w:start w:w="95" w:type="dxa"/>
              <w:bottom w:w="100" w:type="dxa"/>
              <w:end w:w="95" w:type="dxa"/>
            </w:tcMar>
            <w:shd w:fill="F1F5F8"/>
          </w:tcPr>
          <w:p>
            <w:pPr>
              <w:spacing w:after="20"/>
            </w:pPr>
            <w:r>
              <w:rPr>
                <w:b w:val="0"/>
                <w:color w:val="253344"/>
                <w:sz w:val="15"/>
              </w:rPr>
              <w:t>Intended use + functional verification evidence</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Applicability</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REQ-003</w:t>
            </w:r>
          </w:p>
        </w:tc>
        <w:tc>
          <w:tcPr>
            <w:tcW w:type="dxa" w:w="3024"/>
            <w:vAlign w:val="top"/>
            <w:tcMar>
              <w:top w:w="100" w:type="dxa"/>
              <w:start w:w="95" w:type="dxa"/>
              <w:bottom w:w="100" w:type="dxa"/>
              <w:end w:w="95" w:type="dxa"/>
            </w:tcMar>
          </w:tcPr>
          <w:p>
            <w:pPr>
              <w:spacing w:after="20"/>
            </w:pPr>
            <w:r>
              <w:rPr>
                <w:b w:val="0"/>
                <w:color w:val="253344"/>
                <w:sz w:val="15"/>
              </w:rPr>
              <w:t>ISO 20697 §5.1</w:t>
            </w:r>
          </w:p>
        </w:tc>
        <w:tc>
          <w:tcPr>
            <w:tcW w:type="dxa" w:w="3528"/>
            <w:vAlign w:val="top"/>
            <w:tcMar>
              <w:top w:w="100" w:type="dxa"/>
              <w:start w:w="95" w:type="dxa"/>
              <w:bottom w:w="100" w:type="dxa"/>
              <w:end w:w="95" w:type="dxa"/>
            </w:tcMar>
          </w:tcPr>
          <w:p>
            <w:pPr>
              <w:spacing w:after="20"/>
            </w:pPr>
            <w:r>
              <w:rPr>
                <w:b w:val="0"/>
                <w:color w:val="253344"/>
                <w:sz w:val="15"/>
              </w:rPr>
              <w:t>Risk management file review (if applicable)</w:t>
            </w:r>
          </w:p>
        </w:tc>
        <w:tc>
          <w:tcPr>
            <w:tcW w:type="dxa" w:w="2160"/>
            <w:vAlign w:val="top"/>
            <w:tcMar>
              <w:top w:w="100" w:type="dxa"/>
              <w:start w:w="95" w:type="dxa"/>
              <w:bottom w:w="100" w:type="dxa"/>
              <w:end w:w="95" w:type="dxa"/>
            </w:tcMar>
          </w:tcPr>
          <w:p>
            <w:pPr>
              <w:spacing w:after="20"/>
            </w:pPr>
            <w:r>
              <w:rPr>
                <w:b w:val="0"/>
                <w:color w:val="253344"/>
                <w:sz w:val="15"/>
              </w:rPr>
              <w:t>GAP-001; GAP-009</w:t>
            </w:r>
          </w:p>
        </w:tc>
        <w:tc>
          <w:tcPr>
            <w:tcW w:type="dxa" w:w="4320"/>
            <w:vAlign w:val="top"/>
            <w:tcMar>
              <w:top w:w="100" w:type="dxa"/>
              <w:start w:w="95" w:type="dxa"/>
              <w:bottom w:w="100" w:type="dxa"/>
              <w:end w:w="95" w:type="dxa"/>
            </w:tcMar>
          </w:tcPr>
          <w:p>
            <w:pPr>
              <w:spacing w:after="20"/>
            </w:pPr>
            <w:r>
              <w:rPr>
                <w:b w:val="0"/>
                <w:color w:val="253344"/>
                <w:sz w:val="15"/>
              </w:rPr>
              <w:t>Controlled risk management file</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Evidence</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REQ-004</w:t>
            </w:r>
          </w:p>
        </w:tc>
        <w:tc>
          <w:tcPr>
            <w:tcW w:type="dxa" w:w="3024"/>
            <w:vAlign w:val="top"/>
            <w:tcMar>
              <w:top w:w="100" w:type="dxa"/>
              <w:start w:w="95" w:type="dxa"/>
              <w:bottom w:w="100" w:type="dxa"/>
              <w:end w:w="95" w:type="dxa"/>
            </w:tcMar>
            <w:shd w:fill="F1F5F8"/>
          </w:tcPr>
          <w:p>
            <w:pPr>
              <w:spacing w:after="20"/>
            </w:pPr>
            <w:r>
              <w:rPr>
                <w:b w:val="0"/>
                <w:color w:val="253344"/>
                <w:sz w:val="15"/>
              </w:rPr>
              <w:t>ISO 20697 §5.2</w:t>
            </w:r>
          </w:p>
        </w:tc>
        <w:tc>
          <w:tcPr>
            <w:tcW w:type="dxa" w:w="3528"/>
            <w:vAlign w:val="top"/>
            <w:tcMar>
              <w:top w:w="100" w:type="dxa"/>
              <w:start w:w="95" w:type="dxa"/>
              <w:bottom w:w="100" w:type="dxa"/>
              <w:end w:w="95" w:type="dxa"/>
            </w:tcMar>
            <w:shd w:fill="F1F5F8"/>
          </w:tcPr>
          <w:p>
            <w:pPr>
              <w:spacing w:after="20"/>
            </w:pPr>
            <w:r>
              <w:rPr>
                <w:b w:val="0"/>
                <w:color w:val="253344"/>
                <w:sz w:val="15"/>
              </w:rPr>
              <w:t>Biocompatibility (if applicable)</w:t>
            </w:r>
          </w:p>
        </w:tc>
        <w:tc>
          <w:tcPr>
            <w:tcW w:type="dxa" w:w="2160"/>
            <w:vAlign w:val="top"/>
            <w:tcMar>
              <w:top w:w="100" w:type="dxa"/>
              <w:start w:w="95" w:type="dxa"/>
              <w:bottom w:w="100" w:type="dxa"/>
              <w:end w:w="95" w:type="dxa"/>
            </w:tcMar>
            <w:shd w:fill="F1F5F8"/>
          </w:tcPr>
          <w:p>
            <w:pPr>
              <w:spacing w:after="20"/>
            </w:pPr>
            <w:r>
              <w:rPr>
                <w:b w:val="0"/>
                <w:color w:val="253344"/>
                <w:sz w:val="15"/>
              </w:rPr>
              <w:t>GAP-016</w:t>
            </w:r>
          </w:p>
        </w:tc>
        <w:tc>
          <w:tcPr>
            <w:tcW w:type="dxa" w:w="4320"/>
            <w:vAlign w:val="top"/>
            <w:tcMar>
              <w:top w:w="100" w:type="dxa"/>
              <w:start w:w="95" w:type="dxa"/>
              <w:bottom w:w="100" w:type="dxa"/>
              <w:end w:w="95" w:type="dxa"/>
            </w:tcMar>
            <w:shd w:fill="F1F5F8"/>
          </w:tcPr>
          <w:p>
            <w:pPr>
              <w:spacing w:after="20"/>
            </w:pPr>
            <w:r>
              <w:rPr>
                <w:b w:val="0"/>
                <w:color w:val="253344"/>
                <w:sz w:val="15"/>
              </w:rPr>
              <w:t>Approved biological evaluation</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Evidence</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REQ-005</w:t>
            </w:r>
          </w:p>
        </w:tc>
        <w:tc>
          <w:tcPr>
            <w:tcW w:type="dxa" w:w="3024"/>
            <w:vAlign w:val="top"/>
            <w:tcMar>
              <w:top w:w="100" w:type="dxa"/>
              <w:start w:w="95" w:type="dxa"/>
              <w:bottom w:w="100" w:type="dxa"/>
              <w:end w:w="95" w:type="dxa"/>
            </w:tcMar>
          </w:tcPr>
          <w:p>
            <w:pPr>
              <w:spacing w:after="20"/>
            </w:pPr>
            <w:r>
              <w:rPr>
                <w:b w:val="0"/>
                <w:color w:val="253344"/>
                <w:sz w:val="15"/>
              </w:rPr>
              <w:t>ISO 20697 §5.3</w:t>
            </w:r>
          </w:p>
        </w:tc>
        <w:tc>
          <w:tcPr>
            <w:tcW w:type="dxa" w:w="3528"/>
            <w:vAlign w:val="top"/>
            <w:tcMar>
              <w:top w:w="100" w:type="dxa"/>
              <w:start w:w="95" w:type="dxa"/>
              <w:bottom w:w="100" w:type="dxa"/>
              <w:end w:w="95" w:type="dxa"/>
            </w:tcMar>
          </w:tcPr>
          <w:p>
            <w:pPr>
              <w:spacing w:after="20"/>
            </w:pPr>
            <w:r>
              <w:rPr>
                <w:b w:val="0"/>
                <w:color w:val="253344"/>
                <w:sz w:val="15"/>
              </w:rPr>
              <w:t>Detectability based on risk assessment</w:t>
            </w:r>
          </w:p>
        </w:tc>
        <w:tc>
          <w:tcPr>
            <w:tcW w:type="dxa" w:w="2160"/>
            <w:vAlign w:val="top"/>
            <w:tcMar>
              <w:top w:w="100" w:type="dxa"/>
              <w:start w:w="95" w:type="dxa"/>
              <w:bottom w:w="100" w:type="dxa"/>
              <w:end w:w="95" w:type="dxa"/>
            </w:tcMar>
          </w:tcPr>
          <w:p>
            <w:pPr>
              <w:spacing w:after="20"/>
            </w:pPr>
            <w:r>
              <w:rPr>
                <w:b w:val="0"/>
                <w:color w:val="253344"/>
                <w:sz w:val="15"/>
              </w:rPr>
              <w:t>GAP-012</w:t>
            </w:r>
          </w:p>
        </w:tc>
        <w:tc>
          <w:tcPr>
            <w:tcW w:type="dxa" w:w="4320"/>
            <w:vAlign w:val="top"/>
            <w:tcMar>
              <w:top w:w="100" w:type="dxa"/>
              <w:start w:w="95" w:type="dxa"/>
              <w:bottom w:w="100" w:type="dxa"/>
              <w:end w:w="95" w:type="dxa"/>
            </w:tcMar>
          </w:tcPr>
          <w:p>
            <w:pPr>
              <w:spacing w:after="20"/>
            </w:pPr>
            <w:r>
              <w:rPr>
                <w:b w:val="0"/>
                <w:color w:val="253344"/>
                <w:sz w:val="15"/>
              </w:rPr>
              <w:t>Risk decision + detectability qualification if required</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Technical Input</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REQ-006</w:t>
            </w:r>
          </w:p>
        </w:tc>
        <w:tc>
          <w:tcPr>
            <w:tcW w:type="dxa" w:w="3024"/>
            <w:vAlign w:val="top"/>
            <w:tcMar>
              <w:top w:w="100" w:type="dxa"/>
              <w:start w:w="95" w:type="dxa"/>
              <w:bottom w:w="100" w:type="dxa"/>
              <w:end w:w="95" w:type="dxa"/>
            </w:tcMar>
            <w:shd w:fill="F1F5F8"/>
          </w:tcPr>
          <w:p>
            <w:pPr>
              <w:spacing w:after="20"/>
            </w:pPr>
            <w:r>
              <w:rPr>
                <w:b w:val="0"/>
                <w:color w:val="253344"/>
                <w:sz w:val="15"/>
              </w:rPr>
              <w:t>ISO 20697 §5.4</w:t>
            </w:r>
          </w:p>
        </w:tc>
        <w:tc>
          <w:tcPr>
            <w:tcW w:type="dxa" w:w="3528"/>
            <w:vAlign w:val="top"/>
            <w:tcMar>
              <w:top w:w="100" w:type="dxa"/>
              <w:start w:w="95" w:type="dxa"/>
              <w:bottom w:w="100" w:type="dxa"/>
              <w:end w:w="95" w:type="dxa"/>
            </w:tcMar>
            <w:shd w:fill="F1F5F8"/>
          </w:tcPr>
          <w:p>
            <w:pPr>
              <w:spacing w:after="20"/>
            </w:pPr>
            <w:r>
              <w:rPr>
                <w:b w:val="0"/>
                <w:color w:val="253344"/>
                <w:sz w:val="15"/>
              </w:rPr>
              <w:t>Surface finish and extraneous matter</w:t>
            </w:r>
          </w:p>
        </w:tc>
        <w:tc>
          <w:tcPr>
            <w:tcW w:type="dxa" w:w="2160"/>
            <w:vAlign w:val="top"/>
            <w:tcMar>
              <w:top w:w="100" w:type="dxa"/>
              <w:start w:w="95" w:type="dxa"/>
              <w:bottom w:w="100" w:type="dxa"/>
              <w:end w:w="95" w:type="dxa"/>
            </w:tcMar>
            <w:shd w:fill="F1F5F8"/>
          </w:tcPr>
          <w:p>
            <w:pPr>
              <w:spacing w:after="20"/>
            </w:pPr>
            <w:r>
              <w:rPr>
                <w:b w:val="0"/>
                <w:color w:val="253344"/>
                <w:sz w:val="15"/>
              </w:rPr>
              <w:t>GAP-011</w:t>
            </w:r>
          </w:p>
        </w:tc>
        <w:tc>
          <w:tcPr>
            <w:tcW w:type="dxa" w:w="4320"/>
            <w:vAlign w:val="top"/>
            <w:tcMar>
              <w:top w:w="100" w:type="dxa"/>
              <w:start w:w="95" w:type="dxa"/>
              <w:bottom w:w="100" w:type="dxa"/>
              <w:end w:w="95" w:type="dxa"/>
            </w:tcMar>
            <w:shd w:fill="F1F5F8"/>
          </w:tcPr>
          <w:p>
            <w:pPr>
              <w:spacing w:after="20"/>
            </w:pPr>
            <w:r>
              <w:rPr>
                <w:b w:val="0"/>
                <w:color w:val="253344"/>
                <w:sz w:val="15"/>
              </w:rPr>
              <w:t>Approved visual control &amp; completed records</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Evidence</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REQ-007</w:t>
            </w:r>
          </w:p>
        </w:tc>
        <w:tc>
          <w:tcPr>
            <w:tcW w:type="dxa" w:w="3024"/>
            <w:vAlign w:val="top"/>
            <w:tcMar>
              <w:top w:w="100" w:type="dxa"/>
              <w:start w:w="95" w:type="dxa"/>
              <w:bottom w:w="100" w:type="dxa"/>
              <w:end w:w="95" w:type="dxa"/>
            </w:tcMar>
          </w:tcPr>
          <w:p>
            <w:pPr>
              <w:spacing w:after="20"/>
            </w:pPr>
            <w:r>
              <w:rPr>
                <w:b w:val="0"/>
                <w:color w:val="253344"/>
                <w:sz w:val="15"/>
              </w:rPr>
              <w:t>ISO 20697 §§5.5.1–5.5.3</w:t>
            </w:r>
          </w:p>
        </w:tc>
        <w:tc>
          <w:tcPr>
            <w:tcW w:type="dxa" w:w="3528"/>
            <w:vAlign w:val="top"/>
            <w:tcMar>
              <w:top w:w="100" w:type="dxa"/>
              <w:start w:w="95" w:type="dxa"/>
              <w:bottom w:w="100" w:type="dxa"/>
              <w:end w:w="95" w:type="dxa"/>
            </w:tcMar>
          </w:tcPr>
          <w:p>
            <w:pPr>
              <w:spacing w:after="20"/>
            </w:pPr>
            <w:r>
              <w:rPr>
                <w:b w:val="0"/>
                <w:color w:val="253344"/>
                <w:sz w:val="15"/>
              </w:rPr>
              <w:t>OD size designation and effective length</w:t>
            </w:r>
          </w:p>
        </w:tc>
        <w:tc>
          <w:tcPr>
            <w:tcW w:type="dxa" w:w="2160"/>
            <w:vAlign w:val="top"/>
            <w:tcMar>
              <w:top w:w="100" w:type="dxa"/>
              <w:start w:w="95" w:type="dxa"/>
              <w:bottom w:w="100" w:type="dxa"/>
              <w:end w:w="95" w:type="dxa"/>
            </w:tcMar>
          </w:tcPr>
          <w:p>
            <w:pPr>
              <w:spacing w:after="20"/>
            </w:pPr>
            <w:r>
              <w:rPr>
                <w:b w:val="0"/>
                <w:color w:val="253344"/>
                <w:sz w:val="15"/>
              </w:rPr>
              <w:t>GAP-003; GAP-005</w:t>
            </w:r>
          </w:p>
        </w:tc>
        <w:tc>
          <w:tcPr>
            <w:tcW w:type="dxa" w:w="4320"/>
            <w:vAlign w:val="top"/>
            <w:tcMar>
              <w:top w:w="100" w:type="dxa"/>
              <w:start w:w="95" w:type="dxa"/>
              <w:bottom w:w="100" w:type="dxa"/>
              <w:end w:w="95" w:type="dxa"/>
            </w:tcMar>
          </w:tcPr>
          <w:p>
            <w:pPr>
              <w:spacing w:after="20"/>
            </w:pPr>
            <w:r>
              <w:rPr>
                <w:b w:val="0"/>
                <w:color w:val="253344"/>
                <w:sz w:val="15"/>
              </w:rPr>
              <w:t>Approved drawing / size records</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Technical Input</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REQ-008</w:t>
            </w:r>
          </w:p>
        </w:tc>
        <w:tc>
          <w:tcPr>
            <w:tcW w:type="dxa" w:w="3024"/>
            <w:vAlign w:val="top"/>
            <w:tcMar>
              <w:top w:w="100" w:type="dxa"/>
              <w:start w:w="95" w:type="dxa"/>
              <w:bottom w:w="100" w:type="dxa"/>
              <w:end w:w="95" w:type="dxa"/>
            </w:tcMar>
            <w:shd w:fill="F1F5F8"/>
          </w:tcPr>
          <w:p>
            <w:pPr>
              <w:spacing w:after="20"/>
            </w:pPr>
            <w:r>
              <w:rPr>
                <w:b w:val="0"/>
                <w:color w:val="253344"/>
                <w:sz w:val="15"/>
              </w:rPr>
              <w:t>ISO 20697 §5.5.4</w:t>
            </w:r>
          </w:p>
        </w:tc>
        <w:tc>
          <w:tcPr>
            <w:tcW w:type="dxa" w:w="3528"/>
            <w:vAlign w:val="top"/>
            <w:tcMar>
              <w:top w:w="100" w:type="dxa"/>
              <w:start w:w="95" w:type="dxa"/>
              <w:bottom w:w="100" w:type="dxa"/>
              <w:end w:w="95" w:type="dxa"/>
            </w:tcMar>
            <w:shd w:fill="F1F5F8"/>
          </w:tcPr>
          <w:p>
            <w:pPr>
              <w:spacing w:after="20"/>
            </w:pPr>
            <w:r>
              <w:rPr>
                <w:b w:val="0"/>
                <w:color w:val="253344"/>
                <w:sz w:val="15"/>
              </w:rPr>
              <w:t>Balloon inflation designation IF balloon present</w:t>
            </w:r>
          </w:p>
        </w:tc>
        <w:tc>
          <w:tcPr>
            <w:tcW w:type="dxa" w:w="2160"/>
            <w:vAlign w:val="top"/>
            <w:tcMar>
              <w:top w:w="100" w:type="dxa"/>
              <w:start w:w="95" w:type="dxa"/>
              <w:bottom w:w="100" w:type="dxa"/>
              <w:end w:w="95" w:type="dxa"/>
            </w:tcMar>
            <w:shd w:fill="F1F5F8"/>
          </w:tcPr>
          <w:p>
            <w:pPr>
              <w:spacing w:after="20"/>
            </w:pPr>
            <w:r>
              <w:rPr>
                <w:b w:val="0"/>
                <w:color w:val="253344"/>
                <w:sz w:val="15"/>
              </w:rPr>
              <w:t>GAP-001</w:t>
            </w:r>
          </w:p>
        </w:tc>
        <w:tc>
          <w:tcPr>
            <w:tcW w:type="dxa" w:w="4320"/>
            <w:vAlign w:val="top"/>
            <w:tcMar>
              <w:top w:w="100" w:type="dxa"/>
              <w:start w:w="95" w:type="dxa"/>
              <w:bottom w:w="100" w:type="dxa"/>
              <w:end w:w="95" w:type="dxa"/>
            </w:tcMar>
            <w:shd w:fill="F1F5F8"/>
          </w:tcPr>
          <w:p>
            <w:pPr>
              <w:spacing w:after="20"/>
            </w:pPr>
            <w:r>
              <w:rPr>
                <w:b w:val="0"/>
                <w:color w:val="253344"/>
                <w:sz w:val="15"/>
              </w:rPr>
              <w:t>Configuration evidence / balloon N/A justification</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Applicability</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REQ-009</w:t>
            </w:r>
          </w:p>
        </w:tc>
        <w:tc>
          <w:tcPr>
            <w:tcW w:type="dxa" w:w="3024"/>
            <w:vAlign w:val="top"/>
            <w:tcMar>
              <w:top w:w="100" w:type="dxa"/>
              <w:start w:w="95" w:type="dxa"/>
              <w:bottom w:w="100" w:type="dxa"/>
              <w:end w:w="95" w:type="dxa"/>
            </w:tcMar>
          </w:tcPr>
          <w:p>
            <w:pPr>
              <w:spacing w:after="20"/>
            </w:pPr>
            <w:r>
              <w:rPr>
                <w:b w:val="0"/>
                <w:color w:val="253344"/>
                <w:sz w:val="15"/>
              </w:rPr>
              <w:t>ISO 20697 §5.6</w:t>
            </w:r>
          </w:p>
        </w:tc>
        <w:tc>
          <w:tcPr>
            <w:tcW w:type="dxa" w:w="3528"/>
            <w:vAlign w:val="top"/>
            <w:tcMar>
              <w:top w:w="100" w:type="dxa"/>
              <w:start w:w="95" w:type="dxa"/>
              <w:bottom w:w="100" w:type="dxa"/>
              <w:end w:w="95" w:type="dxa"/>
            </w:tcMar>
          </w:tcPr>
          <w:p>
            <w:pPr>
              <w:spacing w:after="20"/>
            </w:pPr>
            <w:r>
              <w:rPr>
                <w:b w:val="0"/>
                <w:color w:val="253344"/>
                <w:sz w:val="15"/>
              </w:rPr>
              <w:t>Connector misconnection risk</w:t>
            </w:r>
          </w:p>
        </w:tc>
        <w:tc>
          <w:tcPr>
            <w:tcW w:type="dxa" w:w="2160"/>
            <w:vAlign w:val="top"/>
            <w:tcMar>
              <w:top w:w="100" w:type="dxa"/>
              <w:start w:w="95" w:type="dxa"/>
              <w:bottom w:w="100" w:type="dxa"/>
              <w:end w:w="95" w:type="dxa"/>
            </w:tcMar>
          </w:tcPr>
          <w:p>
            <w:pPr>
              <w:spacing w:after="20"/>
            </w:pPr>
            <w:r>
              <w:rPr>
                <w:b w:val="0"/>
                <w:color w:val="253344"/>
                <w:sz w:val="15"/>
              </w:rPr>
              <w:t>GAP-009; GAP-010</w:t>
            </w:r>
          </w:p>
        </w:tc>
        <w:tc>
          <w:tcPr>
            <w:tcW w:type="dxa" w:w="4320"/>
            <w:vAlign w:val="top"/>
            <w:tcMar>
              <w:top w:w="100" w:type="dxa"/>
              <w:start w:w="95" w:type="dxa"/>
              <w:bottom w:w="100" w:type="dxa"/>
              <w:end w:w="95" w:type="dxa"/>
            </w:tcMar>
          </w:tcPr>
          <w:p>
            <w:pPr>
              <w:spacing w:after="20"/>
            </w:pPr>
            <w:r>
              <w:rPr>
                <w:b w:val="0"/>
                <w:color w:val="253344"/>
                <w:sz w:val="15"/>
              </w:rPr>
              <w:t>Risk file + connector compatibility/type test</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Evidence</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REQ-010</w:t>
            </w:r>
          </w:p>
        </w:tc>
        <w:tc>
          <w:tcPr>
            <w:tcW w:type="dxa" w:w="3024"/>
            <w:vAlign w:val="top"/>
            <w:tcMar>
              <w:top w:w="100" w:type="dxa"/>
              <w:start w:w="95" w:type="dxa"/>
              <w:bottom w:w="100" w:type="dxa"/>
              <w:end w:w="95" w:type="dxa"/>
            </w:tcMar>
            <w:shd w:fill="F1F5F8"/>
          </w:tcPr>
          <w:p>
            <w:pPr>
              <w:spacing w:after="20"/>
            </w:pPr>
            <w:r>
              <w:rPr>
                <w:b w:val="0"/>
                <w:color w:val="253344"/>
                <w:sz w:val="15"/>
              </w:rPr>
              <w:t>ISO 20697 §5.7</w:t>
            </w:r>
          </w:p>
        </w:tc>
        <w:tc>
          <w:tcPr>
            <w:tcW w:type="dxa" w:w="3528"/>
            <w:vAlign w:val="top"/>
            <w:tcMar>
              <w:top w:w="100" w:type="dxa"/>
              <w:start w:w="95" w:type="dxa"/>
              <w:bottom w:w="100" w:type="dxa"/>
              <w:end w:w="95" w:type="dxa"/>
            </w:tcMar>
            <w:shd w:fill="F1F5F8"/>
          </w:tcPr>
          <w:p>
            <w:pPr>
              <w:spacing w:after="20"/>
            </w:pPr>
            <w:r>
              <w:rPr>
                <w:b w:val="0"/>
                <w:color w:val="253344"/>
                <w:sz w:val="15"/>
              </w:rPr>
              <w:t>MRI hazards IF applicable</w:t>
            </w:r>
          </w:p>
        </w:tc>
        <w:tc>
          <w:tcPr>
            <w:tcW w:type="dxa" w:w="2160"/>
            <w:vAlign w:val="top"/>
            <w:tcMar>
              <w:top w:w="100" w:type="dxa"/>
              <w:start w:w="95" w:type="dxa"/>
              <w:bottom w:w="100" w:type="dxa"/>
              <w:end w:w="95" w:type="dxa"/>
            </w:tcMar>
            <w:shd w:fill="F1F5F8"/>
          </w:tcPr>
          <w:p>
            <w:pPr>
              <w:spacing w:after="20"/>
            </w:pPr>
            <w:r>
              <w:rPr>
                <w:b w:val="0"/>
                <w:color w:val="253344"/>
                <w:sz w:val="15"/>
              </w:rPr>
              <w:t>GAP-001</w:t>
            </w:r>
          </w:p>
        </w:tc>
        <w:tc>
          <w:tcPr>
            <w:tcW w:type="dxa" w:w="4320"/>
            <w:vAlign w:val="top"/>
            <w:tcMar>
              <w:top w:w="100" w:type="dxa"/>
              <w:start w:w="95" w:type="dxa"/>
              <w:bottom w:w="100" w:type="dxa"/>
              <w:end w:w="95" w:type="dxa"/>
            </w:tcMar>
            <w:shd w:fill="F1F5F8"/>
          </w:tcPr>
          <w:p>
            <w:pPr>
              <w:spacing w:after="20"/>
            </w:pPr>
            <w:r>
              <w:rPr>
                <w:b w:val="0"/>
                <w:color w:val="253344"/>
                <w:sz w:val="15"/>
              </w:rPr>
              <w:t>Risk applicability and MRI assessment if required</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Applicability</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REQ-011</w:t>
            </w:r>
          </w:p>
        </w:tc>
        <w:tc>
          <w:tcPr>
            <w:tcW w:type="dxa" w:w="3024"/>
            <w:vAlign w:val="top"/>
            <w:tcMar>
              <w:top w:w="100" w:type="dxa"/>
              <w:start w:w="95" w:type="dxa"/>
              <w:bottom w:w="100" w:type="dxa"/>
              <w:end w:w="95" w:type="dxa"/>
            </w:tcMar>
          </w:tcPr>
          <w:p>
            <w:pPr>
              <w:spacing w:after="20"/>
            </w:pPr>
            <w:r>
              <w:rPr>
                <w:b w:val="0"/>
                <w:color w:val="253344"/>
                <w:sz w:val="15"/>
              </w:rPr>
              <w:t>ISO 20697 §5.8</w:t>
            </w:r>
          </w:p>
        </w:tc>
        <w:tc>
          <w:tcPr>
            <w:tcW w:type="dxa" w:w="3528"/>
            <w:vAlign w:val="top"/>
            <w:tcMar>
              <w:top w:w="100" w:type="dxa"/>
              <w:start w:w="95" w:type="dxa"/>
              <w:bottom w:w="100" w:type="dxa"/>
              <w:end w:w="95" w:type="dxa"/>
            </w:tcMar>
          </w:tcPr>
          <w:p>
            <w:pPr>
              <w:spacing w:after="20"/>
            </w:pPr>
            <w:r>
              <w:rPr>
                <w:b w:val="0"/>
                <w:color w:val="253344"/>
                <w:sz w:val="15"/>
              </w:rPr>
              <w:t>Sterility assurance for sterile drainage catheter</w:t>
            </w:r>
          </w:p>
        </w:tc>
        <w:tc>
          <w:tcPr>
            <w:tcW w:type="dxa" w:w="2160"/>
            <w:vAlign w:val="top"/>
            <w:tcMar>
              <w:top w:w="100" w:type="dxa"/>
              <w:start w:w="95" w:type="dxa"/>
              <w:bottom w:w="100" w:type="dxa"/>
              <w:end w:w="95" w:type="dxa"/>
            </w:tcMar>
          </w:tcPr>
          <w:p>
            <w:pPr>
              <w:spacing w:after="20"/>
            </w:pPr>
            <w:r>
              <w:rPr>
                <w:b w:val="0"/>
                <w:color w:val="253344"/>
                <w:sz w:val="15"/>
              </w:rPr>
              <w:t>GAP-016</w:t>
            </w:r>
          </w:p>
        </w:tc>
        <w:tc>
          <w:tcPr>
            <w:tcW w:type="dxa" w:w="4320"/>
            <w:vAlign w:val="top"/>
            <w:tcMar>
              <w:top w:w="100" w:type="dxa"/>
              <w:start w:w="95" w:type="dxa"/>
              <w:bottom w:w="100" w:type="dxa"/>
              <w:end w:w="95" w:type="dxa"/>
            </w:tcMar>
          </w:tcPr>
          <w:p>
            <w:pPr>
              <w:spacing w:after="20"/>
            </w:pPr>
            <w:r>
              <w:rPr>
                <w:b w:val="0"/>
                <w:color w:val="253344"/>
                <w:sz w:val="15"/>
              </w:rPr>
              <w:t>Approved sterilization validation and release records</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Evidence</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REQ-012</w:t>
            </w:r>
          </w:p>
        </w:tc>
        <w:tc>
          <w:tcPr>
            <w:tcW w:type="dxa" w:w="3024"/>
            <w:vAlign w:val="top"/>
            <w:tcMar>
              <w:top w:w="100" w:type="dxa"/>
              <w:start w:w="95" w:type="dxa"/>
              <w:bottom w:w="100" w:type="dxa"/>
              <w:end w:w="95" w:type="dxa"/>
            </w:tcMar>
            <w:shd w:fill="F1F5F8"/>
          </w:tcPr>
          <w:p>
            <w:pPr>
              <w:spacing w:after="20"/>
            </w:pPr>
            <w:r>
              <w:rPr>
                <w:b w:val="0"/>
                <w:color w:val="253344"/>
                <w:sz w:val="15"/>
              </w:rPr>
              <w:t>ISO 20697 §6.1</w:t>
            </w:r>
          </w:p>
        </w:tc>
        <w:tc>
          <w:tcPr>
            <w:tcW w:type="dxa" w:w="3528"/>
            <w:vAlign w:val="top"/>
            <w:tcMar>
              <w:top w:w="100" w:type="dxa"/>
              <w:start w:w="95" w:type="dxa"/>
              <w:bottom w:w="100" w:type="dxa"/>
              <w:end w:w="95" w:type="dxa"/>
            </w:tcMar>
            <w:shd w:fill="F1F5F8"/>
          </w:tcPr>
          <w:p>
            <w:pPr>
              <w:spacing w:after="20"/>
            </w:pPr>
            <w:r>
              <w:rPr>
                <w:b w:val="0"/>
                <w:color w:val="253344"/>
                <w:sz w:val="15"/>
              </w:rPr>
              <w:t>Kink performance by intended use and risk</w:t>
            </w:r>
          </w:p>
        </w:tc>
        <w:tc>
          <w:tcPr>
            <w:tcW w:type="dxa" w:w="2160"/>
            <w:vAlign w:val="top"/>
            <w:tcMar>
              <w:top w:w="100" w:type="dxa"/>
              <w:start w:w="95" w:type="dxa"/>
              <w:bottom w:w="100" w:type="dxa"/>
              <w:end w:w="95" w:type="dxa"/>
            </w:tcMar>
            <w:shd w:fill="F1F5F8"/>
          </w:tcPr>
          <w:p>
            <w:pPr>
              <w:spacing w:after="20"/>
            </w:pPr>
            <w:r>
              <w:rPr>
                <w:b w:val="0"/>
                <w:color w:val="253344"/>
                <w:sz w:val="15"/>
              </w:rPr>
              <w:t>GAP-001</w:t>
            </w:r>
          </w:p>
        </w:tc>
        <w:tc>
          <w:tcPr>
            <w:tcW w:type="dxa" w:w="4320"/>
            <w:vAlign w:val="top"/>
            <w:tcMar>
              <w:top w:w="100" w:type="dxa"/>
              <w:start w:w="95" w:type="dxa"/>
              <w:bottom w:w="100" w:type="dxa"/>
              <w:end w:w="95" w:type="dxa"/>
            </w:tcMar>
            <w:shd w:fill="F1F5F8"/>
          </w:tcPr>
          <w:p>
            <w:pPr>
              <w:spacing w:after="20"/>
            </w:pPr>
            <w:r>
              <w:rPr>
                <w:b w:val="0"/>
                <w:color w:val="253344"/>
                <w:sz w:val="15"/>
              </w:rPr>
              <w:t>Approved design verification/risk-based criterion</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Technical Input</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REQ-013</w:t>
            </w:r>
          </w:p>
        </w:tc>
        <w:tc>
          <w:tcPr>
            <w:tcW w:type="dxa" w:w="3024"/>
            <w:vAlign w:val="top"/>
            <w:tcMar>
              <w:top w:w="100" w:type="dxa"/>
              <w:start w:w="95" w:type="dxa"/>
              <w:bottom w:w="100" w:type="dxa"/>
              <w:end w:w="95" w:type="dxa"/>
            </w:tcMar>
          </w:tcPr>
          <w:p>
            <w:pPr>
              <w:spacing w:after="20"/>
            </w:pPr>
            <w:r>
              <w:rPr>
                <w:b w:val="0"/>
                <w:color w:val="253344"/>
                <w:sz w:val="15"/>
              </w:rPr>
              <w:t>ISO 20697 §6.2 / Annex B</w:t>
            </w:r>
          </w:p>
        </w:tc>
        <w:tc>
          <w:tcPr>
            <w:tcW w:type="dxa" w:w="3528"/>
            <w:vAlign w:val="top"/>
            <w:tcMar>
              <w:top w:w="100" w:type="dxa"/>
              <w:start w:w="95" w:type="dxa"/>
              <w:bottom w:w="100" w:type="dxa"/>
              <w:end w:w="95" w:type="dxa"/>
            </w:tcMar>
          </w:tcPr>
          <w:p>
            <w:pPr>
              <w:spacing w:after="20"/>
            </w:pPr>
            <w:r>
              <w:rPr>
                <w:b w:val="0"/>
                <w:color w:val="253344"/>
                <w:sz w:val="15"/>
              </w:rPr>
              <w:t>Corrosion only for relevant exposed metal</w:t>
            </w:r>
          </w:p>
        </w:tc>
        <w:tc>
          <w:tcPr>
            <w:tcW w:type="dxa" w:w="2160"/>
            <w:vAlign w:val="top"/>
            <w:tcMar>
              <w:top w:w="100" w:type="dxa"/>
              <w:start w:w="95" w:type="dxa"/>
              <w:bottom w:w="100" w:type="dxa"/>
              <w:end w:w="95" w:type="dxa"/>
            </w:tcMar>
          </w:tcPr>
          <w:p>
            <w:pPr>
              <w:spacing w:after="20"/>
            </w:pPr>
            <w:r>
              <w:rPr>
                <w:b w:val="0"/>
                <w:color w:val="253344"/>
                <w:sz w:val="15"/>
              </w:rPr>
              <w:t>GAP-001</w:t>
            </w:r>
          </w:p>
        </w:tc>
        <w:tc>
          <w:tcPr>
            <w:tcW w:type="dxa" w:w="4320"/>
            <w:vAlign w:val="top"/>
            <w:tcMar>
              <w:top w:w="100" w:type="dxa"/>
              <w:start w:w="95" w:type="dxa"/>
              <w:bottom w:w="100" w:type="dxa"/>
              <w:end w:w="95" w:type="dxa"/>
            </w:tcMar>
          </w:tcPr>
          <w:p>
            <w:pPr>
              <w:spacing w:after="20"/>
            </w:pPr>
            <w:r>
              <w:rPr>
                <w:b w:val="0"/>
                <w:color w:val="253344"/>
                <w:sz w:val="15"/>
              </w:rPr>
              <w:t>Metal configuration assessment; qualified evidence if applicable</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Applicability</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REQ-014</w:t>
            </w:r>
          </w:p>
        </w:tc>
        <w:tc>
          <w:tcPr>
            <w:tcW w:type="dxa" w:w="3024"/>
            <w:vAlign w:val="top"/>
            <w:tcMar>
              <w:top w:w="100" w:type="dxa"/>
              <w:start w:w="95" w:type="dxa"/>
              <w:bottom w:w="100" w:type="dxa"/>
              <w:end w:w="95" w:type="dxa"/>
            </w:tcMar>
            <w:shd w:fill="F1F5F8"/>
          </w:tcPr>
          <w:p>
            <w:pPr>
              <w:spacing w:after="20"/>
            </w:pPr>
            <w:r>
              <w:rPr>
                <w:b w:val="0"/>
                <w:color w:val="253344"/>
                <w:sz w:val="15"/>
              </w:rPr>
              <w:t>ISO 20697 §6.3 / Annex C</w:t>
            </w:r>
          </w:p>
        </w:tc>
        <w:tc>
          <w:tcPr>
            <w:tcW w:type="dxa" w:w="3528"/>
            <w:vAlign w:val="top"/>
            <w:tcMar>
              <w:top w:w="100" w:type="dxa"/>
              <w:start w:w="95" w:type="dxa"/>
              <w:bottom w:w="100" w:type="dxa"/>
              <w:end w:w="95" w:type="dxa"/>
            </w:tcMar>
            <w:shd w:fill="F1F5F8"/>
          </w:tcPr>
          <w:p>
            <w:pPr>
              <w:spacing w:after="20"/>
            </w:pPr>
            <w:r>
              <w:rPr>
                <w:b w:val="0"/>
                <w:color w:val="253344"/>
                <w:sz w:val="15"/>
              </w:rPr>
              <w:t>Negative-pressure deformation if intended</w:t>
            </w:r>
          </w:p>
        </w:tc>
        <w:tc>
          <w:tcPr>
            <w:tcW w:type="dxa" w:w="2160"/>
            <w:vAlign w:val="top"/>
            <w:tcMar>
              <w:top w:w="100" w:type="dxa"/>
              <w:start w:w="95" w:type="dxa"/>
              <w:bottom w:w="100" w:type="dxa"/>
              <w:end w:w="95" w:type="dxa"/>
            </w:tcMar>
            <w:shd w:fill="F1F5F8"/>
          </w:tcPr>
          <w:p>
            <w:pPr>
              <w:spacing w:after="20"/>
            </w:pPr>
            <w:r>
              <w:rPr>
                <w:b w:val="0"/>
                <w:color w:val="253344"/>
                <w:sz w:val="15"/>
              </w:rPr>
              <w:t>GAP-001</w:t>
            </w:r>
          </w:p>
        </w:tc>
        <w:tc>
          <w:tcPr>
            <w:tcW w:type="dxa" w:w="4320"/>
            <w:vAlign w:val="top"/>
            <w:tcMar>
              <w:top w:w="100" w:type="dxa"/>
              <w:start w:w="95" w:type="dxa"/>
              <w:bottom w:w="100" w:type="dxa"/>
              <w:end w:w="95" w:type="dxa"/>
            </w:tcMar>
            <w:shd w:fill="F1F5F8"/>
          </w:tcPr>
          <w:p>
            <w:pPr>
              <w:spacing w:after="20"/>
            </w:pPr>
            <w:r>
              <w:rPr>
                <w:b w:val="0"/>
                <w:color w:val="253344"/>
                <w:sz w:val="15"/>
              </w:rPr>
              <w:t>Pressure use case and test evidence if applicable</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Applicability</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REQ-015</w:t>
            </w:r>
          </w:p>
        </w:tc>
        <w:tc>
          <w:tcPr>
            <w:tcW w:type="dxa" w:w="3024"/>
            <w:vAlign w:val="top"/>
            <w:tcMar>
              <w:top w:w="100" w:type="dxa"/>
              <w:start w:w="95" w:type="dxa"/>
              <w:bottom w:w="100" w:type="dxa"/>
              <w:end w:w="95" w:type="dxa"/>
            </w:tcMar>
          </w:tcPr>
          <w:p>
            <w:pPr>
              <w:spacing w:after="20"/>
            </w:pPr>
            <w:r>
              <w:rPr>
                <w:b w:val="0"/>
                <w:color w:val="253344"/>
                <w:sz w:val="15"/>
              </w:rPr>
              <w:t>ISO 20697 §6.4.1 Table 1/Annex D</w:t>
            </w:r>
          </w:p>
        </w:tc>
        <w:tc>
          <w:tcPr>
            <w:tcW w:type="dxa" w:w="3528"/>
            <w:vAlign w:val="top"/>
            <w:tcMar>
              <w:top w:w="100" w:type="dxa"/>
              <w:start w:w="95" w:type="dxa"/>
              <w:bottom w:w="100" w:type="dxa"/>
              <w:end w:w="95" w:type="dxa"/>
            </w:tcMar>
          </w:tcPr>
          <w:p>
            <w:pPr>
              <w:spacing w:after="20"/>
            </w:pPr>
            <w:r>
              <w:rPr>
                <w:b w:val="0"/>
                <w:color w:val="253344"/>
                <w:sz w:val="15"/>
              </w:rPr>
              <w:t>External-connection tensile strength if applicable</w:t>
            </w:r>
          </w:p>
        </w:tc>
        <w:tc>
          <w:tcPr>
            <w:tcW w:type="dxa" w:w="2160"/>
            <w:vAlign w:val="top"/>
            <w:tcMar>
              <w:top w:w="100" w:type="dxa"/>
              <w:start w:w="95" w:type="dxa"/>
              <w:bottom w:w="100" w:type="dxa"/>
              <w:end w:w="95" w:type="dxa"/>
            </w:tcMar>
          </w:tcPr>
          <w:p>
            <w:pPr>
              <w:spacing w:after="20"/>
            </w:pPr>
            <w:r>
              <w:rPr>
                <w:b w:val="0"/>
                <w:color w:val="253344"/>
                <w:sz w:val="15"/>
              </w:rPr>
              <w:t>GAP-008</w:t>
            </w:r>
          </w:p>
        </w:tc>
        <w:tc>
          <w:tcPr>
            <w:tcW w:type="dxa" w:w="4320"/>
            <w:vAlign w:val="top"/>
            <w:tcMar>
              <w:top w:w="100" w:type="dxa"/>
              <w:start w:w="95" w:type="dxa"/>
              <w:bottom w:w="100" w:type="dxa"/>
              <w:end w:w="95" w:type="dxa"/>
            </w:tcMar>
          </w:tcPr>
          <w:p>
            <w:pPr>
              <w:spacing w:after="20"/>
            </w:pPr>
            <w:r>
              <w:rPr>
                <w:b w:val="0"/>
                <w:color w:val="253344"/>
                <w:sz w:val="15"/>
              </w:rPr>
              <w:t>Diameter classification and peak-force study</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Technical Input</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REQ-016</w:t>
            </w:r>
          </w:p>
        </w:tc>
        <w:tc>
          <w:tcPr>
            <w:tcW w:type="dxa" w:w="3024"/>
            <w:vAlign w:val="top"/>
            <w:tcMar>
              <w:top w:w="100" w:type="dxa"/>
              <w:start w:w="95" w:type="dxa"/>
              <w:bottom w:w="100" w:type="dxa"/>
              <w:end w:w="95" w:type="dxa"/>
            </w:tcMar>
            <w:shd w:fill="F1F5F8"/>
          </w:tcPr>
          <w:p>
            <w:pPr>
              <w:spacing w:after="20"/>
            </w:pPr>
            <w:r>
              <w:rPr>
                <w:b w:val="0"/>
                <w:color w:val="253344"/>
                <w:sz w:val="15"/>
              </w:rPr>
              <w:t>ISO 20697 §6.4.2 Table 2/Annex E</w:t>
            </w:r>
          </w:p>
        </w:tc>
        <w:tc>
          <w:tcPr>
            <w:tcW w:type="dxa" w:w="3528"/>
            <w:vAlign w:val="top"/>
            <w:tcMar>
              <w:top w:w="100" w:type="dxa"/>
              <w:start w:w="95" w:type="dxa"/>
              <w:bottom w:w="100" w:type="dxa"/>
              <w:end w:w="95" w:type="dxa"/>
            </w:tcMar>
            <w:shd w:fill="F1F5F8"/>
          </w:tcPr>
          <w:p>
            <w:pPr>
              <w:spacing w:after="20"/>
            </w:pPr>
            <w:r>
              <w:rPr>
                <w:b w:val="0"/>
                <w:color w:val="253344"/>
                <w:sz w:val="15"/>
              </w:rPr>
              <w:t>Catheter/tube junction strength if applicable</w:t>
            </w:r>
          </w:p>
        </w:tc>
        <w:tc>
          <w:tcPr>
            <w:tcW w:type="dxa" w:w="2160"/>
            <w:vAlign w:val="top"/>
            <w:tcMar>
              <w:top w:w="100" w:type="dxa"/>
              <w:start w:w="95" w:type="dxa"/>
              <w:bottom w:w="100" w:type="dxa"/>
              <w:end w:w="95" w:type="dxa"/>
            </w:tcMar>
            <w:shd w:fill="F1F5F8"/>
          </w:tcPr>
          <w:p>
            <w:pPr>
              <w:spacing w:after="20"/>
            </w:pPr>
            <w:r>
              <w:rPr>
                <w:b w:val="0"/>
                <w:color w:val="253344"/>
                <w:sz w:val="15"/>
              </w:rPr>
              <w:t>GAP-008</w:t>
            </w:r>
          </w:p>
        </w:tc>
        <w:tc>
          <w:tcPr>
            <w:tcW w:type="dxa" w:w="4320"/>
            <w:vAlign w:val="top"/>
            <w:tcMar>
              <w:top w:w="100" w:type="dxa"/>
              <w:start w:w="95" w:type="dxa"/>
              <w:bottom w:w="100" w:type="dxa"/>
              <w:end w:w="95" w:type="dxa"/>
            </w:tcMar>
            <w:shd w:fill="F1F5F8"/>
          </w:tcPr>
          <w:p>
            <w:pPr>
              <w:spacing w:after="20"/>
            </w:pPr>
            <w:r>
              <w:rPr>
                <w:b w:val="0"/>
                <w:color w:val="253344"/>
                <w:sz w:val="15"/>
              </w:rPr>
              <w:t>Diameter classification and peak-force study</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Technical Input</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REQ-017</w:t>
            </w:r>
          </w:p>
        </w:tc>
        <w:tc>
          <w:tcPr>
            <w:tcW w:type="dxa" w:w="3024"/>
            <w:vAlign w:val="top"/>
            <w:tcMar>
              <w:top w:w="100" w:type="dxa"/>
              <w:start w:w="95" w:type="dxa"/>
              <w:bottom w:w="100" w:type="dxa"/>
              <w:end w:w="95" w:type="dxa"/>
            </w:tcMar>
          </w:tcPr>
          <w:p>
            <w:pPr>
              <w:spacing w:after="20"/>
            </w:pPr>
            <w:r>
              <w:rPr>
                <w:b w:val="0"/>
                <w:color w:val="253344"/>
                <w:sz w:val="15"/>
              </w:rPr>
              <w:t>ISO 20697 §6.5 / Annex F</w:t>
            </w:r>
          </w:p>
        </w:tc>
        <w:tc>
          <w:tcPr>
            <w:tcW w:type="dxa" w:w="3528"/>
            <w:vAlign w:val="top"/>
            <w:tcMar>
              <w:top w:w="100" w:type="dxa"/>
              <w:start w:w="95" w:type="dxa"/>
              <w:bottom w:w="100" w:type="dxa"/>
              <w:end w:w="95" w:type="dxa"/>
            </w:tcMar>
          </w:tcPr>
          <w:p>
            <w:pPr>
              <w:spacing w:after="20"/>
            </w:pPr>
            <w:r>
              <w:rPr>
                <w:b w:val="0"/>
                <w:color w:val="253344"/>
                <w:sz w:val="15"/>
              </w:rPr>
              <w:t>Collection-device impact resistance if included</w:t>
            </w:r>
          </w:p>
        </w:tc>
        <w:tc>
          <w:tcPr>
            <w:tcW w:type="dxa" w:w="2160"/>
            <w:vAlign w:val="top"/>
            <w:tcMar>
              <w:top w:w="100" w:type="dxa"/>
              <w:start w:w="95" w:type="dxa"/>
              <w:bottom w:w="100" w:type="dxa"/>
              <w:end w:w="95" w:type="dxa"/>
            </w:tcMar>
          </w:tcPr>
          <w:p>
            <w:pPr>
              <w:spacing w:after="20"/>
            </w:pPr>
            <w:r>
              <w:rPr>
                <w:b w:val="0"/>
                <w:color w:val="253344"/>
                <w:sz w:val="15"/>
              </w:rPr>
              <w:t>GAP-001</w:t>
            </w:r>
          </w:p>
        </w:tc>
        <w:tc>
          <w:tcPr>
            <w:tcW w:type="dxa" w:w="4320"/>
            <w:vAlign w:val="top"/>
            <w:tcMar>
              <w:top w:w="100" w:type="dxa"/>
              <w:start w:w="95" w:type="dxa"/>
              <w:bottom w:w="100" w:type="dxa"/>
              <w:end w:w="95" w:type="dxa"/>
            </w:tcMar>
          </w:tcPr>
          <w:p>
            <w:pPr>
              <w:spacing w:after="20"/>
            </w:pPr>
            <w:r>
              <w:rPr>
                <w:b w:val="0"/>
                <w:color w:val="253344"/>
                <w:sz w:val="15"/>
              </w:rPr>
              <w:t>Kit configuration and evidence/N/A</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Applicability</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REQ-018</w:t>
            </w:r>
          </w:p>
        </w:tc>
        <w:tc>
          <w:tcPr>
            <w:tcW w:type="dxa" w:w="3024"/>
            <w:vAlign w:val="top"/>
            <w:tcMar>
              <w:top w:w="100" w:type="dxa"/>
              <w:start w:w="95" w:type="dxa"/>
              <w:bottom w:w="100" w:type="dxa"/>
              <w:end w:w="95" w:type="dxa"/>
            </w:tcMar>
            <w:shd w:fill="F1F5F8"/>
          </w:tcPr>
          <w:p>
            <w:pPr>
              <w:spacing w:after="20"/>
            </w:pPr>
            <w:r>
              <w:rPr>
                <w:b w:val="0"/>
                <w:color w:val="253344"/>
                <w:sz w:val="15"/>
              </w:rPr>
              <w:t>ISO 20697 §6.6 / Annex G</w:t>
            </w:r>
          </w:p>
        </w:tc>
        <w:tc>
          <w:tcPr>
            <w:tcW w:type="dxa" w:w="3528"/>
            <w:vAlign w:val="top"/>
            <w:tcMar>
              <w:top w:w="100" w:type="dxa"/>
              <w:start w:w="95" w:type="dxa"/>
              <w:bottom w:w="100" w:type="dxa"/>
              <w:end w:w="95" w:type="dxa"/>
            </w:tcMar>
            <w:shd w:fill="F1F5F8"/>
          </w:tcPr>
          <w:p>
            <w:pPr>
              <w:spacing w:after="20"/>
            </w:pPr>
            <w:r>
              <w:rPr>
                <w:b w:val="0"/>
                <w:color w:val="253344"/>
                <w:sz w:val="15"/>
              </w:rPr>
              <w:t>Claimed drainage flow performance</w:t>
            </w:r>
          </w:p>
        </w:tc>
        <w:tc>
          <w:tcPr>
            <w:tcW w:type="dxa" w:w="2160"/>
            <w:vAlign w:val="top"/>
            <w:tcMar>
              <w:top w:w="100" w:type="dxa"/>
              <w:start w:w="95" w:type="dxa"/>
              <w:bottom w:w="100" w:type="dxa"/>
              <w:end w:w="95" w:type="dxa"/>
            </w:tcMar>
            <w:shd w:fill="F1F5F8"/>
          </w:tcPr>
          <w:p>
            <w:pPr>
              <w:spacing w:after="20"/>
            </w:pPr>
            <w:r>
              <w:rPr>
                <w:b w:val="0"/>
                <w:color w:val="253344"/>
                <w:sz w:val="15"/>
              </w:rPr>
              <w:t>GAP-007</w:t>
            </w:r>
          </w:p>
        </w:tc>
        <w:tc>
          <w:tcPr>
            <w:tcW w:type="dxa" w:w="4320"/>
            <w:vAlign w:val="top"/>
            <w:tcMar>
              <w:top w:w="100" w:type="dxa"/>
              <w:start w:w="95" w:type="dxa"/>
              <w:bottom w:w="100" w:type="dxa"/>
              <w:end w:w="95" w:type="dxa"/>
            </w:tcMar>
            <w:shd w:fill="F1F5F8"/>
          </w:tcPr>
          <w:p>
            <w:pPr>
              <w:spacing w:after="20"/>
            </w:pPr>
            <w:r>
              <w:rPr>
                <w:b w:val="0"/>
                <w:color w:val="253344"/>
                <w:sz w:val="15"/>
              </w:rPr>
              <w:t>Approved flow claim + method + execution evidence</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Technical Input</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REQ-019</w:t>
            </w:r>
          </w:p>
        </w:tc>
        <w:tc>
          <w:tcPr>
            <w:tcW w:type="dxa" w:w="3024"/>
            <w:vAlign w:val="top"/>
            <w:tcMar>
              <w:top w:w="100" w:type="dxa"/>
              <w:start w:w="95" w:type="dxa"/>
              <w:bottom w:w="100" w:type="dxa"/>
              <w:end w:w="95" w:type="dxa"/>
            </w:tcMar>
          </w:tcPr>
          <w:p>
            <w:pPr>
              <w:spacing w:after="20"/>
            </w:pPr>
            <w:r>
              <w:rPr>
                <w:b w:val="0"/>
                <w:color w:val="253344"/>
                <w:sz w:val="15"/>
              </w:rPr>
              <w:t>ISO 20697 §6.7 / Annex H informative</w:t>
            </w:r>
          </w:p>
        </w:tc>
        <w:tc>
          <w:tcPr>
            <w:tcW w:type="dxa" w:w="3528"/>
            <w:vAlign w:val="top"/>
            <w:tcMar>
              <w:top w:w="100" w:type="dxa"/>
              <w:start w:w="95" w:type="dxa"/>
              <w:bottom w:w="100" w:type="dxa"/>
              <w:end w:w="95" w:type="dxa"/>
            </w:tcMar>
          </w:tcPr>
          <w:p>
            <w:pPr>
              <w:spacing w:after="20"/>
            </w:pPr>
            <w:r>
              <w:rPr>
                <w:b w:val="0"/>
                <w:color w:val="253344"/>
                <w:sz w:val="15"/>
              </w:rPr>
              <w:t>Non-balloon retention strength if applicable</w:t>
            </w:r>
          </w:p>
        </w:tc>
        <w:tc>
          <w:tcPr>
            <w:tcW w:type="dxa" w:w="2160"/>
            <w:vAlign w:val="top"/>
            <w:tcMar>
              <w:top w:w="100" w:type="dxa"/>
              <w:start w:w="95" w:type="dxa"/>
              <w:bottom w:w="100" w:type="dxa"/>
              <w:end w:w="95" w:type="dxa"/>
            </w:tcMar>
          </w:tcPr>
          <w:p>
            <w:pPr>
              <w:spacing w:after="20"/>
            </w:pPr>
            <w:r>
              <w:rPr>
                <w:b w:val="0"/>
                <w:color w:val="253344"/>
                <w:sz w:val="15"/>
              </w:rPr>
              <w:t>GAP-006</w:t>
            </w:r>
          </w:p>
        </w:tc>
        <w:tc>
          <w:tcPr>
            <w:tcW w:type="dxa" w:w="4320"/>
            <w:vAlign w:val="top"/>
            <w:tcMar>
              <w:top w:w="100" w:type="dxa"/>
              <w:start w:w="95" w:type="dxa"/>
              <w:bottom w:w="100" w:type="dxa"/>
              <w:end w:w="95" w:type="dxa"/>
            </w:tcMar>
          </w:tcPr>
          <w:p>
            <w:pPr>
              <w:spacing w:after="20"/>
            </w:pPr>
            <w:r>
              <w:rPr>
                <w:b w:val="0"/>
                <w:color w:val="253344"/>
                <w:sz w:val="15"/>
              </w:rPr>
              <w:t>Controlled retention assessment and claim</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Technical Input</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REQ-020</w:t>
            </w:r>
          </w:p>
        </w:tc>
        <w:tc>
          <w:tcPr>
            <w:tcW w:type="dxa" w:w="3024"/>
            <w:vAlign w:val="top"/>
            <w:tcMar>
              <w:top w:w="100" w:type="dxa"/>
              <w:start w:w="95" w:type="dxa"/>
              <w:bottom w:w="100" w:type="dxa"/>
              <w:end w:w="95" w:type="dxa"/>
            </w:tcMar>
            <w:shd w:fill="F1F5F8"/>
          </w:tcPr>
          <w:p>
            <w:pPr>
              <w:spacing w:after="20"/>
            </w:pPr>
            <w:r>
              <w:rPr>
                <w:b w:val="0"/>
                <w:color w:val="253344"/>
                <w:sz w:val="15"/>
              </w:rPr>
              <w:t>ISO 20697 §§6.8–6.10 / Annexes I–L</w:t>
            </w:r>
          </w:p>
        </w:tc>
        <w:tc>
          <w:tcPr>
            <w:tcW w:type="dxa" w:w="3528"/>
            <w:vAlign w:val="top"/>
            <w:tcMar>
              <w:top w:w="100" w:type="dxa"/>
              <w:start w:w="95" w:type="dxa"/>
              <w:bottom w:w="100" w:type="dxa"/>
              <w:end w:w="95" w:type="dxa"/>
            </w:tcMar>
            <w:shd w:fill="F1F5F8"/>
          </w:tcPr>
          <w:p>
            <w:pPr>
              <w:spacing w:after="20"/>
            </w:pPr>
            <w:r>
              <w:rPr>
                <w:b w:val="0"/>
                <w:color w:val="253344"/>
                <w:sz w:val="15"/>
              </w:rPr>
              <w:t>Balloon safety, lumen and traction IF balloon present</w:t>
            </w:r>
          </w:p>
        </w:tc>
        <w:tc>
          <w:tcPr>
            <w:tcW w:type="dxa" w:w="2160"/>
            <w:vAlign w:val="top"/>
            <w:tcMar>
              <w:top w:w="100" w:type="dxa"/>
              <w:start w:w="95" w:type="dxa"/>
              <w:bottom w:w="100" w:type="dxa"/>
              <w:end w:w="95" w:type="dxa"/>
            </w:tcMar>
            <w:shd w:fill="F1F5F8"/>
          </w:tcPr>
          <w:p>
            <w:pPr>
              <w:spacing w:after="20"/>
            </w:pPr>
            <w:r>
              <w:rPr>
                <w:b w:val="0"/>
                <w:color w:val="253344"/>
                <w:sz w:val="15"/>
              </w:rPr>
              <w:t>GAP-001</w:t>
            </w:r>
          </w:p>
        </w:tc>
        <w:tc>
          <w:tcPr>
            <w:tcW w:type="dxa" w:w="4320"/>
            <w:vAlign w:val="top"/>
            <w:tcMar>
              <w:top w:w="100" w:type="dxa"/>
              <w:start w:w="95" w:type="dxa"/>
              <w:bottom w:w="100" w:type="dxa"/>
              <w:end w:w="95" w:type="dxa"/>
            </w:tcMar>
            <w:shd w:fill="F1F5F8"/>
          </w:tcPr>
          <w:p>
            <w:pPr>
              <w:spacing w:after="20"/>
            </w:pPr>
            <w:r>
              <w:rPr>
                <w:b w:val="0"/>
                <w:color w:val="253344"/>
                <w:sz w:val="15"/>
              </w:rPr>
              <w:t>Variant BOM; balloon evidence or N/A justification</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Applicability</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REQ-021</w:t>
            </w:r>
          </w:p>
        </w:tc>
        <w:tc>
          <w:tcPr>
            <w:tcW w:type="dxa" w:w="3024"/>
            <w:vAlign w:val="top"/>
            <w:tcMar>
              <w:top w:w="100" w:type="dxa"/>
              <w:start w:w="95" w:type="dxa"/>
              <w:bottom w:w="100" w:type="dxa"/>
              <w:end w:w="95" w:type="dxa"/>
            </w:tcMar>
          </w:tcPr>
          <w:p>
            <w:pPr>
              <w:spacing w:after="20"/>
            </w:pPr>
            <w:r>
              <w:rPr>
                <w:b w:val="0"/>
                <w:color w:val="253344"/>
                <w:sz w:val="15"/>
              </w:rPr>
              <w:t>ISO 20697 §6.11 / Annex M</w:t>
            </w:r>
          </w:p>
        </w:tc>
        <w:tc>
          <w:tcPr>
            <w:tcW w:type="dxa" w:w="3528"/>
            <w:vAlign w:val="top"/>
            <w:tcMar>
              <w:top w:w="100" w:type="dxa"/>
              <w:start w:w="95" w:type="dxa"/>
              <w:bottom w:w="100" w:type="dxa"/>
              <w:end w:w="95" w:type="dxa"/>
            </w:tcMar>
          </w:tcPr>
          <w:p>
            <w:pPr>
              <w:spacing w:after="20"/>
            </w:pPr>
            <w:r>
              <w:rPr>
                <w:b w:val="0"/>
                <w:color w:val="253344"/>
                <w:sz w:val="15"/>
              </w:rPr>
              <w:t>Vacuum air leakage if designed for suction</w:t>
            </w:r>
          </w:p>
        </w:tc>
        <w:tc>
          <w:tcPr>
            <w:tcW w:type="dxa" w:w="2160"/>
            <w:vAlign w:val="top"/>
            <w:tcMar>
              <w:top w:w="100" w:type="dxa"/>
              <w:start w:w="95" w:type="dxa"/>
              <w:bottom w:w="100" w:type="dxa"/>
              <w:end w:w="95" w:type="dxa"/>
            </w:tcMar>
          </w:tcPr>
          <w:p>
            <w:pPr>
              <w:spacing w:after="20"/>
            </w:pPr>
            <w:r>
              <w:rPr>
                <w:b w:val="0"/>
                <w:color w:val="253344"/>
                <w:sz w:val="15"/>
              </w:rPr>
              <w:t>GAP-010</w:t>
            </w:r>
          </w:p>
        </w:tc>
        <w:tc>
          <w:tcPr>
            <w:tcW w:type="dxa" w:w="4320"/>
            <w:vAlign w:val="top"/>
            <w:tcMar>
              <w:top w:w="100" w:type="dxa"/>
              <w:start w:w="95" w:type="dxa"/>
              <w:bottom w:w="100" w:type="dxa"/>
              <w:end w:w="95" w:type="dxa"/>
            </w:tcMar>
          </w:tcPr>
          <w:p>
            <w:pPr>
              <w:spacing w:after="20"/>
            </w:pPr>
            <w:r>
              <w:rPr>
                <w:b w:val="0"/>
                <w:color w:val="253344"/>
                <w:sz w:val="15"/>
              </w:rPr>
              <w:t>Pressure use case/test evidence or N/A</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Applicability</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REQ-022</w:t>
            </w:r>
          </w:p>
        </w:tc>
        <w:tc>
          <w:tcPr>
            <w:tcW w:type="dxa" w:w="3024"/>
            <w:vAlign w:val="top"/>
            <w:tcMar>
              <w:top w:w="100" w:type="dxa"/>
              <w:start w:w="95" w:type="dxa"/>
              <w:bottom w:w="100" w:type="dxa"/>
              <w:end w:w="95" w:type="dxa"/>
            </w:tcMar>
            <w:shd w:fill="F1F5F8"/>
          </w:tcPr>
          <w:p>
            <w:pPr>
              <w:spacing w:after="20"/>
            </w:pPr>
            <w:r>
              <w:rPr>
                <w:b w:val="0"/>
                <w:color w:val="253344"/>
                <w:sz w:val="15"/>
              </w:rPr>
              <w:t>ISO 20697 §7</w:t>
            </w:r>
          </w:p>
        </w:tc>
        <w:tc>
          <w:tcPr>
            <w:tcW w:type="dxa" w:w="3528"/>
            <w:vAlign w:val="top"/>
            <w:tcMar>
              <w:top w:w="100" w:type="dxa"/>
              <w:start w:w="95" w:type="dxa"/>
              <w:bottom w:w="100" w:type="dxa"/>
              <w:end w:w="95" w:type="dxa"/>
            </w:tcMar>
            <w:shd w:fill="F1F5F8"/>
          </w:tcPr>
          <w:p>
            <w:pPr>
              <w:spacing w:after="20"/>
            </w:pPr>
            <w:r>
              <w:rPr>
                <w:b w:val="0"/>
                <w:color w:val="253344"/>
                <w:sz w:val="15"/>
              </w:rPr>
              <w:t>Marking and instructions supplied by manufacturer</w:t>
            </w:r>
          </w:p>
        </w:tc>
        <w:tc>
          <w:tcPr>
            <w:tcW w:type="dxa" w:w="2160"/>
            <w:vAlign w:val="top"/>
            <w:tcMar>
              <w:top w:w="100" w:type="dxa"/>
              <w:start w:w="95" w:type="dxa"/>
              <w:bottom w:w="100" w:type="dxa"/>
              <w:end w:w="95" w:type="dxa"/>
            </w:tcMar>
            <w:shd w:fill="F1F5F8"/>
          </w:tcPr>
          <w:p>
            <w:pPr>
              <w:spacing w:after="20"/>
            </w:pPr>
            <w:r>
              <w:rPr>
                <w:b w:val="0"/>
                <w:color w:val="253344"/>
                <w:sz w:val="15"/>
              </w:rPr>
              <w:t>GAP-016</w:t>
            </w:r>
          </w:p>
        </w:tc>
        <w:tc>
          <w:tcPr>
            <w:tcW w:type="dxa" w:w="4320"/>
            <w:vAlign w:val="top"/>
            <w:tcMar>
              <w:top w:w="100" w:type="dxa"/>
              <w:start w:w="95" w:type="dxa"/>
              <w:bottom w:w="100" w:type="dxa"/>
              <w:end w:w="95" w:type="dxa"/>
            </w:tcMar>
            <w:shd w:fill="F1F5F8"/>
          </w:tcPr>
          <w:p>
            <w:pPr>
              <w:spacing w:after="20"/>
            </w:pPr>
            <w:r>
              <w:rPr>
                <w:b w:val="0"/>
                <w:color w:val="253344"/>
                <w:sz w:val="15"/>
              </w:rPr>
              <w:t>Approved labels, IFU, packaging checks</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Evidence</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REQ-023</w:t>
            </w:r>
          </w:p>
        </w:tc>
        <w:tc>
          <w:tcPr>
            <w:tcW w:type="dxa" w:w="3024"/>
            <w:vAlign w:val="top"/>
            <w:tcMar>
              <w:top w:w="100" w:type="dxa"/>
              <w:start w:w="95" w:type="dxa"/>
              <w:bottom w:w="100" w:type="dxa"/>
              <w:end w:w="95" w:type="dxa"/>
            </w:tcMar>
          </w:tcPr>
          <w:p>
            <w:pPr>
              <w:spacing w:after="20"/>
            </w:pPr>
            <w:r>
              <w:rPr>
                <w:b w:val="0"/>
                <w:color w:val="253344"/>
                <w:sz w:val="15"/>
              </w:rPr>
              <w:t>ISO 80369-20 §4 / Annexes B–I</w:t>
            </w:r>
          </w:p>
        </w:tc>
        <w:tc>
          <w:tcPr>
            <w:tcW w:type="dxa" w:w="3528"/>
            <w:vAlign w:val="top"/>
            <w:tcMar>
              <w:top w:w="100" w:type="dxa"/>
              <w:start w:w="95" w:type="dxa"/>
              <w:bottom w:w="100" w:type="dxa"/>
              <w:end w:w="95" w:type="dxa"/>
            </w:tcMar>
          </w:tcPr>
          <w:p>
            <w:pPr>
              <w:spacing w:after="20"/>
            </w:pPr>
            <w:r>
              <w:rPr>
                <w:b w:val="0"/>
                <w:color w:val="253344"/>
                <w:sz w:val="15"/>
              </w:rPr>
              <w:t>Connector test methods; only with applicable product connector requirements</w:t>
            </w:r>
          </w:p>
        </w:tc>
        <w:tc>
          <w:tcPr>
            <w:tcW w:type="dxa" w:w="2160"/>
            <w:vAlign w:val="top"/>
            <w:tcMar>
              <w:top w:w="100" w:type="dxa"/>
              <w:start w:w="95" w:type="dxa"/>
              <w:bottom w:w="100" w:type="dxa"/>
              <w:end w:w="95" w:type="dxa"/>
            </w:tcMar>
          </w:tcPr>
          <w:p>
            <w:pPr>
              <w:spacing w:after="20"/>
            </w:pPr>
            <w:r>
              <w:rPr>
                <w:b w:val="0"/>
                <w:color w:val="253344"/>
                <w:sz w:val="15"/>
              </w:rPr>
              <w:t>GAP-002; GAP-010</w:t>
            </w:r>
          </w:p>
        </w:tc>
        <w:tc>
          <w:tcPr>
            <w:tcW w:type="dxa" w:w="4320"/>
            <w:vAlign w:val="top"/>
            <w:tcMar>
              <w:top w:w="100" w:type="dxa"/>
              <w:start w:w="95" w:type="dxa"/>
              <w:bottom w:w="100" w:type="dxa"/>
              <w:end w:w="95" w:type="dxa"/>
            </w:tcMar>
          </w:tcPr>
          <w:p>
            <w:pPr>
              <w:spacing w:after="20"/>
            </w:pPr>
            <w:r>
              <w:rPr>
                <w:b w:val="0"/>
                <w:color w:val="253344"/>
                <w:sz w:val="15"/>
              </w:rPr>
              <w:t>Authorized method, type-test results; applicability</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Applicability</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REQ-024</w:t>
            </w:r>
          </w:p>
        </w:tc>
        <w:tc>
          <w:tcPr>
            <w:tcW w:type="dxa" w:w="3024"/>
            <w:vAlign w:val="top"/>
            <w:tcMar>
              <w:top w:w="100" w:type="dxa"/>
              <w:start w:w="95" w:type="dxa"/>
              <w:bottom w:w="100" w:type="dxa"/>
              <w:end w:w="95" w:type="dxa"/>
            </w:tcMar>
            <w:shd w:fill="F1F5F8"/>
          </w:tcPr>
          <w:p>
            <w:pPr>
              <w:spacing w:after="20"/>
            </w:pPr>
            <w:r>
              <w:rPr>
                <w:b w:val="0"/>
                <w:color w:val="253344"/>
                <w:sz w:val="15"/>
              </w:rPr>
              <w:t>ISO 80369-6 §1</w:t>
            </w:r>
          </w:p>
        </w:tc>
        <w:tc>
          <w:tcPr>
            <w:tcW w:type="dxa" w:w="3528"/>
            <w:vAlign w:val="top"/>
            <w:tcMar>
              <w:top w:w="100" w:type="dxa"/>
              <w:start w:w="95" w:type="dxa"/>
              <w:bottom w:w="100" w:type="dxa"/>
              <w:end w:w="95" w:type="dxa"/>
            </w:tcMar>
            <w:shd w:fill="F1F5F8"/>
          </w:tcPr>
          <w:p>
            <w:pPr>
              <w:spacing w:after="20"/>
            </w:pPr>
            <w:r>
              <w:rPr>
                <w:b w:val="0"/>
                <w:color w:val="253344"/>
                <w:sz w:val="15"/>
              </w:rPr>
              <w:t>Neuraxial connector standard; ordinarily not peritoneal dialysis</w:t>
            </w:r>
          </w:p>
        </w:tc>
        <w:tc>
          <w:tcPr>
            <w:tcW w:type="dxa" w:w="2160"/>
            <w:vAlign w:val="top"/>
            <w:tcMar>
              <w:top w:w="100" w:type="dxa"/>
              <w:start w:w="95" w:type="dxa"/>
              <w:bottom w:w="100" w:type="dxa"/>
              <w:end w:w="95" w:type="dxa"/>
            </w:tcMar>
            <w:shd w:fill="F1F5F8"/>
          </w:tcPr>
          <w:p>
            <w:pPr>
              <w:spacing w:after="20"/>
            </w:pPr>
            <w:r>
              <w:rPr>
                <w:b w:val="0"/>
                <w:color w:val="253344"/>
                <w:sz w:val="15"/>
              </w:rPr>
              <w:t>GAP-001; GAP-009</w:t>
            </w:r>
          </w:p>
        </w:tc>
        <w:tc>
          <w:tcPr>
            <w:tcW w:type="dxa" w:w="4320"/>
            <w:vAlign w:val="top"/>
            <w:tcMar>
              <w:top w:w="100" w:type="dxa"/>
              <w:start w:w="95" w:type="dxa"/>
              <w:bottom w:w="100" w:type="dxa"/>
              <w:end w:w="95" w:type="dxa"/>
            </w:tcMar>
            <w:shd w:fill="F1F5F8"/>
          </w:tcPr>
          <w:p>
            <w:pPr>
              <w:spacing w:after="20"/>
            </w:pPr>
            <w:r>
              <w:rPr>
                <w:b w:val="0"/>
                <w:color w:val="253344"/>
                <w:sz w:val="15"/>
              </w:rPr>
              <w:t>Formal excluded-scope justification unless design proves otherwise</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Applicability</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REQ-025</w:t>
            </w:r>
          </w:p>
        </w:tc>
        <w:tc>
          <w:tcPr>
            <w:tcW w:type="dxa" w:w="3024"/>
            <w:vAlign w:val="top"/>
            <w:tcMar>
              <w:top w:w="100" w:type="dxa"/>
              <w:start w:w="95" w:type="dxa"/>
              <w:bottom w:w="100" w:type="dxa"/>
              <w:end w:w="95" w:type="dxa"/>
            </w:tcMar>
          </w:tcPr>
          <w:p>
            <w:pPr>
              <w:spacing w:after="20"/>
            </w:pPr>
            <w:r>
              <w:rPr>
                <w:b w:val="0"/>
                <w:color w:val="253344"/>
                <w:sz w:val="15"/>
              </w:rPr>
              <w:t>ISO 8536-4 §1</w:t>
            </w:r>
          </w:p>
        </w:tc>
        <w:tc>
          <w:tcPr>
            <w:tcW w:type="dxa" w:w="3528"/>
            <w:vAlign w:val="top"/>
            <w:tcMar>
              <w:top w:w="100" w:type="dxa"/>
              <w:start w:w="95" w:type="dxa"/>
              <w:bottom w:w="100" w:type="dxa"/>
              <w:end w:w="95" w:type="dxa"/>
            </w:tcMar>
          </w:tcPr>
          <w:p>
            <w:pPr>
              <w:spacing w:after="20"/>
            </w:pPr>
            <w:r>
              <w:rPr>
                <w:b w:val="0"/>
                <w:color w:val="253344"/>
                <w:sz w:val="15"/>
              </w:rPr>
              <w:t>Gravity infusion set standard; not catheter by designation</w:t>
            </w:r>
          </w:p>
        </w:tc>
        <w:tc>
          <w:tcPr>
            <w:tcW w:type="dxa" w:w="2160"/>
            <w:vAlign w:val="top"/>
            <w:tcMar>
              <w:top w:w="100" w:type="dxa"/>
              <w:start w:w="95" w:type="dxa"/>
              <w:bottom w:w="100" w:type="dxa"/>
              <w:end w:w="95" w:type="dxa"/>
            </w:tcMar>
          </w:tcPr>
          <w:p>
            <w:pPr>
              <w:spacing w:after="20"/>
            </w:pPr>
            <w:r>
              <w:rPr>
                <w:b w:val="0"/>
                <w:color w:val="253344"/>
                <w:sz w:val="15"/>
              </w:rPr>
              <w:t>GAP-001; GAP-002</w:t>
            </w:r>
          </w:p>
        </w:tc>
        <w:tc>
          <w:tcPr>
            <w:tcW w:type="dxa" w:w="4320"/>
            <w:vAlign w:val="top"/>
            <w:tcMar>
              <w:top w:w="100" w:type="dxa"/>
              <w:start w:w="95" w:type="dxa"/>
              <w:bottom w:w="100" w:type="dxa"/>
              <w:end w:w="95" w:type="dxa"/>
            </w:tcMar>
          </w:tcPr>
          <w:p>
            <w:pPr>
              <w:spacing w:after="20"/>
            </w:pPr>
            <w:r>
              <w:rPr>
                <w:b w:val="0"/>
                <w:color w:val="253344"/>
                <w:sz w:val="15"/>
              </w:rPr>
              <w:t>Formal excluded-scope justification or valid component link</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Applicability</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shd w:fill="F1F5F8"/>
          </w:tcPr>
          <w:p>
            <w:pPr>
              <w:spacing w:after="20"/>
            </w:pPr>
            <w:r>
              <w:rPr>
                <w:b/>
                <w:color w:val="1B4567"/>
                <w:sz w:val="15"/>
              </w:rPr>
              <w:t>REQ-026</w:t>
            </w:r>
          </w:p>
        </w:tc>
        <w:tc>
          <w:tcPr>
            <w:tcW w:type="dxa" w:w="3024"/>
            <w:vAlign w:val="top"/>
            <w:tcMar>
              <w:top w:w="100" w:type="dxa"/>
              <w:start w:w="95" w:type="dxa"/>
              <w:bottom w:w="100" w:type="dxa"/>
              <w:end w:w="95" w:type="dxa"/>
            </w:tcMar>
            <w:shd w:fill="F1F5F8"/>
          </w:tcPr>
          <w:p>
            <w:pPr>
              <w:spacing w:after="20"/>
            </w:pPr>
            <w:r>
              <w:rPr>
                <w:b w:val="0"/>
                <w:color w:val="253344"/>
                <w:sz w:val="15"/>
              </w:rPr>
              <w:t>BS EN 1618 §1/Annexes A–F</w:t>
            </w:r>
          </w:p>
        </w:tc>
        <w:tc>
          <w:tcPr>
            <w:tcW w:type="dxa" w:w="3528"/>
            <w:vAlign w:val="top"/>
            <w:tcMar>
              <w:top w:w="100" w:type="dxa"/>
              <w:start w:w="95" w:type="dxa"/>
              <w:bottom w:w="100" w:type="dxa"/>
              <w:end w:w="95" w:type="dxa"/>
            </w:tcMar>
            <w:shd w:fill="F1F5F8"/>
          </w:tcPr>
          <w:p>
            <w:pPr>
              <w:spacing w:after="20"/>
            </w:pPr>
            <w:r>
              <w:rPr>
                <w:b w:val="0"/>
                <w:color w:val="253344"/>
                <w:sz w:val="15"/>
              </w:rPr>
              <w:t>Optional controlled catheter test methods; not all are lot requirements</w:t>
            </w:r>
          </w:p>
        </w:tc>
        <w:tc>
          <w:tcPr>
            <w:tcW w:type="dxa" w:w="2160"/>
            <w:vAlign w:val="top"/>
            <w:tcMar>
              <w:top w:w="100" w:type="dxa"/>
              <w:start w:w="95" w:type="dxa"/>
              <w:bottom w:w="100" w:type="dxa"/>
              <w:end w:w="95" w:type="dxa"/>
            </w:tcMar>
            <w:shd w:fill="F1F5F8"/>
          </w:tcPr>
          <w:p>
            <w:pPr>
              <w:spacing w:after="20"/>
            </w:pPr>
            <w:r>
              <w:rPr>
                <w:b w:val="0"/>
                <w:color w:val="253344"/>
                <w:sz w:val="15"/>
              </w:rPr>
              <w:t>GAP-002; GAP-007; GAP-008</w:t>
            </w:r>
          </w:p>
        </w:tc>
        <w:tc>
          <w:tcPr>
            <w:tcW w:type="dxa" w:w="4320"/>
            <w:vAlign w:val="top"/>
            <w:tcMar>
              <w:top w:w="100" w:type="dxa"/>
              <w:start w:w="95" w:type="dxa"/>
              <w:bottom w:w="100" w:type="dxa"/>
              <w:end w:w="95" w:type="dxa"/>
            </w:tcMar>
            <w:shd w:fill="F1F5F8"/>
          </w:tcPr>
          <w:p>
            <w:pPr>
              <w:spacing w:after="20"/>
            </w:pPr>
            <w:r>
              <w:rPr>
                <w:b w:val="0"/>
                <w:color w:val="253344"/>
                <w:sz w:val="15"/>
              </w:rPr>
              <w:t>Method applicability / qualified procedure &amp; results</w:t>
            </w:r>
          </w:p>
        </w:tc>
        <w:tc>
          <w:tcPr>
            <w:tcW w:type="dxa" w:w="2592"/>
            <w:vAlign w:val="top"/>
            <w:tcMar>
              <w:top w:w="100" w:type="dxa"/>
              <w:start w:w="95" w:type="dxa"/>
              <w:bottom w:w="100" w:type="dxa"/>
              <w:end w:w="95" w:type="dxa"/>
            </w:tcMar>
            <w:shd w:fill="F1F5F8"/>
          </w:tcPr>
          <w:p>
            <w:pPr>
              <w:spacing w:after="20"/>
            </w:pPr>
            <w:r>
              <w:rPr>
                <w:b w:val="0"/>
                <w:color w:val="253344"/>
                <w:sz w:val="15"/>
              </w:rPr>
              <w:t>None supplied / not verified</w:t>
            </w:r>
          </w:p>
        </w:tc>
        <w:tc>
          <w:tcPr>
            <w:tcW w:type="dxa" w:w="2016"/>
            <w:vAlign w:val="top"/>
            <w:tcMar>
              <w:top w:w="100" w:type="dxa"/>
              <w:start w:w="95" w:type="dxa"/>
              <w:bottom w:w="100" w:type="dxa"/>
              <w:end w:w="95" w:type="dxa"/>
            </w:tcMar>
            <w:shd w:fill="F1F5F8"/>
          </w:tcPr>
          <w:p>
            <w:pPr>
              <w:spacing w:after="20"/>
            </w:pPr>
            <w:r>
              <w:rPr>
                <w:b w:val="0"/>
                <w:color w:val="253344"/>
                <w:sz w:val="15"/>
              </w:rPr>
              <w:t>Draft proposal only</w:t>
            </w:r>
          </w:p>
        </w:tc>
        <w:tc>
          <w:tcPr>
            <w:tcW w:type="dxa" w:w="2376"/>
            <w:vAlign w:val="top"/>
            <w:tcMar>
              <w:top w:w="100" w:type="dxa"/>
              <w:start w:w="95" w:type="dxa"/>
              <w:bottom w:w="100" w:type="dxa"/>
              <w:end w:w="95" w:type="dxa"/>
            </w:tcMar>
            <w:shd w:fill="F1F5F8"/>
          </w:tcPr>
          <w:p>
            <w:pPr>
              <w:spacing w:after="20"/>
            </w:pPr>
            <w:r>
              <w:rPr>
                <w:b w:val="0"/>
                <w:color w:val="253344"/>
                <w:sz w:val="15"/>
              </w:rPr>
              <w:t>Open — Applicability</w:t>
            </w:r>
          </w:p>
        </w:tc>
        <w:tc>
          <w:tcPr>
            <w:tcW w:type="dxa" w:w="2016"/>
            <w:vAlign w:val="top"/>
            <w:tcMar>
              <w:top w:w="100" w:type="dxa"/>
              <w:start w:w="95" w:type="dxa"/>
              <w:bottom w:w="100" w:type="dxa"/>
              <w:end w:w="95" w:type="dxa"/>
            </w:tcMar>
            <w:shd w:fill="F1F5F8"/>
          </w:tcPr>
          <w:p>
            <w:pPr>
              <w:spacing w:after="20"/>
            </w:pPr>
            <w:r>
              <w:rPr>
                <w:b w:val="0"/>
                <w:color w:val="253344"/>
                <w:sz w:val="15"/>
              </w:rPr>
              <w:t>Approve applicability/criteria; verify supporting records and completed observations.</w:t>
            </w:r>
          </w:p>
        </w:tc>
      </w:tr>
      <w:tr>
        <w:trPr>
          <w:cantSplit/>
        </w:trPr>
        <w:tc>
          <w:tcPr>
            <w:tcW w:type="dxa" w:w="1584"/>
            <w:vAlign w:val="top"/>
            <w:tcMar>
              <w:top w:w="100" w:type="dxa"/>
              <w:start w:w="95" w:type="dxa"/>
              <w:bottom w:w="100" w:type="dxa"/>
              <w:end w:w="95" w:type="dxa"/>
            </w:tcMar>
          </w:tcPr>
          <w:p>
            <w:pPr>
              <w:spacing w:after="20"/>
            </w:pPr>
            <w:r>
              <w:rPr>
                <w:b/>
                <w:color w:val="1B4567"/>
                <w:sz w:val="15"/>
              </w:rPr>
              <w:t>REQ-027</w:t>
            </w:r>
          </w:p>
        </w:tc>
        <w:tc>
          <w:tcPr>
            <w:tcW w:type="dxa" w:w="3024"/>
            <w:vAlign w:val="top"/>
            <w:tcMar>
              <w:top w:w="100" w:type="dxa"/>
              <w:start w:w="95" w:type="dxa"/>
              <w:bottom w:w="100" w:type="dxa"/>
              <w:end w:w="95" w:type="dxa"/>
            </w:tcMar>
          </w:tcPr>
          <w:p>
            <w:pPr>
              <w:spacing w:after="20"/>
            </w:pPr>
            <w:r>
              <w:rPr>
                <w:b w:val="0"/>
                <w:color w:val="253344"/>
                <w:sz w:val="15"/>
              </w:rPr>
              <w:t>Internal F-823-i99 + i15</w:t>
            </w:r>
          </w:p>
        </w:tc>
        <w:tc>
          <w:tcPr>
            <w:tcW w:type="dxa" w:w="3528"/>
            <w:vAlign w:val="top"/>
            <w:tcMar>
              <w:top w:w="100" w:type="dxa"/>
              <w:start w:w="95" w:type="dxa"/>
              <w:bottom w:w="100" w:type="dxa"/>
              <w:end w:w="95" w:type="dxa"/>
            </w:tcMar>
          </w:tcPr>
          <w:p>
            <w:pPr>
              <w:spacing w:after="20"/>
            </w:pPr>
            <w:r>
              <w:rPr>
                <w:b w:val="0"/>
                <w:color w:val="253344"/>
                <w:sz w:val="15"/>
              </w:rPr>
              <w:t>Component genealogy / hourly record validity</w:t>
            </w:r>
          </w:p>
        </w:tc>
        <w:tc>
          <w:tcPr>
            <w:tcW w:type="dxa" w:w="2160"/>
            <w:vAlign w:val="top"/>
            <w:tcMar>
              <w:top w:w="100" w:type="dxa"/>
              <w:start w:w="95" w:type="dxa"/>
              <w:bottom w:w="100" w:type="dxa"/>
              <w:end w:w="95" w:type="dxa"/>
            </w:tcMar>
          </w:tcPr>
          <w:p>
            <w:pPr>
              <w:spacing w:after="20"/>
            </w:pPr>
            <w:r>
              <w:rPr>
                <w:b w:val="0"/>
                <w:color w:val="253344"/>
                <w:sz w:val="15"/>
              </w:rPr>
              <w:t>GAP-013; GAP-014; GAP-015; GAP-017</w:t>
            </w:r>
          </w:p>
        </w:tc>
        <w:tc>
          <w:tcPr>
            <w:tcW w:type="dxa" w:w="4320"/>
            <w:vAlign w:val="top"/>
            <w:tcMar>
              <w:top w:w="100" w:type="dxa"/>
              <w:start w:w="95" w:type="dxa"/>
              <w:bottom w:w="100" w:type="dxa"/>
              <w:end w:w="95" w:type="dxa"/>
            </w:tcMar>
          </w:tcPr>
          <w:p>
            <w:pPr>
              <w:spacing w:after="20"/>
            </w:pPr>
            <w:r>
              <w:rPr>
                <w:b w:val="0"/>
                <w:color w:val="253344"/>
                <w:sz w:val="15"/>
              </w:rPr>
              <w:t>Document control and completed records</w:t>
            </w:r>
          </w:p>
        </w:tc>
        <w:tc>
          <w:tcPr>
            <w:tcW w:type="dxa" w:w="2592"/>
            <w:vAlign w:val="top"/>
            <w:tcMar>
              <w:top w:w="100" w:type="dxa"/>
              <w:start w:w="95" w:type="dxa"/>
              <w:bottom w:w="100" w:type="dxa"/>
              <w:end w:w="95" w:type="dxa"/>
            </w:tcMar>
          </w:tcPr>
          <w:p>
            <w:pPr>
              <w:spacing w:after="20"/>
            </w:pPr>
            <w:r>
              <w:rPr>
                <w:b w:val="0"/>
                <w:color w:val="253344"/>
                <w:sz w:val="15"/>
              </w:rPr>
              <w:t>None supplied / not verified</w:t>
            </w:r>
          </w:p>
        </w:tc>
        <w:tc>
          <w:tcPr>
            <w:tcW w:type="dxa" w:w="2016"/>
            <w:vAlign w:val="top"/>
            <w:tcMar>
              <w:top w:w="100" w:type="dxa"/>
              <w:start w:w="95" w:type="dxa"/>
              <w:bottom w:w="100" w:type="dxa"/>
              <w:end w:w="95" w:type="dxa"/>
            </w:tcMar>
          </w:tcPr>
          <w:p>
            <w:pPr>
              <w:spacing w:after="20"/>
            </w:pPr>
            <w:r>
              <w:rPr>
                <w:b w:val="0"/>
                <w:color w:val="253344"/>
                <w:sz w:val="15"/>
              </w:rPr>
              <w:t>Draft proposal only</w:t>
            </w:r>
          </w:p>
        </w:tc>
        <w:tc>
          <w:tcPr>
            <w:tcW w:type="dxa" w:w="2376"/>
            <w:vAlign w:val="top"/>
            <w:tcMar>
              <w:top w:w="100" w:type="dxa"/>
              <w:start w:w="95" w:type="dxa"/>
              <w:bottom w:w="100" w:type="dxa"/>
              <w:end w:w="95" w:type="dxa"/>
            </w:tcMar>
          </w:tcPr>
          <w:p>
            <w:pPr>
              <w:spacing w:after="20"/>
            </w:pPr>
            <w:r>
              <w:rPr>
                <w:b w:val="0"/>
                <w:color w:val="253344"/>
                <w:sz w:val="15"/>
              </w:rPr>
              <w:t>Open — Approval / Evidence</w:t>
            </w:r>
          </w:p>
        </w:tc>
        <w:tc>
          <w:tcPr>
            <w:tcW w:type="dxa" w:w="2016"/>
            <w:vAlign w:val="top"/>
            <w:tcMar>
              <w:top w:w="100" w:type="dxa"/>
              <w:start w:w="95" w:type="dxa"/>
              <w:bottom w:w="100" w:type="dxa"/>
              <w:end w:w="95" w:type="dxa"/>
            </w:tcMar>
          </w:tcPr>
          <w:p>
            <w:pPr>
              <w:spacing w:after="20"/>
            </w:pPr>
            <w:r>
              <w:rPr>
                <w:b w:val="0"/>
                <w:color w:val="253344"/>
                <w:sz w:val="15"/>
              </w:rPr>
              <w:t>Approve applicability/criteria; verify supporting records and completed observations.</w:t>
            </w:r>
          </w:p>
        </w:tc>
      </w:tr>
    </w:tbl>
    <w:p>
      <w:pPr>
        <w:pStyle w:val="Heading1"/>
      </w:pPr>
      <w:r>
        <w:t>3  Evidence / Document Control Register</w:t>
      </w:r>
    </w:p>
    <w:tbl>
      <w:tblPr>
        <w:tblStyle w:val="TableGrid"/>
        <w:tblW w:type="auto" w:w="0"/>
        <w:jc w:val="center"/>
        <w:tblLayout w:type="fixed"/>
        <w:tblLook w:firstColumn="1" w:firstRow="1" w:lastColumn="0" w:lastRow="0" w:noHBand="0" w:noVBand="1" w:val="04A0"/>
      </w:tblPr>
      <w:tblGrid>
        <w:gridCol w:w="7440"/>
        <w:gridCol w:w="7440"/>
        <w:gridCol w:w="7440"/>
      </w:tblGrid>
      <w:tr>
        <w:trPr>
          <w:tblHeader w:val="true"/>
          <w:cantSplit/>
        </w:trPr>
        <w:tc>
          <w:tcPr>
            <w:tcW w:type="dxa" w:w="1872"/>
            <w:shd w:fill="14283F"/>
            <w:vAlign w:val="top"/>
            <w:tcMar>
              <w:top w:w="100" w:type="dxa"/>
              <w:start w:w="95" w:type="dxa"/>
              <w:bottom w:w="100" w:type="dxa"/>
              <w:end w:w="95" w:type="dxa"/>
            </w:tcMar>
          </w:tcPr>
          <w:p>
            <w:pPr>
              <w:spacing w:after="20"/>
            </w:pPr>
            <w:r>
              <w:rPr>
                <w:b/>
                <w:color w:val="FFFFFF"/>
                <w:sz w:val="17"/>
              </w:rPr>
              <w:t>Evidence ID</w:t>
            </w:r>
          </w:p>
        </w:tc>
        <w:tc>
          <w:tcPr>
            <w:tcW w:type="dxa" w:w="12960"/>
            <w:shd w:fill="14283F"/>
            <w:vAlign w:val="top"/>
            <w:tcMar>
              <w:top w:w="100" w:type="dxa"/>
              <w:start w:w="95" w:type="dxa"/>
              <w:bottom w:w="100" w:type="dxa"/>
              <w:end w:w="95" w:type="dxa"/>
            </w:tcMar>
          </w:tcPr>
          <w:p>
            <w:pPr>
              <w:spacing w:after="20"/>
            </w:pPr>
            <w:r>
              <w:rPr>
                <w:b/>
                <w:color w:val="FFFFFF"/>
                <w:sz w:val="17"/>
              </w:rPr>
              <w:t>Specific source required</w:t>
            </w:r>
          </w:p>
        </w:tc>
        <w:tc>
          <w:tcPr>
            <w:tcW w:type="dxa" w:w="7488"/>
            <w:shd w:fill="14283F"/>
            <w:vAlign w:val="top"/>
            <w:tcMar>
              <w:top w:w="100" w:type="dxa"/>
              <w:start w:w="95" w:type="dxa"/>
              <w:bottom w:w="100" w:type="dxa"/>
              <w:end w:w="95" w:type="dxa"/>
            </w:tcMar>
          </w:tcPr>
          <w:p>
            <w:pPr>
              <w:spacing w:after="20"/>
            </w:pPr>
            <w:r>
              <w:rPr>
                <w:b/>
                <w:color w:val="FFFFFF"/>
                <w:sz w:val="17"/>
              </w:rPr>
              <w:t>Current record status</w:t>
            </w:r>
          </w:p>
        </w:tc>
      </w:tr>
      <w:tr>
        <w:trPr>
          <w:cantSplit/>
        </w:trPr>
        <w:tc>
          <w:tcPr>
            <w:tcW w:type="dxa" w:w="1872"/>
            <w:vAlign w:val="top"/>
            <w:tcMar>
              <w:top w:w="100" w:type="dxa"/>
              <w:start w:w="95" w:type="dxa"/>
              <w:bottom w:w="100" w:type="dxa"/>
              <w:end w:w="95" w:type="dxa"/>
            </w:tcMar>
          </w:tcPr>
          <w:p>
            <w:pPr>
              <w:spacing w:after="20"/>
            </w:pPr>
            <w:r>
              <w:rPr>
                <w:b/>
                <w:color w:val="1B4567"/>
                <w:sz w:val="17"/>
              </w:rPr>
              <w:t>EVD-01</w:t>
            </w:r>
          </w:p>
        </w:tc>
        <w:tc>
          <w:tcPr>
            <w:tcW w:type="dxa" w:w="12960"/>
            <w:vAlign w:val="top"/>
            <w:tcMar>
              <w:top w:w="100" w:type="dxa"/>
              <w:start w:w="95" w:type="dxa"/>
              <w:bottom w:w="100" w:type="dxa"/>
              <w:end w:w="95" w:type="dxa"/>
            </w:tcMar>
          </w:tcPr>
          <w:p>
            <w:pPr>
              <w:spacing w:after="20"/>
            </w:pPr>
            <w:r>
              <w:rPr>
                <w:b w:val="0"/>
                <w:color w:val="253344"/>
                <w:sz w:val="17"/>
              </w:rPr>
              <w:t>Approved IFU / intended use</w:t>
            </w:r>
          </w:p>
        </w:tc>
        <w:tc>
          <w:tcPr>
            <w:tcW w:type="dxa" w:w="7488"/>
            <w:vAlign w:val="top"/>
            <w:tcMar>
              <w:top w:w="100" w:type="dxa"/>
              <w:start w:w="95" w:type="dxa"/>
              <w:bottom w:w="100" w:type="dxa"/>
              <w:end w:w="95" w:type="dxa"/>
            </w:tcMar>
          </w:tcPr>
          <w:p>
            <w:pPr>
              <w:spacing w:after="20"/>
            </w:pPr>
            <w:r>
              <w:rPr>
                <w:b w:val="0"/>
                <w:color w:val="253344"/>
                <w:sz w:val="17"/>
              </w:rPr>
              <w:t>Missing</w:t>
            </w:r>
          </w:p>
        </w:tc>
      </w:tr>
      <w:tr>
        <w:trPr>
          <w:cantSplit/>
        </w:trPr>
        <w:tc>
          <w:tcPr>
            <w:tcW w:type="dxa" w:w="1872"/>
            <w:vAlign w:val="top"/>
            <w:tcMar>
              <w:top w:w="100" w:type="dxa"/>
              <w:start w:w="95" w:type="dxa"/>
              <w:bottom w:w="100" w:type="dxa"/>
              <w:end w:w="95" w:type="dxa"/>
            </w:tcMar>
            <w:shd w:fill="F1F5F8"/>
          </w:tcPr>
          <w:p>
            <w:pPr>
              <w:spacing w:after="20"/>
            </w:pPr>
            <w:r>
              <w:rPr>
                <w:b/>
                <w:color w:val="1B4567"/>
                <w:sz w:val="17"/>
              </w:rPr>
              <w:t>EVD-02</w:t>
            </w:r>
          </w:p>
        </w:tc>
        <w:tc>
          <w:tcPr>
            <w:tcW w:type="dxa" w:w="12960"/>
            <w:vAlign w:val="top"/>
            <w:tcMar>
              <w:top w:w="100" w:type="dxa"/>
              <w:start w:w="95" w:type="dxa"/>
              <w:bottom w:w="100" w:type="dxa"/>
              <w:end w:w="95" w:type="dxa"/>
            </w:tcMar>
            <w:shd w:fill="F1F5F8"/>
          </w:tcPr>
          <w:p>
            <w:pPr>
              <w:spacing w:after="20"/>
            </w:pPr>
            <w:r>
              <w:rPr>
                <w:b w:val="0"/>
                <w:color w:val="253344"/>
                <w:sz w:val="17"/>
              </w:rPr>
              <w:t>Approved product TF (TF-M52-PS / TF-52-PS / TF-52-PDBM reconciliation)</w:t>
            </w:r>
          </w:p>
        </w:tc>
        <w:tc>
          <w:tcPr>
            <w:tcW w:type="dxa" w:w="7488"/>
            <w:vAlign w:val="top"/>
            <w:tcMar>
              <w:top w:w="100" w:type="dxa"/>
              <w:start w:w="95" w:type="dxa"/>
              <w:bottom w:w="100" w:type="dxa"/>
              <w:end w:w="95" w:type="dxa"/>
            </w:tcMar>
            <w:shd w:fill="F1F5F8"/>
          </w:tcPr>
          <w:p>
            <w:pPr>
              <w:spacing w:after="20"/>
            </w:pPr>
            <w:r>
              <w:rPr>
                <w:b w:val="0"/>
                <w:color w:val="253344"/>
                <w:sz w:val="17"/>
              </w:rPr>
              <w:t>Missing</w:t>
            </w:r>
          </w:p>
        </w:tc>
      </w:tr>
      <w:tr>
        <w:trPr>
          <w:cantSplit/>
        </w:trPr>
        <w:tc>
          <w:tcPr>
            <w:tcW w:type="dxa" w:w="1872"/>
            <w:vAlign w:val="top"/>
            <w:tcMar>
              <w:top w:w="100" w:type="dxa"/>
              <w:start w:w="95" w:type="dxa"/>
              <w:bottom w:w="100" w:type="dxa"/>
              <w:end w:w="95" w:type="dxa"/>
            </w:tcMar>
          </w:tcPr>
          <w:p>
            <w:pPr>
              <w:spacing w:after="20"/>
            </w:pPr>
            <w:r>
              <w:rPr>
                <w:b/>
                <w:color w:val="1B4567"/>
                <w:sz w:val="17"/>
              </w:rPr>
              <w:t>EVD-03</w:t>
            </w:r>
          </w:p>
        </w:tc>
        <w:tc>
          <w:tcPr>
            <w:tcW w:type="dxa" w:w="12960"/>
            <w:vAlign w:val="top"/>
            <w:tcMar>
              <w:top w:w="100" w:type="dxa"/>
              <w:start w:w="95" w:type="dxa"/>
              <w:bottom w:w="100" w:type="dxa"/>
              <w:end w:w="95" w:type="dxa"/>
            </w:tcMar>
          </w:tcPr>
          <w:p>
            <w:pPr>
              <w:spacing w:after="20"/>
            </w:pPr>
            <w:r>
              <w:rPr>
                <w:b w:val="0"/>
                <w:color w:val="253344"/>
                <w:sz w:val="17"/>
              </w:rPr>
              <w:t>Approved risk file and ISO/connector applicability matrix</w:t>
            </w:r>
          </w:p>
        </w:tc>
        <w:tc>
          <w:tcPr>
            <w:tcW w:type="dxa" w:w="7488"/>
            <w:vAlign w:val="top"/>
            <w:tcMar>
              <w:top w:w="100" w:type="dxa"/>
              <w:start w:w="95" w:type="dxa"/>
              <w:bottom w:w="100" w:type="dxa"/>
              <w:end w:w="95" w:type="dxa"/>
            </w:tcMar>
          </w:tcPr>
          <w:p>
            <w:pPr>
              <w:spacing w:after="20"/>
            </w:pPr>
            <w:r>
              <w:rPr>
                <w:b w:val="0"/>
                <w:color w:val="253344"/>
                <w:sz w:val="17"/>
              </w:rPr>
              <w:t>Missing</w:t>
            </w:r>
          </w:p>
        </w:tc>
      </w:tr>
      <w:tr>
        <w:trPr>
          <w:cantSplit/>
        </w:trPr>
        <w:tc>
          <w:tcPr>
            <w:tcW w:type="dxa" w:w="1872"/>
            <w:vAlign w:val="top"/>
            <w:tcMar>
              <w:top w:w="100" w:type="dxa"/>
              <w:start w:w="95" w:type="dxa"/>
              <w:bottom w:w="100" w:type="dxa"/>
              <w:end w:w="95" w:type="dxa"/>
            </w:tcMar>
            <w:shd w:fill="F1F5F8"/>
          </w:tcPr>
          <w:p>
            <w:pPr>
              <w:spacing w:after="20"/>
            </w:pPr>
            <w:r>
              <w:rPr>
                <w:b/>
                <w:color w:val="1B4567"/>
                <w:sz w:val="17"/>
              </w:rPr>
              <w:t>EVD-04</w:t>
            </w:r>
          </w:p>
        </w:tc>
        <w:tc>
          <w:tcPr>
            <w:tcW w:type="dxa" w:w="12960"/>
            <w:vAlign w:val="top"/>
            <w:tcMar>
              <w:top w:w="100" w:type="dxa"/>
              <w:start w:w="95" w:type="dxa"/>
              <w:bottom w:w="100" w:type="dxa"/>
              <w:end w:w="95" w:type="dxa"/>
            </w:tcMar>
            <w:shd w:fill="F1F5F8"/>
          </w:tcPr>
          <w:p>
            <w:pPr>
              <w:spacing w:after="20"/>
            </w:pPr>
            <w:r>
              <w:rPr>
                <w:b w:val="0"/>
                <w:color w:val="253344"/>
                <w:sz w:val="17"/>
              </w:rPr>
              <w:t>Approved sampling plan and measurable test methods</w:t>
            </w:r>
          </w:p>
        </w:tc>
        <w:tc>
          <w:tcPr>
            <w:tcW w:type="dxa" w:w="7488"/>
            <w:vAlign w:val="top"/>
            <w:tcMar>
              <w:top w:w="100" w:type="dxa"/>
              <w:start w:w="95" w:type="dxa"/>
              <w:bottom w:w="100" w:type="dxa"/>
              <w:end w:w="95" w:type="dxa"/>
            </w:tcMar>
            <w:shd w:fill="F1F5F8"/>
          </w:tcPr>
          <w:p>
            <w:pPr>
              <w:spacing w:after="20"/>
            </w:pPr>
            <w:r>
              <w:rPr>
                <w:b w:val="0"/>
                <w:color w:val="253344"/>
                <w:sz w:val="17"/>
              </w:rPr>
              <w:t>Missing</w:t>
            </w:r>
          </w:p>
        </w:tc>
      </w:tr>
      <w:tr>
        <w:trPr>
          <w:cantSplit/>
        </w:trPr>
        <w:tc>
          <w:tcPr>
            <w:tcW w:type="dxa" w:w="1872"/>
            <w:vAlign w:val="top"/>
            <w:tcMar>
              <w:top w:w="100" w:type="dxa"/>
              <w:start w:w="95" w:type="dxa"/>
              <w:bottom w:w="100" w:type="dxa"/>
              <w:end w:w="95" w:type="dxa"/>
            </w:tcMar>
          </w:tcPr>
          <w:p>
            <w:pPr>
              <w:spacing w:after="20"/>
            </w:pPr>
            <w:r>
              <w:rPr>
                <w:b/>
                <w:color w:val="1B4567"/>
                <w:sz w:val="17"/>
              </w:rPr>
              <w:t>EVD-05</w:t>
            </w:r>
          </w:p>
        </w:tc>
        <w:tc>
          <w:tcPr>
            <w:tcW w:type="dxa" w:w="12960"/>
            <w:vAlign w:val="top"/>
            <w:tcMar>
              <w:top w:w="100" w:type="dxa"/>
              <w:start w:w="95" w:type="dxa"/>
              <w:bottom w:w="100" w:type="dxa"/>
              <w:end w:w="95" w:type="dxa"/>
            </w:tcMar>
          </w:tcPr>
          <w:p>
            <w:pPr>
              <w:spacing w:after="20"/>
            </w:pPr>
            <w:r>
              <w:rPr>
                <w:b w:val="0"/>
                <w:color w:val="253344"/>
                <w:sz w:val="17"/>
              </w:rPr>
              <w:t>Executed F-823-i99 lot results</w:t>
            </w:r>
          </w:p>
        </w:tc>
        <w:tc>
          <w:tcPr>
            <w:tcW w:type="dxa" w:w="7488"/>
            <w:vAlign w:val="top"/>
            <w:tcMar>
              <w:top w:w="100" w:type="dxa"/>
              <w:start w:w="95" w:type="dxa"/>
              <w:bottom w:w="100" w:type="dxa"/>
              <w:end w:w="95" w:type="dxa"/>
            </w:tcMar>
          </w:tcPr>
          <w:p>
            <w:pPr>
              <w:spacing w:after="20"/>
            </w:pPr>
            <w:r>
              <w:rPr>
                <w:b w:val="0"/>
                <w:color w:val="253344"/>
                <w:sz w:val="17"/>
              </w:rPr>
              <w:t>Not provided</w:t>
            </w:r>
          </w:p>
        </w:tc>
      </w:tr>
      <w:tr>
        <w:trPr>
          <w:cantSplit/>
        </w:trPr>
        <w:tc>
          <w:tcPr>
            <w:tcW w:type="dxa" w:w="1872"/>
            <w:vAlign w:val="top"/>
            <w:tcMar>
              <w:top w:w="100" w:type="dxa"/>
              <w:start w:w="95" w:type="dxa"/>
              <w:bottom w:w="100" w:type="dxa"/>
              <w:end w:w="95" w:type="dxa"/>
            </w:tcMar>
            <w:shd w:fill="F1F5F8"/>
          </w:tcPr>
          <w:p>
            <w:pPr>
              <w:spacing w:after="20"/>
            </w:pPr>
            <w:r>
              <w:rPr>
                <w:b/>
                <w:color w:val="1B4567"/>
                <w:sz w:val="17"/>
              </w:rPr>
              <w:t>EVD-06</w:t>
            </w:r>
          </w:p>
        </w:tc>
        <w:tc>
          <w:tcPr>
            <w:tcW w:type="dxa" w:w="12960"/>
            <w:vAlign w:val="top"/>
            <w:tcMar>
              <w:top w:w="100" w:type="dxa"/>
              <w:start w:w="95" w:type="dxa"/>
              <w:bottom w:w="100" w:type="dxa"/>
              <w:end w:w="95" w:type="dxa"/>
            </w:tcMar>
            <w:shd w:fill="F1F5F8"/>
          </w:tcPr>
          <w:p>
            <w:pPr>
              <w:spacing w:after="20"/>
            </w:pPr>
            <w:r>
              <w:rPr>
                <w:b w:val="0"/>
                <w:color w:val="253344"/>
                <w:sz w:val="17"/>
              </w:rPr>
              <w:t>Executed linked F-823-i15 lot results</w:t>
            </w:r>
          </w:p>
        </w:tc>
        <w:tc>
          <w:tcPr>
            <w:tcW w:type="dxa" w:w="7488"/>
            <w:vAlign w:val="top"/>
            <w:tcMar>
              <w:top w:w="100" w:type="dxa"/>
              <w:start w:w="95" w:type="dxa"/>
              <w:bottom w:w="100" w:type="dxa"/>
              <w:end w:w="95" w:type="dxa"/>
            </w:tcMar>
            <w:shd w:fill="F1F5F8"/>
          </w:tcPr>
          <w:p>
            <w:pPr>
              <w:spacing w:after="20"/>
            </w:pPr>
            <w:r>
              <w:rPr>
                <w:b w:val="0"/>
                <w:color w:val="253344"/>
                <w:sz w:val="17"/>
              </w:rPr>
              <w:t>Not provided</w:t>
            </w:r>
          </w:p>
        </w:tc>
      </w:tr>
      <w:tr>
        <w:trPr>
          <w:cantSplit/>
        </w:trPr>
        <w:tc>
          <w:tcPr>
            <w:tcW w:type="dxa" w:w="1872"/>
            <w:vAlign w:val="top"/>
            <w:tcMar>
              <w:top w:w="100" w:type="dxa"/>
              <w:start w:w="95" w:type="dxa"/>
              <w:bottom w:w="100" w:type="dxa"/>
              <w:end w:w="95" w:type="dxa"/>
            </w:tcMar>
          </w:tcPr>
          <w:p>
            <w:pPr>
              <w:spacing w:after="20"/>
            </w:pPr>
            <w:r>
              <w:rPr>
                <w:b/>
                <w:color w:val="1B4567"/>
                <w:sz w:val="17"/>
              </w:rPr>
              <w:t>EVD-07</w:t>
            </w:r>
          </w:p>
        </w:tc>
        <w:tc>
          <w:tcPr>
            <w:tcW w:type="dxa" w:w="12960"/>
            <w:vAlign w:val="top"/>
            <w:tcMar>
              <w:top w:w="100" w:type="dxa"/>
              <w:start w:w="95" w:type="dxa"/>
              <w:bottom w:w="100" w:type="dxa"/>
              <w:end w:w="95" w:type="dxa"/>
            </w:tcMar>
          </w:tcPr>
          <w:p>
            <w:pPr>
              <w:spacing w:after="20"/>
            </w:pPr>
            <w:r>
              <w:rPr>
                <w:b w:val="0"/>
                <w:color w:val="253344"/>
                <w:sz w:val="17"/>
              </w:rPr>
              <w:t>Calibrated instruments and flow/tensile/leak worksheets</w:t>
            </w:r>
          </w:p>
        </w:tc>
        <w:tc>
          <w:tcPr>
            <w:tcW w:type="dxa" w:w="7488"/>
            <w:vAlign w:val="top"/>
            <w:tcMar>
              <w:top w:w="100" w:type="dxa"/>
              <w:start w:w="95" w:type="dxa"/>
              <w:bottom w:w="100" w:type="dxa"/>
              <w:end w:w="95" w:type="dxa"/>
            </w:tcMar>
          </w:tcPr>
          <w:p>
            <w:pPr>
              <w:spacing w:after="20"/>
            </w:pPr>
            <w:r>
              <w:rPr>
                <w:b w:val="0"/>
                <w:color w:val="253344"/>
                <w:sz w:val="17"/>
              </w:rPr>
              <w:t>Not provided</w:t>
            </w:r>
          </w:p>
        </w:tc>
      </w:tr>
      <w:tr>
        <w:trPr>
          <w:cantSplit/>
        </w:trPr>
        <w:tc>
          <w:tcPr>
            <w:tcW w:type="dxa" w:w="1872"/>
            <w:vAlign w:val="top"/>
            <w:tcMar>
              <w:top w:w="100" w:type="dxa"/>
              <w:start w:w="95" w:type="dxa"/>
              <w:bottom w:w="100" w:type="dxa"/>
              <w:end w:w="95" w:type="dxa"/>
            </w:tcMar>
            <w:shd w:fill="F1F5F8"/>
          </w:tcPr>
          <w:p>
            <w:pPr>
              <w:spacing w:after="20"/>
            </w:pPr>
            <w:r>
              <w:rPr>
                <w:b/>
                <w:color w:val="1B4567"/>
                <w:sz w:val="17"/>
              </w:rPr>
              <w:t>EVD-08</w:t>
            </w:r>
          </w:p>
        </w:tc>
        <w:tc>
          <w:tcPr>
            <w:tcW w:type="dxa" w:w="12960"/>
            <w:vAlign w:val="top"/>
            <w:tcMar>
              <w:top w:w="100" w:type="dxa"/>
              <w:start w:w="95" w:type="dxa"/>
              <w:bottom w:w="100" w:type="dxa"/>
              <w:end w:w="95" w:type="dxa"/>
            </w:tcMar>
            <w:shd w:fill="F1F5F8"/>
          </w:tcPr>
          <w:p>
            <w:pPr>
              <w:spacing w:after="20"/>
            </w:pPr>
            <w:r>
              <w:rPr>
                <w:b w:val="0"/>
                <w:color w:val="253344"/>
                <w:sz w:val="17"/>
              </w:rPr>
              <w:t>Connector qualification / cross-connection assessment</w:t>
            </w:r>
          </w:p>
        </w:tc>
        <w:tc>
          <w:tcPr>
            <w:tcW w:type="dxa" w:w="7488"/>
            <w:vAlign w:val="top"/>
            <w:tcMar>
              <w:top w:w="100" w:type="dxa"/>
              <w:start w:w="95" w:type="dxa"/>
              <w:bottom w:w="100" w:type="dxa"/>
              <w:end w:w="95" w:type="dxa"/>
            </w:tcMar>
            <w:shd w:fill="F1F5F8"/>
          </w:tcPr>
          <w:p>
            <w:pPr>
              <w:spacing w:after="20"/>
            </w:pPr>
            <w:r>
              <w:rPr>
                <w:b w:val="0"/>
                <w:color w:val="253344"/>
                <w:sz w:val="17"/>
              </w:rPr>
              <w:t>Not provided</w:t>
            </w:r>
          </w:p>
        </w:tc>
      </w:tr>
      <w:tr>
        <w:trPr>
          <w:cantSplit/>
        </w:trPr>
        <w:tc>
          <w:tcPr>
            <w:tcW w:type="dxa" w:w="1872"/>
            <w:vAlign w:val="top"/>
            <w:tcMar>
              <w:top w:w="100" w:type="dxa"/>
              <w:start w:w="95" w:type="dxa"/>
              <w:bottom w:w="100" w:type="dxa"/>
              <w:end w:w="95" w:type="dxa"/>
            </w:tcMar>
          </w:tcPr>
          <w:p>
            <w:pPr>
              <w:spacing w:after="20"/>
            </w:pPr>
            <w:r>
              <w:rPr>
                <w:b/>
                <w:color w:val="1B4567"/>
                <w:sz w:val="17"/>
              </w:rPr>
              <w:t>EVD-09</w:t>
            </w:r>
          </w:p>
        </w:tc>
        <w:tc>
          <w:tcPr>
            <w:tcW w:type="dxa" w:w="12960"/>
            <w:vAlign w:val="top"/>
            <w:tcMar>
              <w:top w:w="100" w:type="dxa"/>
              <w:start w:w="95" w:type="dxa"/>
              <w:bottom w:w="100" w:type="dxa"/>
              <w:end w:w="95" w:type="dxa"/>
            </w:tcMar>
          </w:tcPr>
          <w:p>
            <w:pPr>
              <w:spacing w:after="20"/>
            </w:pPr>
            <w:r>
              <w:rPr>
                <w:b w:val="0"/>
                <w:color w:val="253344"/>
                <w:sz w:val="17"/>
              </w:rPr>
              <w:t>Biocompatibility and EtO / packaging qualification</w:t>
            </w:r>
          </w:p>
        </w:tc>
        <w:tc>
          <w:tcPr>
            <w:tcW w:type="dxa" w:w="7488"/>
            <w:vAlign w:val="top"/>
            <w:tcMar>
              <w:top w:w="100" w:type="dxa"/>
              <w:start w:w="95" w:type="dxa"/>
              <w:bottom w:w="100" w:type="dxa"/>
              <w:end w:w="95" w:type="dxa"/>
            </w:tcMar>
          </w:tcPr>
          <w:p>
            <w:pPr>
              <w:spacing w:after="20"/>
            </w:pPr>
            <w:r>
              <w:rPr>
                <w:b w:val="0"/>
                <w:color w:val="253344"/>
                <w:sz w:val="17"/>
              </w:rPr>
              <w:t>Not provided</w:t>
            </w:r>
          </w:p>
        </w:tc>
      </w:tr>
      <w:tr>
        <w:trPr>
          <w:cantSplit/>
        </w:trPr>
        <w:tc>
          <w:tcPr>
            <w:tcW w:type="dxa" w:w="1872"/>
            <w:vAlign w:val="top"/>
            <w:tcMar>
              <w:top w:w="100" w:type="dxa"/>
              <w:start w:w="95" w:type="dxa"/>
              <w:bottom w:w="100" w:type="dxa"/>
              <w:end w:w="95" w:type="dxa"/>
            </w:tcMar>
            <w:shd w:fill="F1F5F8"/>
          </w:tcPr>
          <w:p>
            <w:pPr>
              <w:spacing w:after="20"/>
            </w:pPr>
            <w:r>
              <w:rPr>
                <w:b/>
                <w:color w:val="1B4567"/>
                <w:sz w:val="17"/>
              </w:rPr>
              <w:t>EVD-10</w:t>
            </w:r>
          </w:p>
        </w:tc>
        <w:tc>
          <w:tcPr>
            <w:tcW w:type="dxa" w:w="12960"/>
            <w:vAlign w:val="top"/>
            <w:tcMar>
              <w:top w:w="100" w:type="dxa"/>
              <w:start w:w="95" w:type="dxa"/>
              <w:bottom w:w="100" w:type="dxa"/>
              <w:end w:w="95" w:type="dxa"/>
            </w:tcMar>
            <w:shd w:fill="F1F5F8"/>
          </w:tcPr>
          <w:p>
            <w:pPr>
              <w:spacing w:after="20"/>
            </w:pPr>
            <w:r>
              <w:rPr>
                <w:b w:val="0"/>
                <w:color w:val="253344"/>
                <w:sz w:val="17"/>
              </w:rPr>
              <w:t>Controlled QA / QC Manager approvals and actual final release evidence</w:t>
            </w:r>
          </w:p>
        </w:tc>
        <w:tc>
          <w:tcPr>
            <w:tcW w:type="dxa" w:w="7488"/>
            <w:vAlign w:val="top"/>
            <w:tcMar>
              <w:top w:w="100" w:type="dxa"/>
              <w:start w:w="95" w:type="dxa"/>
              <w:bottom w:w="100" w:type="dxa"/>
              <w:end w:w="95" w:type="dxa"/>
            </w:tcMar>
            <w:shd w:fill="F1F5F8"/>
          </w:tcPr>
          <w:p>
            <w:pPr>
              <w:spacing w:after="20"/>
            </w:pPr>
            <w:r>
              <w:rPr>
                <w:b w:val="0"/>
                <w:color w:val="253344"/>
                <w:sz w:val="17"/>
              </w:rPr>
              <w:t>Not provided</w:t>
            </w:r>
          </w:p>
        </w:tc>
      </w:tr>
    </w:tbl>
    <w:p>
      <w:pPr>
        <w:pStyle w:val="Heading1"/>
      </w:pPr>
      <w:r>
        <w:t>4  Closure Criteria and Decisions</w:t>
      </w:r>
    </w:p>
    <w:p>
      <w:r>
        <w:t>Verified Closed requires an APPROVED source, objectively completed and traceable verification, controlled record match to applicable device/configuration, review/authorization and no unresolved exceptions.</w:t>
      </w:r>
    </w:p>
    <w:p>
      <w:r>
        <w:t>Documentary Covered — Operational Evidence Pending can be used only after applicable controlled wording and methods are approved, but execution proof is not verified; no such claim is presently made.</w:t>
      </w:r>
    </w:p>
    <w:p>
      <w:r>
        <w:t>Open — Technical Input: controlled limits, design drawings, intended-use claims or methods are not available. Open — Approval: correct drafts await required authorized approvals. Open — Evidence: approved executed records have not been supplied.</w:t>
      </w:r>
    </w:p>
    <w:p>
      <w:r>
        <w:t>QC Manager decision required: approve applicability and owners, secure approved TF, validate limits and control-plan routes, authorize proposed WI and in-process form after technical review, and re-run the closure register against executed evidence.</w:t>
      </w:r>
    </w:p>
    <w:sectPr w:rsidR="00FC693F" w:rsidRPr="0006063C" w:rsidSect="00034616">
      <w:headerReference w:type="default" r:id="rId9"/>
      <w:footerReference w:type="default" r:id="rId10"/>
      <w:pgSz w:w="23818" w:h="16834" w:orient="landscape"/>
      <w:pgMar w:top="1008" w:right="749" w:bottom="936" w:left="749" w:header="33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7080"/>
        <w:sz w:val="14"/>
      </w:rPr>
      <w:t xml:space="preserve">UNCONTROLLED DRAFT  •  27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26B76"/>
        <w:sz w:val="14"/>
      </w:rPr>
      <w:t>SAUDI MAIS  |  QC COMPLIANCE  |  DRAFT FOR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533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4283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4283F"/>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428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428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