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pPr>
      <w:r>
        <w:t>Silicone Peritoneal Catheter</w:t>
      </w:r>
    </w:p>
    <w:p>
      <w:r>
        <w:rPr>
          <w:color w:val="126B76"/>
          <w:sz w:val="30"/>
        </w:rPr>
        <w:t>Reconstructed Work Instruction — IN-PROCESS CONTROL</w:t>
      </w:r>
    </w:p>
    <w:p>
      <w:r>
        <w:t>────────────────────────────────────────────────────</w:t>
      </w:r>
    </w:p>
    <w:tbl>
      <w:tblPr>
        <w:tblStyle w:val="LightShading-Accent1"/>
        <w:tblW w:type="auto" w:w="0"/>
        <w:tblLook w:firstColumn="1" w:firstRow="1" w:lastColumn="0" w:lastRow="0" w:noHBand="0" w:noVBand="1" w:val="04A0"/>
      </w:tblPr>
      <w:tblGrid>
        <w:gridCol w:w="4917"/>
        <w:gridCol w:w="4917"/>
      </w:tblGrid>
      <w:tr>
        <w:tc>
          <w:tcPr>
            <w:tcW w:type="dxa" w:w="4917"/>
            <w:vAlign w:val="top"/>
            <w:tcMar>
              <w:top w:w="100" w:type="dxa"/>
              <w:start w:w="95" w:type="dxa"/>
              <w:bottom w:w="100" w:type="dxa"/>
              <w:end w:w="95" w:type="dxa"/>
            </w:tcMar>
          </w:tcPr>
          <w:p>
            <w:pPr>
              <w:spacing w:after="20"/>
            </w:pPr>
            <w:r>
              <w:rPr>
                <w:b w:val="0"/>
                <w:color w:val="253344"/>
                <w:sz w:val="18"/>
              </w:rPr>
              <w:t>DOCUMENT ID</w:t>
            </w:r>
          </w:p>
        </w:tc>
        <w:tc>
          <w:tcPr>
            <w:tcW w:type="dxa" w:w="4917"/>
            <w:vAlign w:val="top"/>
            <w:tcMar>
              <w:top w:w="100" w:type="dxa"/>
              <w:start w:w="95" w:type="dxa"/>
              <w:bottom w:w="100" w:type="dxa"/>
              <w:end w:w="95" w:type="dxa"/>
            </w:tcMar>
          </w:tcPr>
          <w:p>
            <w:pPr>
              <w:spacing w:after="20"/>
            </w:pPr>
            <w:r>
              <w:rPr>
                <w:b w:val="0"/>
                <w:color w:val="253344"/>
                <w:sz w:val="18"/>
              </w:rPr>
              <w:t>DRAFT-WI-8-2-2-52-1-REVISION</w:t>
            </w:r>
          </w:p>
        </w:tc>
      </w:tr>
      <w:tr>
        <w:tc>
          <w:tcPr>
            <w:tcW w:type="dxa" w:w="4917"/>
            <w:vAlign w:val="top"/>
            <w:tcMar>
              <w:top w:w="100" w:type="dxa"/>
              <w:start w:w="95" w:type="dxa"/>
              <w:bottom w:w="100" w:type="dxa"/>
              <w:end w:w="95" w:type="dxa"/>
            </w:tcMar>
          </w:tcPr>
          <w:p>
            <w:pPr>
              <w:spacing w:after="20"/>
            </w:pPr>
            <w:r>
              <w:rPr>
                <w:b w:val="0"/>
                <w:color w:val="253344"/>
                <w:sz w:val="18"/>
              </w:rPr>
              <w:t>PRODUCT</w:t>
            </w:r>
          </w:p>
        </w:tc>
        <w:tc>
          <w:tcPr>
            <w:tcW w:type="dxa" w:w="4917"/>
            <w:vAlign w:val="top"/>
            <w:tcMar>
              <w:top w:w="100" w:type="dxa"/>
              <w:start w:w="95" w:type="dxa"/>
              <w:bottom w:w="100" w:type="dxa"/>
              <w:end w:w="95" w:type="dxa"/>
            </w:tcMar>
          </w:tcPr>
          <w:p>
            <w:pPr>
              <w:spacing w:after="20"/>
            </w:pPr>
            <w:r>
              <w:rPr>
                <w:b w:val="0"/>
                <w:color w:val="253344"/>
                <w:sz w:val="18"/>
              </w:rPr>
              <w:t>Silicone Peritoneal Catheter / Peritoneal Catheter Kit</w:t>
            </w:r>
          </w:p>
        </w:tc>
      </w:tr>
      <w:tr>
        <w:tc>
          <w:tcPr>
            <w:tcW w:type="dxa" w:w="4917"/>
            <w:vAlign w:val="top"/>
            <w:tcMar>
              <w:top w:w="100" w:type="dxa"/>
              <w:start w:w="95" w:type="dxa"/>
              <w:bottom w:w="100" w:type="dxa"/>
              <w:end w:w="95" w:type="dxa"/>
            </w:tcMar>
          </w:tcPr>
          <w:p>
            <w:pPr>
              <w:spacing w:after="20"/>
            </w:pPr>
            <w:r>
              <w:rPr>
                <w:b w:val="0"/>
                <w:color w:val="253344"/>
                <w:sz w:val="18"/>
              </w:rPr>
              <w:t>ASSESSMENT DATE</w:t>
            </w:r>
          </w:p>
        </w:tc>
        <w:tc>
          <w:tcPr>
            <w:tcW w:type="dxa" w:w="4917"/>
            <w:vAlign w:val="top"/>
            <w:tcMar>
              <w:top w:w="100" w:type="dxa"/>
              <w:start w:w="95" w:type="dxa"/>
              <w:bottom w:w="100" w:type="dxa"/>
              <w:end w:w="95" w:type="dxa"/>
            </w:tcMar>
          </w:tcPr>
          <w:p>
            <w:pPr>
              <w:spacing w:after="20"/>
            </w:pPr>
            <w:r>
              <w:rPr>
                <w:b w:val="0"/>
                <w:color w:val="253344"/>
                <w:sz w:val="18"/>
              </w:rPr>
              <w:t>27 October 2026</w:t>
            </w:r>
          </w:p>
        </w:tc>
      </w:tr>
      <w:tr>
        <w:tc>
          <w:tcPr>
            <w:tcW w:type="dxa" w:w="4917"/>
            <w:vAlign w:val="top"/>
            <w:tcMar>
              <w:top w:w="100" w:type="dxa"/>
              <w:start w:w="95" w:type="dxa"/>
              <w:bottom w:w="100" w:type="dxa"/>
              <w:end w:w="95" w:type="dxa"/>
            </w:tcMar>
          </w:tcPr>
          <w:p>
            <w:pPr>
              <w:spacing w:after="20"/>
            </w:pPr>
            <w:r>
              <w:rPr>
                <w:b w:val="0"/>
                <w:color w:val="253344"/>
                <w:sz w:val="18"/>
              </w:rPr>
              <w:t>SOURCE WI</w:t>
            </w:r>
          </w:p>
        </w:tc>
        <w:tc>
          <w:tcPr>
            <w:tcW w:type="dxa" w:w="4917"/>
            <w:vAlign w:val="top"/>
            <w:tcMar>
              <w:top w:w="100" w:type="dxa"/>
              <w:start w:w="95" w:type="dxa"/>
              <w:bottom w:w="100" w:type="dxa"/>
              <w:end w:w="95" w:type="dxa"/>
            </w:tcMar>
          </w:tcPr>
          <w:p>
            <w:pPr>
              <w:spacing w:after="20"/>
            </w:pPr>
            <w:r>
              <w:rPr>
                <w:b w:val="0"/>
                <w:color w:val="253344"/>
                <w:sz w:val="18"/>
              </w:rPr>
              <w:t>WI-8-2-2-52-1 Rev.0 (02.10.2025)</w:t>
            </w:r>
          </w:p>
        </w:tc>
      </w:tr>
      <w:tr>
        <w:tc>
          <w:tcPr>
            <w:tcW w:type="dxa" w:w="4917"/>
            <w:vAlign w:val="top"/>
            <w:tcMar>
              <w:top w:w="100" w:type="dxa"/>
              <w:start w:w="95" w:type="dxa"/>
              <w:bottom w:w="100" w:type="dxa"/>
              <w:end w:w="95" w:type="dxa"/>
            </w:tcMar>
          </w:tcPr>
          <w:p>
            <w:pPr>
              <w:spacing w:after="20"/>
            </w:pPr>
            <w:r>
              <w:rPr>
                <w:b w:val="0"/>
                <w:color w:val="253344"/>
                <w:sz w:val="18"/>
              </w:rPr>
              <w:t>SOURCE IN-PROCESS RECORD</w:t>
            </w:r>
          </w:p>
        </w:tc>
        <w:tc>
          <w:tcPr>
            <w:tcW w:type="dxa" w:w="4917"/>
            <w:vAlign w:val="top"/>
            <w:tcMar>
              <w:top w:w="100" w:type="dxa"/>
              <w:start w:w="95" w:type="dxa"/>
              <w:bottom w:w="100" w:type="dxa"/>
              <w:end w:w="95" w:type="dxa"/>
            </w:tcMar>
          </w:tcPr>
          <w:p>
            <w:pPr>
              <w:spacing w:after="20"/>
            </w:pPr>
            <w:r>
              <w:rPr>
                <w:b w:val="0"/>
                <w:color w:val="253344"/>
                <w:sz w:val="18"/>
              </w:rPr>
              <w:t>F-823-i99 Rev.7 (11.01.2026)</w:t>
            </w:r>
          </w:p>
        </w:tc>
      </w:tr>
      <w:tr>
        <w:tc>
          <w:tcPr>
            <w:tcW w:type="dxa" w:w="4917"/>
            <w:vAlign w:val="top"/>
            <w:tcMar>
              <w:top w:w="100" w:type="dxa"/>
              <w:start w:w="95" w:type="dxa"/>
              <w:bottom w:w="100" w:type="dxa"/>
              <w:end w:w="95" w:type="dxa"/>
            </w:tcMar>
          </w:tcPr>
          <w:p>
            <w:pPr>
              <w:spacing w:after="20"/>
            </w:pPr>
            <w:r>
              <w:rPr>
                <w:b w:val="0"/>
                <w:color w:val="253344"/>
                <w:sz w:val="18"/>
              </w:rPr>
              <w:t>DRAFT STATUS</w:t>
            </w:r>
          </w:p>
        </w:tc>
        <w:tc>
          <w:tcPr>
            <w:tcW w:type="dxa" w:w="4917"/>
            <w:vAlign w:val="top"/>
            <w:tcMar>
              <w:top w:w="100" w:type="dxa"/>
              <w:start w:w="95" w:type="dxa"/>
              <w:bottom w:w="100" w:type="dxa"/>
              <w:end w:w="95" w:type="dxa"/>
            </w:tcMar>
          </w:tcPr>
          <w:p>
            <w:pPr>
              <w:spacing w:after="20"/>
            </w:pPr>
            <w:r>
              <w:rPr>
                <w:b w:val="0"/>
                <w:color w:val="253344"/>
                <w:sz w:val="18"/>
              </w:rPr>
              <w:t>PROPOSED • NOT APPROVED • DO NOT USE FOR LOT RELEASE</w:t>
            </w:r>
          </w:p>
        </w:tc>
      </w:tr>
      <w:tr>
        <w:tc>
          <w:tcPr>
            <w:tcW w:type="dxa" w:w="4917"/>
            <w:vAlign w:val="top"/>
            <w:tcMar>
              <w:top w:w="100" w:type="dxa"/>
              <w:start w:w="95" w:type="dxa"/>
              <w:bottom w:w="100" w:type="dxa"/>
              <w:end w:w="95" w:type="dxa"/>
            </w:tcMar>
          </w:tcPr>
          <w:p>
            <w:pPr>
              <w:spacing w:after="20"/>
            </w:pPr>
            <w:r>
              <w:rPr>
                <w:b w:val="0"/>
                <w:color w:val="253344"/>
                <w:sz w:val="18"/>
              </w:rPr>
              <w:t>SOURCE DOCUMENT</w:t>
            </w:r>
          </w:p>
        </w:tc>
        <w:tc>
          <w:tcPr>
            <w:tcW w:type="dxa" w:w="4917"/>
            <w:vAlign w:val="top"/>
            <w:tcMar>
              <w:top w:w="100" w:type="dxa"/>
              <w:start w:w="95" w:type="dxa"/>
              <w:bottom w:w="100" w:type="dxa"/>
              <w:end w:w="95" w:type="dxa"/>
            </w:tcMar>
          </w:tcPr>
          <w:p>
            <w:pPr>
              <w:spacing w:after="20"/>
            </w:pPr>
            <w:r>
              <w:rPr>
                <w:b w:val="0"/>
                <w:color w:val="253344"/>
                <w:sz w:val="18"/>
              </w:rPr>
              <w:t>WI-8-2-2-52-1 Rev0</w:t>
            </w:r>
          </w:p>
        </w:tc>
      </w:tr>
      <w:tr>
        <w:tc>
          <w:tcPr>
            <w:tcW w:type="dxa" w:w="4917"/>
            <w:vAlign w:val="top"/>
            <w:tcMar>
              <w:top w:w="100" w:type="dxa"/>
              <w:start w:w="95" w:type="dxa"/>
              <w:bottom w:w="100" w:type="dxa"/>
              <w:end w:w="95" w:type="dxa"/>
            </w:tcMar>
          </w:tcPr>
          <w:p>
            <w:pPr>
              <w:spacing w:after="20"/>
            </w:pPr>
            <w:r>
              <w:rPr>
                <w:b w:val="0"/>
                <w:color w:val="253344"/>
                <w:sz w:val="18"/>
              </w:rPr>
              <w:t>PROPOSED REVISION</w:t>
            </w:r>
          </w:p>
        </w:tc>
        <w:tc>
          <w:tcPr>
            <w:tcW w:type="dxa" w:w="4917"/>
            <w:vAlign w:val="top"/>
            <w:tcMar>
              <w:top w:w="100" w:type="dxa"/>
              <w:start w:w="95" w:type="dxa"/>
              <w:bottom w:w="100" w:type="dxa"/>
              <w:end w:w="95" w:type="dxa"/>
            </w:tcMar>
          </w:tcPr>
          <w:p>
            <w:pPr>
              <w:spacing w:after="20"/>
            </w:pPr>
            <w:r>
              <w:rPr>
                <w:b w:val="0"/>
                <w:color w:val="253344"/>
                <w:sz w:val="18"/>
              </w:rPr>
              <w:t>Revision subject to Document Control; no official revision assigned</w:t>
            </w:r>
          </w:p>
        </w:tc>
      </w:tr>
      <w:tr>
        <w:tc>
          <w:tcPr>
            <w:tcW w:type="dxa" w:w="4917"/>
            <w:vAlign w:val="top"/>
            <w:tcMar>
              <w:top w:w="100" w:type="dxa"/>
              <w:start w:w="95" w:type="dxa"/>
              <w:bottom w:w="100" w:type="dxa"/>
              <w:end w:w="95" w:type="dxa"/>
            </w:tcMar>
          </w:tcPr>
          <w:p>
            <w:pPr>
              <w:spacing w:after="20"/>
            </w:pPr>
            <w:r>
              <w:rPr>
                <w:b w:val="0"/>
                <w:color w:val="253344"/>
                <w:sz w:val="18"/>
              </w:rPr>
              <w:t>LINKED FORMS</w:t>
            </w:r>
          </w:p>
        </w:tc>
        <w:tc>
          <w:tcPr>
            <w:tcW w:type="dxa" w:w="4917"/>
            <w:vAlign w:val="top"/>
            <w:tcMar>
              <w:top w:w="100" w:type="dxa"/>
              <w:start w:w="95" w:type="dxa"/>
              <w:bottom w:w="100" w:type="dxa"/>
              <w:end w:w="95" w:type="dxa"/>
            </w:tcMar>
          </w:tcPr>
          <w:p>
            <w:pPr>
              <w:spacing w:after="20"/>
            </w:pPr>
            <w:r>
              <w:rPr>
                <w:b w:val="0"/>
                <w:color w:val="253344"/>
                <w:sz w:val="18"/>
              </w:rPr>
              <w:t>F-823-i99 Rev7; F-823-i15 Rev16</w:t>
            </w:r>
          </w:p>
        </w:tc>
      </w:tr>
    </w:tbl>
    <w:p>
      <w:r>
        <w:t>Source documents remain unchanged. No operational test results, technical approvals or effective revisions are asserted.</w:t>
      </w:r>
    </w:p>
    <w:p>
      <w:r>
        <w:br w:type="page"/>
      </w:r>
    </w:p>
    <w:p>
      <w:pPr>
        <w:pStyle w:val="Heading1"/>
      </w:pPr>
      <w:r>
        <w:t>1. Purpose</w:t>
      </w:r>
    </w:p>
    <w:p>
      <w:r>
        <w:t>To define in-process quality control, inspection points, measurable recording practices, product traceability and nonconformity handling for silicone peritoneal catheter with cuff and its applicable kit variants. This WI does not replace separate incoming inspection, qualification, sterilization or final product release instructions.</w:t>
      </w:r>
    </w:p>
    <w:p>
      <w:pPr>
        <w:pStyle w:val="Heading1"/>
      </w:pPr>
      <w:r>
        <w:t>2. Scope / Applicability</w:t>
      </w:r>
    </w:p>
    <w:p>
      <w:r>
        <w:t>Applicable to in-process extrusion/molding source verification, catheter assembly, punched holes, cuffs, connectors, coiling and product/kit checks at Saudi Mais. Product variants, intended use, relevant standards and applicable inspection/test plans must be taken from approved TF, IFU and risk documents. Peritoneal dialysis infusion/dialysate drainage applicability to ISO 20697 requires signed justification before ISO-specific limits are imposed. [GAP-001]</w:t>
      </w:r>
    </w:p>
    <w:p>
      <w:pPr>
        <w:pStyle w:val="Heading1"/>
      </w:pPr>
      <w:r>
        <w:t>3. References</w:t>
      </w:r>
    </w:p>
    <w:p>
      <w:r>
        <w:t>WI-8-2-2-52-1 Rev0; F-823-i99 Rev7 (in-process assembly); F-823-i15 Rev16 (injection molding/extrusion); TF-M52-PS [cited by WI; missing]; TF-52-PS and TF-52-PDBM [cited by i99; reconciliation pending]; BS EN 1618:1997; ISO 20697:2018 (scope conditional); ISO 80369-20:2015 (connector test methods only); ISO 80369-6:2016 (neuraxial—not assigned to catheter without justified scope); ISO 8536-4:2019 (gravity sets—not blanket applicable); WI-7-5-1-1 EtO sterilization; F-823-T1/T18/T39/T90 incoming; F-8-2-4 final release. [GAP-002; GAP-003]</w:t>
      </w:r>
    </w:p>
    <w:p>
      <w:pPr>
        <w:pStyle w:val="Heading1"/>
      </w:pPr>
      <w:r>
        <w:t>4. Definitions</w:t>
      </w:r>
    </w:p>
    <w:p>
      <w:r>
        <w:t>In-process control: inspection/measurement carried out while manufacture or assembly is ongoing. Controlled specification: effective approved document with traceable revision. Hold: identified product/lot prevented from progressing until approved disposition. Type/qualification evidence: verification of product design/interface not assumed to be a routine-lot test. Actual Result: observed numeric reading or explicit observation, not only a tick.</w:t>
      </w:r>
    </w:p>
    <w:p>
      <w:pPr>
        <w:pStyle w:val="Heading1"/>
      </w:pPr>
      <w:r>
        <w:t>5. Responsibilities</w:t>
      </w:r>
    </w:p>
    <w:p>
      <w:r>
        <w:t>Production: keep process parameters, component lots, machine/shift and traceability; segregate suspect material and provide transfer information. QC Controller: select samples per approved control plan, perform applicable in-process checks with calibrated tools and record original readings. QC Supervisor: review completeness, investigate failures and confirm process-stage decisions. QC Manager/QA: approve specifications, control plan, method route and disposition per current authorization. Engineering: own controlled drawings, product configuration, intended use and design verification. Document Control: confirm effective document identity and revision.</w:t>
      </w:r>
    </w:p>
    <w:p>
      <w:pPr>
        <w:pStyle w:val="Heading1"/>
      </w:pPr>
      <w:r>
        <w:t>6. Document Preparation, Incoming and Component Traceability</w:t>
      </w:r>
    </w:p>
    <w:p>
      <w:r>
        <w:t>6.1 Before checking any lot, QC shall verify product code, selected variant, cuff count, correct TF/drawing reference and revision against the current approved controlled list. The conflicting TF-M52-PS / TF-52-PS / TF-52-PDBM references must be reconciled. If unverified, record OPEN TECHNICAL INPUT REQUIRED and hold affected acceptance decisions. [GAP-003]</w:t>
      </w:r>
    </w:p>
    <w:p>
      <w:r>
        <w:t>6.2 Incoming material and bulk product checks remain governed by OBM/incoming records cited in source WI §5.1–5.2: correct supplier receipt, material and carton conditions, granules appearance/lot label, and use of the authorized AQL procedure. These checks must not be duplicated as i99 hourly checks.</w:t>
      </w:r>
    </w:p>
    <w:p>
      <w:r>
        <w:t>6.3 At the in-process stage, complete date, shift, lot, product code/variant, area, equipment IDs, sampling-plan ID, sample quantities and responsible operator. Do not assume that the preprinted time grid defines ISO frequency. [GAP-013]</w:t>
      </w:r>
    </w:p>
    <w:p>
      <w:r>
        <w:t>6.4 Trace every relevant extrusion/molded input lot to its F-823-i15 QC record and component lot/source machine; use only measuring devices with current calibration. [GAP-014]</w:t>
      </w:r>
    </w:p>
    <w:p>
      <w:pPr>
        <w:pStyle w:val="Heading1"/>
      </w:pPr>
      <w:r>
        <w:t>7. Assembly and Visual/Dimensional Checks</w:t>
      </w:r>
    </w:p>
    <w:p>
      <w:r>
        <w:t>7.1 Verify product is the correct silicone catheter/kit configuration and appropriate short-/long-term type; inspect packaging of supplied assembly components before their introduction into the manufacturing process.</w:t>
      </w:r>
    </w:p>
    <w:p>
      <w:r>
        <w:t>7.2 Inspect tubing surface for dots, fish-eyes, black spots, contamination, cracks, collapse, cuts, sharp defects, flash and nonconformity with the approved defect catalog; check coiling shape. Record individual defects rather than generic “Good”. [GAP-011]</w:t>
      </w:r>
    </w:p>
    <w:p>
      <w:r>
        <w:t>7.3 Verify catheter lumen is open, no blockage, no unwanted damage and that punching holes have round/smooth edges without fibers or flash.</w:t>
      </w:r>
    </w:p>
    <w:p>
      <w:r>
        <w:t>7.4 Verify total number and approved hole positions / diameters by product variant/drawing. The source WI states 72 holes for its 3-cuff configuration: this is not assigned to every variant without signed drawing confirmation. Record count and sample ID. [GAP-004]</w:t>
      </w:r>
    </w:p>
    <w:p>
      <w:r>
        <w:t>7.5 Measure OD, ID, effective length, overall tubing length and applicable coil dimensions at the approved measurement points, in stated units (mm, unless the controlled drawing specifies otherwise). Record the actual numerical readings, limits, instrument and status. [GAP-005]</w:t>
      </w:r>
    </w:p>
    <w:p>
      <w:r>
        <w:t>7.6 Count and inspect cuffs. Measure width, approved placement and inter-cuff spacing, and examine secure adhesion; the original WI’s “6 cm, 13 cm” and i99’s “6.46 ±3 mm” are not accepted as controlled limits until reconciled to the current drawing. Where applicable, verify non-balloon retention through a separate approved risk-based plan. [GAP-006]</w:t>
      </w:r>
    </w:p>
    <w:p>
      <w:r>
        <w:t>7.7 Inspect optional trocar only if included on variant BOM: clean, undamaged, correct tapered shape/length, no cracks or contaminants; material-specific corrosion assessment only if relevant risk exists.</w:t>
      </w:r>
    </w:p>
    <w:p>
      <w:r>
        <w:t>7.8 Inspect approved FLL/MLL connections, specified mating-device interface and injection sealing cap for secure fit and visible absence of crack/looseness. The compatible counterpart and cross-connection risk controls must be defined in the approved design/risk file. [GAP-009]</w:t>
      </w:r>
    </w:p>
    <w:p>
      <w:r>
        <w:t>7.9 Check physical presence and specified identity of radiopaque material/marker where required by approved BOM. Actual radiographic detectability is established separately by documented qualification when required by risk; colour cannot prove it. [GAP-012]</w:t>
      </w:r>
    </w:p>
    <w:p>
      <w:pPr>
        <w:pStyle w:val="Heading1"/>
      </w:pPr>
      <w:r>
        <w:t>8. Functional Testing and Control Routes</w:t>
      </w:r>
    </w:p>
    <w:p>
      <w:r>
        <w:t>8.1 Tests shall be performed in-process only where an approved risk-based QC control plan specifies test method, frequency and acceptance criteria. Requirements that belong to development/qualification, incoming/supplier review, validation or final release shall be referenced as separate evidence and must not be added automatically to F-823-i99.</w:t>
      </w:r>
    </w:p>
    <w:p>
      <w:r>
        <w:t>8.2 FLOW: Use the signed method defining water/fluid, hydraulic head or pressure, collection duration, temperature and three repeat measurements if the approved method preserves the existing WI repetition. Document each collected quantity and compute consistent flow unit (e.g., mL/min), sample and acceptance criterion. Source WI “540 ±15ml / 450 ±15ml” lacks a time basis and is OPEN TECHNICAL INPUT REQUIRED. If ISO 20697 §6.6 is approved applicable to a claimed drainage flow, assess minimum actual flow versus 80% or 90% of manufacturer claim based on OD range and evidence from Annex G. Do not transfer this requirement to routine frequency without a plan. [GAP-007]</w:t>
      </w:r>
    </w:p>
    <w:p>
      <w:r>
        <w:t>8.3 TENSILE: Check applicable catheter-body and connector/tubing junctions using a qualified fixture and controlled speed with calibrated tensile tester. Record actual peak force N, OD grouping and failure location/mode. If the verified scope includes ISO 20697, use its different Table 1 connection limits (5 N for 2–4 mm, 15 N for &gt;4 mm) and Table 2 catheter/junction limits (10 N for 2–4 mm, 20 N for &gt;4 mm), only for the corresponding test category. For OD &lt;2 mm use manufacturer-approved risk-based criterion; verify method and 500 mm/min setting before use. [GAP-008]</w:t>
      </w:r>
    </w:p>
    <w:p>
      <w:r>
        <w:t>8.4 FUNCTIONAL LEAK: Perform the source-type gravity saline functional FLL/MLL joint leak check only according to a finalized approved procedure listing compatible mate, liquid, operating conditions and observation period. Document any visible leak, sample/time and Pass/Fail. This check is NOT interchangeable with ISO 80369-20 connector qualification or ISO 20697 negative-pressure testing. Retain separate evidence references for each required qualification. [GAP-010]</w:t>
      </w:r>
    </w:p>
    <w:p>
      <w:pPr>
        <w:pStyle w:val="Heading1"/>
      </w:pPr>
      <w:r>
        <w:t>9. Sampling, Frequency and Recording</w:t>
      </w:r>
    </w:p>
    <w:p>
      <w:r>
        <w:t>Use an approved sampling/control-plan matrix appropriate to each process, shift, condition, product variant and risk. Record the exact plan number/revision, scheduled sampling times if applicable, actual piece/sample ID, count checked, each numeric measurement and failures. “7/9/11/1/3/5...” is a form layout, not a claim of mandatory ISO sampling frequency. Retests or process rechecks follow an approved deviation procedure; failed initial measurements must be retained. [GAP-013]</w:t>
      </w:r>
    </w:p>
    <w:p>
      <w:pPr>
        <w:pStyle w:val="Heading1"/>
      </w:pPr>
      <w:r>
        <w:t>10. Nonconforming Product and Immediate Response</w:t>
      </w:r>
    </w:p>
    <w:p>
      <w:r>
        <w:t>A failed or indeterminate check affecting assembly quality, dimensions, blocked lumen, joints, contamination or performance requires product segregation and QC HOLD pending authorized disposition. Record defect/quantity/lot/time, tag and NCR or reject reference, alert the responsible function and prevent movement to the next stage until disposition. Record both failure and any authorized rework/recheck evidence without altering original failed entries. [GAP-015]</w:t>
      </w:r>
    </w:p>
    <w:p>
      <w:pPr>
        <w:pStyle w:val="Heading1"/>
      </w:pPr>
      <w:r>
        <w:t>11. Packaging / Labeling Process Interface</w:t>
      </w:r>
    </w:p>
    <w:p>
      <w:r>
        <w:t>The existing WI requires correct tray and sealing, integrity checks, clear product code/size/lot/type/sterilization/production and expiry information, and package forming/sealing/peel/print observation. These remain controlled by the relevant packaging procedure and their own recorded evidence, with only assembly handover/traceability noted on F-823-i99 where applicable. [GAP-016]</w:t>
      </w:r>
    </w:p>
    <w:p>
      <w:pPr>
        <w:pStyle w:val="Heading1"/>
      </w:pPr>
      <w:r>
        <w:t>12. Sterilization and Release Interface</w:t>
      </w:r>
    </w:p>
    <w:p>
      <w:r>
        <w:t>As preserved from source WI §8, Production prepares chamber load documents and EtO cylinder lot; BI placement follows controlled pattern; EtO execution follows WI-7-5-1-1; cycle printout and lab BI/product evidence are reviewed by authorized QA/QC. Sterilized products remain Hold until release under separate final release process F-8-2-4 (source WI §9). F-823-i99 SHALL NOT be represented as sterilization or final lot release evidence. [GAP-016]</w:t>
      </w:r>
    </w:p>
    <w:p>
      <w:pPr>
        <w:pStyle w:val="Heading1"/>
      </w:pPr>
      <w:r>
        <w:t>13. Required QC Records</w:t>
      </w:r>
    </w:p>
    <w:p>
      <w:r>
        <w:t>Completed draft F-823-i99 (after approval); relevant component F-823-i15, incoming OBM reports, product TF/drawings, calibration IDs, master sampling plan, special tensile/flow/leak worksheets, connector design qualification, deviation and reject records, packaging/sealing monitoring, WI-7-5-1-1 EtO cycle evidence and F-8-2-4 final release. Only records actually available and verified may be marked Evidence Verified.</w:t>
      </w:r>
    </w:p>
    <w:p>
      <w:pPr>
        <w:pStyle w:val="Heading1"/>
      </w:pPr>
      <w:r>
        <w:t>14. Document Control and Approval</w:t>
      </w:r>
    </w:p>
    <w:p>
      <w:r>
        <w:t>This revised text is a proposed technical draft only. Do not assign an effective revision, replace the existing WI or start executing revised numeric limits until QA/QC/Engineering complete review and Document Control formally approves the effective version. Reconcile obsolete worksheet tab text (“Rev6/Rev15”) against current printed form headers Rev7/Rev16. [GAP-017]</w:t>
      </w:r>
    </w:p>
    <w:p>
      <w:pPr>
        <w:pStyle w:val="Heading1"/>
      </w:pPr>
      <w:r>
        <w:t>15. Revision History</w:t>
      </w:r>
    </w:p>
    <w:p>
      <w:r>
        <w:t>Original source: WI-8-2-2-52-1 Rev0; 02.10.2025 — First issue. This document: Proposal drafted 27.10.2026 — non-controlled reconstruction; future revision designation and approval date: PENDING.</w:t>
      </w:r>
    </w:p>
    <w:p>
      <w:pPr>
        <w:pStyle w:val="Heading1"/>
      </w:pPr>
      <w:r>
        <w:t>Appendix A — Open Technical Input Register</w:t>
      </w:r>
    </w:p>
    <w:p>
      <w:r>
        <w:t>OTI-01 Approved IFU / intended-use and ISO 20697 applicability by variant (GAP-001).</w:t>
      </w:r>
    </w:p>
    <w:p>
      <w:r>
        <w:t>OTI-02 Signed TF-M52-PS / TF-52-PS / TF-52-PDBM reconciliation and numeric drawings (GAP-003–006).</w:t>
      </w:r>
    </w:p>
    <w:p>
      <w:r>
        <w:t>OTI-03 Claimed flow, duration/unit, controlled hydrodynamic method and approved product acceptance values (GAP-007).</w:t>
      </w:r>
    </w:p>
    <w:p>
      <w:r>
        <w:t>OTI-04 Applicability and tensile class, machine conditions and sampling route (GAP-008).</w:t>
      </w:r>
    </w:p>
    <w:p>
      <w:r>
        <w:t>OTI-05 Connector type / approved mating system, risk assessment and connector verification method (GAP-009–010).</w:t>
      </w:r>
    </w:p>
    <w:p>
      <w:r>
        <w:t>OTI-06 Calibration IDs, approval plan, process sampling frequencies, qualification/lab evidence (GAP-012–016).</w:t>
      </w:r>
    </w:p>
    <w:p>
      <w:pPr>
        <w:pStyle w:val="Heading1"/>
      </w:pPr>
      <w:r>
        <w:t>Appendix B — Exact Proposed WI Requirements Mapped to Gap IDs</w:t>
      </w:r>
    </w:p>
    <w:p>
      <w:r>
        <w:t>The following are verbatim from the Master Gap / Revised WI Text column and govern final reconciliation before approval.</w:t>
      </w:r>
    </w:p>
    <w:p>
      <w:pPr>
        <w:pStyle w:val="Heading2"/>
      </w:pPr>
      <w:r>
        <w:t>GAP-001 | Unverified intended-use / normative scope</w:t>
      </w:r>
    </w:p>
    <w:p>
      <w:r>
        <w:t>Proposed §2.1: Before assigning product-standard acceptance limits, QA/Engineering shall approve the intended-use and design-configuration applicability matrix for every catheter variant. Classify ISO 20697 as applicable, partially applicable, or not applicable by clause with justification; ISO 80369-6 and ISO 8536-4 shall not be claimed applicable to the catheter without a documented scope rationale.</w:t>
      </w:r>
    </w:p>
    <w:p>
      <w:pPr>
        <w:pStyle w:val="Heading2"/>
      </w:pPr>
      <w:r>
        <w:t>GAP-002 | Incorrect standard identity and method/criterion conflation</w:t>
      </w:r>
    </w:p>
    <w:p>
      <w:r>
        <w:t>Proposed §3: Identify standards by exact number, title and edition. Use BS EN 1618 only for its selected test method(s), where justified; use ISO 80369-20 only with an approved applicable connector performance specification. Remove unsupported statements that a visual flow test proves compliance with an unrelated product or connector standard.</w:t>
      </w:r>
    </w:p>
    <w:p>
      <w:pPr>
        <w:pStyle w:val="Heading2"/>
      </w:pPr>
      <w:r>
        <w:t>GAP-003 | Controlled product specification and variant mapping not verified</w:t>
      </w:r>
    </w:p>
    <w:p>
      <w:r>
        <w:t>Proposed §6.1: QC shall use the currently approved specification and drawing identified by product code, catheter configuration and revision. Document Control shall reconcile TF-M52-PS versus TF-52-PS / TF-52-PDBM. No dimension, tolerance, hole count or cuff dimension shall be accepted from an uncontrolled/unknown reference. OPEN TECHNICAL INPUT REQUIRED: signed current product-specific specification and drawing.</w:t>
      </w:r>
    </w:p>
    <w:p>
      <w:pPr>
        <w:pStyle w:val="Heading2"/>
      </w:pPr>
      <w:r>
        <w:t>GAP-004 | Hole count and geometry under-defined across variants</w:t>
      </w:r>
    </w:p>
    <w:p>
      <w:r>
        <w:t>Proposed §7.4: For each approved variant verify total hole count, approved positions/diameters (if specified), lumen patency and absence of blocked holes, fibers, flash and sharp edges against the corresponding drawing. The 72-hole target is applicable only to a variant for which the approved drawing explicitly specifies 72.</w:t>
      </w:r>
    </w:p>
    <w:p>
      <w:pPr>
        <w:pStyle w:val="Heading2"/>
      </w:pPr>
      <w:r>
        <w:t>GAP-005 | OD/ID/length measurements lack measurable results</w:t>
      </w:r>
    </w:p>
    <w:p>
      <w:r>
        <w:t>Proposed §7.5: Measure OD, ID, effective length and overall length at drawing-defined locations using identified calibrated devices, and record individual readings in mm (or approved length unit). Acceptance criteria shall be the exact controlled variant-specific dimensions/tolerances. OPEN TECHNICAL INPUT REQUIRED for target values and sampling points.</w:t>
      </w:r>
    </w:p>
    <w:p>
      <w:pPr>
        <w:pStyle w:val="Heading2"/>
      </w:pPr>
      <w:r>
        <w:t>GAP-006 | Cuff dimension and spacing values conflict or are unverified</w:t>
      </w:r>
    </w:p>
    <w:p>
      <w:r>
        <w:t>Proposed §7.6: QC shall measure cuff width, cuff count, cuff locations and inter-cuff distances against the specific approved variant drawing; inspect adhesion and displacement against a validated company-defined method/limit. Retention verification shall follow the approved risk-based evidence route if relevant. The existing 6 cm, 13 cm and 6.46 ±3 mm values are UNVERIFIED until reconciled with the signed drawing.</w:t>
      </w:r>
    </w:p>
    <w:p>
      <w:pPr>
        <w:pStyle w:val="Heading2"/>
      </w:pPr>
      <w:r>
        <w:t>GAP-007 | Flow performance method and units are insufficient</w:t>
      </w:r>
    </w:p>
    <w:p>
      <w:r>
        <w:t>Proposed §8.2: Use the approved flow method specifying fluid, head/pressure, temperature, stabilization, timed collection, number of repeats and expression in mL/min (or the exact approved unit). Record the three individual values, their assessment and catheter size; apply the manufacturer-approved acceptance band. If ISO 20697 §6.6 is applicable, verify performance against the applicable percentage of approved manufacturer-claimed flow using Annex G. OPEN TECHNICAL INPUT REQUIRED: claim, time basis and company limits; do not use 540/450 mL alone as a pass limit.</w:t>
      </w:r>
    </w:p>
    <w:p>
      <w:pPr>
        <w:pStyle w:val="Heading2"/>
      </w:pPr>
      <w:r>
        <w:t>GAP-008 | Tensile acceptance and controlled method missing</w:t>
      </w:r>
    </w:p>
    <w:p>
      <w:r>
        <w:t>Proposed §8.3: Use an approved tensile method that identifies whether an external connection (ISO 20697 §6.4.1) or catheter-body/tube junction (§6.4.2) is tested, calibrated equipment, fixture, gauge length and controlled crosshead rate. Record peak force (N), mode/location of failure and comparison with the exact approved criterion. Apply ISO table limits only after technical approval that ISO 20697 applies and OD category is verified. Existing 500 mm/min shall not be assumed normative without source verification.</w:t>
      </w:r>
    </w:p>
    <w:p>
      <w:pPr>
        <w:pStyle w:val="Heading2"/>
      </w:pPr>
      <w:r>
        <w:t>GAP-009 | Connector application and misconnection controls not demonstrated</w:t>
      </w:r>
    </w:p>
    <w:p>
      <w:r>
        <w:t>Proposed §7.8: Engineering/QA shall approve connector type, intended compatible mating devices and interface drawing; evaluate wrong-route misconnection risk and identify applicable connector-standard requirements. During production QC shall verify presence, integrity and fit only using authorized counterpart(s). Do not apply ISO 80369-6 neuraxial geometry by inference.</w:t>
      </w:r>
    </w:p>
    <w:p>
      <w:pPr>
        <w:pStyle w:val="Heading2"/>
      </w:pPr>
      <w:r>
        <w:t>GAP-010 | Gravity-flow leak check is not an established standardized connector test</w:t>
      </w:r>
    </w:p>
    <w:p>
      <w:r>
        <w:t>Proposed §8.4: Clearly separate the routine gravity functional joint leak check (observed leakage: none) from connector type-verification under an approved applicable ISO 80369 method. If the device is intended for negative pressure, maintain separate approved qualification evidence per ISO 20697 §6.11 (subject to scope decision). A gravity visual check alone shall not be reported as conformity to ISO 80369-20.</w:t>
      </w:r>
    </w:p>
    <w:p>
      <w:pPr>
        <w:pStyle w:val="Heading2"/>
      </w:pPr>
      <w:r>
        <w:t>GAP-011 | In-process visual criteria not standardized by defect and observation</w:t>
      </w:r>
    </w:p>
    <w:p>
      <w:r>
        <w:t>Proposed §7.2: Inspect tubing, surface, coil shape, punch holes, particulate matter, cracks, cuts, collapse, flash, protrusions and blocked lumens according to an approved defect catalogue and visual conditions; record characteristics individually. Any visible defect affecting integrity, patency or patient-contact surface shall cause immediate Hold and defined disposition, not an unsupported generic “Good”.</w:t>
      </w:r>
    </w:p>
    <w:p>
      <w:pPr>
        <w:pStyle w:val="Heading2"/>
      </w:pPr>
      <w:r>
        <w:t>GAP-012 | Radiopacity cannot be verified only by visual color</w:t>
      </w:r>
    </w:p>
    <w:p>
      <w:r>
        <w:t>Proposed §7.9: For variants requiring radiographic detectability, confirm correct specified radiopaque material/marker during in-process assembly against controlled BOM. Maintain separately approved detectability verification evidence from qualification/material validation; do not infer detectability from colour. If not required, document risk-based N/A.</w:t>
      </w:r>
    </w:p>
    <w:p>
      <w:pPr>
        <w:pStyle w:val="Heading2"/>
      </w:pPr>
      <w:r>
        <w:t>GAP-013 | Hourly record lacks sample size, readings and disposition traceability</w:t>
      </w:r>
    </w:p>
    <w:p>
      <w:r>
        <w:t>Proposed §§6.3, 9: QC shall follow an approved risk-based sampling/control plan with sampling event, piece/sample ID, quantity, results and trend/disposition. Time slots are monitoring prompts only, not an ISO-mandated frequency. If product fails, record event, segregation and NCR/reject reference and notify production/QA per approved workflow.</w:t>
      </w:r>
    </w:p>
    <w:p>
      <w:pPr>
        <w:pStyle w:val="Heading2"/>
      </w:pPr>
      <w:r>
        <w:t>GAP-014 | Extrusion/molding to kit genealogy and calibration reference omitted</w:t>
      </w:r>
    </w:p>
    <w:p>
      <w:r>
        <w:t>Proposed §6.4: At kit assembly, verify the released tubing/component lot codes against F-823-i15 and record their corresponding lot and QC reference on F-823-i99. QC shall only use equipment within calibration and record instrument ID/reference for quantitative work.</w:t>
      </w:r>
    </w:p>
    <w:p>
      <w:pPr>
        <w:pStyle w:val="Heading2"/>
      </w:pPr>
      <w:r>
        <w:t>GAP-015 | Missing explicit in-process Hold / Reject / corrective disposition</w:t>
      </w:r>
    </w:p>
    <w:p>
      <w:r>
        <w:t>Proposed §10: On an out-of-specification, contamination, leakage, dimensional, blocked-lumen or integrity failure, stop release of affected material to next process stage, identify scope/quantity, apply QC Hold tag, log rejection/NCR reference, and route for authorized disposition under the company-approved nonconforming product process. QC shall not overwrite a failed initial reading with a passing retest.</w:t>
      </w:r>
    </w:p>
    <w:p>
      <w:pPr>
        <w:pStyle w:val="Heading2"/>
      </w:pPr>
      <w:r>
        <w:t>GAP-016 | In-process versus final release evidence boundaries are not explicit</w:t>
      </w:r>
    </w:p>
    <w:p>
      <w:r>
        <w:t>Proposed §§11–12: Preserve existing packaging, EtO WI-7-5-1-1 and final-release procedures as separate downstream controls. The in-process record shall only capture applicable assembly process acceptance and references to downstream hold/transfer status. No new routine endotoxin/biocompatibility/sterility/EtO test shall be added without an approved plan.</w:t>
      </w:r>
    </w:p>
    <w:p>
      <w:pPr>
        <w:pStyle w:val="Heading2"/>
      </w:pPr>
      <w:r>
        <w:t>GAP-017 | Revision tab labels and review fields inconsistent</w:t>
      </w:r>
    </w:p>
    <w:p>
      <w:r>
        <w:t>Proposed §14: Verify effective controlled versions of WI, F-823-i99 and F-823-i15 before production use; display current document numbers, effective dates, revision and superseded versions in the master document list. Worksheet-tab names shall be reconciled with the approved header. Do not change official revision identity without Document Control approval.</w:t>
      </w:r>
    </w:p>
    <w:sectPr w:rsidR="00FC693F" w:rsidRPr="0006063C" w:rsidSect="00034616">
      <w:headerReference w:type="default" r:id="rId9"/>
      <w:footerReference w:type="default" r:id="rId10"/>
      <w:pgSz w:w="11909" w:h="16834"/>
      <w:pgMar w:top="1051" w:right="1037" w:bottom="936" w:left="1037" w:header="33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080"/>
        <w:sz w:val="14"/>
      </w:rPr>
      <w:t xml:space="preserve">UNCONTROLLED DRAFT  •  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6B76"/>
        <w:sz w:val="14"/>
      </w:rPr>
      <w:t>SAUDI MAIS  |  QC COMPLIANCE  |  DRAFT FOR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3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4283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4283F"/>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428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428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