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 MANAGER | MASTER ISO GAP &amp; REVISION REPORT</w:t>
      </w:r>
    </w:p>
    <w:p>
      <w:r>
        <w:rPr>
          <w:rFonts w:ascii="Aptos" w:hAnsi="Aptos"/>
          <w:b/>
          <w:color w:val="0F6772"/>
          <w:sz w:val="20"/>
        </w:rPr>
        <w:t>ISO 23500-4:2019  |  WI-8-2-2-40  |  In-Process Control</w:t>
      </w:r>
    </w:p>
    <w:p>
      <w:r>
        <w:rPr>
          <w:rFonts w:ascii="Aptos" w:hAnsi="Aptos"/>
          <w:b w:val="0"/>
          <w:color w:val="14253B"/>
          <w:sz w:val="18"/>
        </w:rPr>
        <w:t>Product: Dry Sodium Bicarbonate (Gambro / Fresenius variants) | Assessment date: 25 Oct 2026 | Report status: DRAFT</w:t>
      </w:r>
    </w:p>
    <w:p>
      <w:r>
        <w:rPr>
          <w:rFonts w:ascii="Aptos" w:hAnsi="Aptos"/>
          <w:b/>
          <w:color w:val="A03F2A"/>
          <w:sz w:val="18"/>
        </w:rPr>
        <w:t>SOURCE REVIEWED / CONTROLLED DRAFT - not approved for production or lot release</w:t>
      </w:r>
    </w:p>
    <w:p>
      <w:pPr>
        <w:pStyle w:val="Heading1"/>
      </w:pPr>
      <w:r>
        <w:t>1. Executive summary</w:t>
      </w:r>
    </w:p>
    <w:p>
      <w:r>
        <w:rPr>
          <w:rFonts w:ascii="Aptos" w:hAnsi="Aptos"/>
          <w:b w:val="0"/>
          <w:color w:val="14253B"/>
          <w:sz w:val="18"/>
        </w:rPr>
        <w:t>Identified 19 documented gaps: P1 13 | P2 6 | P3 0. Existing documents offer important component, filling, sealing, labelling and hourly process controls, but neither product conformity nor operational closure is demonstrated by the five submitted source files.</w:t>
      </w:r>
    </w:p>
    <w:p>
      <w:r>
        <w:rPr>
          <w:rFonts w:ascii="Aptos" w:hAnsi="Aptos"/>
          <w:b w:val="0"/>
          <w:color w:val="14253B"/>
          <w:sz w:val="18"/>
        </w:rPr>
        <w:t>Critical decisions: establish controlled pharmacopoeial/microbial/endotoxin/solute evidence; approve intended-use category and fill tolerance per SKU; reconcile machine pressure, weld parameters and drawings; validate machine compatibility and actual artwork/IFU; reconcile F-823 versus F-832 form references and approved document revisions.</w:t>
      </w:r>
    </w:p>
    <w:p>
      <w:r>
        <w:rPr>
          <w:rFonts w:ascii="Aptos" w:hAnsi="Aptos"/>
          <w:b w:val="0"/>
          <w:color w:val="14253B"/>
          <w:sz w:val="18"/>
        </w:rPr>
        <w:t>Documentary status: proposed replacement controls are DRAFT and subject to verified technical input, validation, QA approval and real execution records. Actual ISO conformity: NOT CONFIRMED from submitted evidence. No finding is Verified Closed.</w:t>
      </w:r>
    </w:p>
    <w:p>
      <w:pPr>
        <w:pStyle w:val="Heading1"/>
      </w:pPr>
      <w:r>
        <w:t>2. Reviewed source files and scope</w:t>
      </w:r>
    </w:p>
    <w:p>
      <w:r>
        <w:rPr>
          <w:rFonts w:ascii="Aptos" w:hAnsi="Aptos"/>
          <w:b w:val="0"/>
          <w:color w:val="14253B"/>
          <w:sz w:val="18"/>
        </w:rPr>
        <w:t>• ISO 23500-4:2019 (30 PDF pages; normative text pp.7-21 PDF; Annex A informative).</w:t>
      </w:r>
    </w:p>
    <w:p>
      <w:r>
        <w:rPr>
          <w:rFonts w:ascii="Aptos" w:hAnsi="Aptos"/>
          <w:b w:val="0"/>
          <w:color w:val="14253B"/>
          <w:sz w:val="18"/>
        </w:rPr>
        <w:t>• WI-8-2-2-40 (document header Rev.14; filename Rev.13); 17 rendered pages; internal header dated 09.09.2025.</w:t>
      </w:r>
    </w:p>
    <w:p>
      <w:r>
        <w:rPr>
          <w:rFonts w:ascii="Aptos" w:hAnsi="Aptos"/>
          <w:b w:val="0"/>
          <w:color w:val="14253B"/>
          <w:sz w:val="18"/>
        </w:rPr>
        <w:t>• F-823-i14-2 - Gambro ultrasonic sealing in-process control, face Rev.14; worksheet tab Rev.13; 1 page, 22 listed rows.</w:t>
      </w:r>
    </w:p>
    <w:p>
      <w:r>
        <w:rPr>
          <w:rFonts w:ascii="Aptos" w:hAnsi="Aptos"/>
          <w:b w:val="0"/>
          <w:color w:val="14253B"/>
          <w:sz w:val="18"/>
        </w:rPr>
        <w:t>• F-823-i14-5 - Fresenius 5008 PE bag in-process control, face Rev.6; worksheet tab Rev.5; 2 pages, 24 listed rows.</w:t>
      </w:r>
    </w:p>
    <w:p>
      <w:r>
        <w:rPr>
          <w:rFonts w:ascii="Aptos" w:hAnsi="Aptos"/>
          <w:b w:val="0"/>
          <w:color w:val="14253B"/>
          <w:sz w:val="18"/>
        </w:rPr>
        <w:t>• F-823-i15 - Injection/Extrusion in-process control, face Rev.16; worksheet tab Rev.15; 21 listed defects/dimensions.</w:t>
      </w:r>
    </w:p>
    <w:p>
      <w:r>
        <w:rPr>
          <w:rFonts w:ascii="Aptos" w:hAnsi="Aptos"/>
          <w:b w:val="0"/>
          <w:color w:val="14253B"/>
          <w:sz w:val="18"/>
        </w:rPr>
        <w:t>Boundary: dry sodium bicarbonate cartridge/bag manufacture and associated in-process controls. Original approved drawings, pharmacopoeial standards, ISO 23500-3 and -5, master labels/IFUs, other WI-referenced F-823 forms, analytical reports, historical executed logs, process validations and calibration records were NOT supplied. Conditional applicability is explicitly marked, not assumed compliant.</w:t>
      </w:r>
    </w:p>
    <w:p>
      <w:pPr>
        <w:pStyle w:val="Heading1"/>
      </w:pPr>
      <w:r>
        <w:t>3. Applicable ISO requirements and traceability</w:t>
      </w:r>
    </w:p>
    <w:tbl>
      <w:tblPr>
        <w:tblStyle w:val="TableGrid"/>
        <w:tblW w:type="auto" w:w="0"/>
        <w:jc w:val="center"/>
        <w:tblLayout w:type="fixed"/>
        <w:tblLook w:firstColumn="1" w:firstRow="1" w:lastColumn="0" w:lastRow="0" w:noHBand="0" w:noVBand="1" w:val="04A0"/>
      </w:tblPr>
      <w:tblGrid>
        <w:gridCol w:w="3201"/>
        <w:gridCol w:w="3201"/>
        <w:gridCol w:w="3201"/>
        <w:gridCol w:w="3201"/>
        <w:gridCol w:w="3201"/>
        <w:gridCol w:w="3201"/>
        <w:gridCol w:w="3201"/>
      </w:tblGrid>
      <w:tr>
        <w:trPr>
          <w:tblHeader w:val="true"/>
          <w:cantSplit/>
        </w:trPr>
        <w:tc>
          <w:tcPr>
            <w:tcW w:type="dxa" w:w="1440"/>
            <w:vAlign w:val="top"/>
            <w:shd w:fill="14253B"/>
          </w:tcPr>
          <w:p>
            <w:pPr>
              <w:spacing w:after="40" w:before="20" w:line="252" w:lineRule="auto"/>
            </w:pPr>
            <w:r/>
            <w:r>
              <w:rPr>
                <w:rFonts w:ascii="Aptos" w:hAnsi="Aptos"/>
                <w:b/>
                <w:color w:val="FFFFFF"/>
                <w:sz w:val="16"/>
              </w:rPr>
              <w:t>Requirement</w:t>
            </w:r>
          </w:p>
        </w:tc>
        <w:tc>
          <w:tcPr>
            <w:tcW w:type="dxa" w:w="2376"/>
            <w:vAlign w:val="top"/>
            <w:shd w:fill="14253B"/>
          </w:tcPr>
          <w:p>
            <w:pPr>
              <w:spacing w:after="40" w:before="20" w:line="252" w:lineRule="auto"/>
            </w:pPr>
            <w:r/>
            <w:r>
              <w:rPr>
                <w:rFonts w:ascii="Aptos" w:hAnsi="Aptos"/>
                <w:b/>
                <w:color w:val="FFFFFF"/>
                <w:sz w:val="16"/>
              </w:rPr>
              <w:t>Clause / test</w:t>
            </w:r>
          </w:p>
        </w:tc>
        <w:tc>
          <w:tcPr>
            <w:tcW w:type="dxa" w:w="2160"/>
            <w:vAlign w:val="top"/>
            <w:shd w:fill="14253B"/>
          </w:tcPr>
          <w:p>
            <w:pPr>
              <w:spacing w:after="40" w:before="20" w:line="252" w:lineRule="auto"/>
            </w:pPr>
            <w:r/>
            <w:r>
              <w:rPr>
                <w:rFonts w:ascii="Aptos" w:hAnsi="Aptos"/>
                <w:b/>
                <w:color w:val="FFFFFF"/>
                <w:sz w:val="16"/>
              </w:rPr>
              <w:t>ISO source</w:t>
            </w:r>
          </w:p>
        </w:tc>
        <w:tc>
          <w:tcPr>
            <w:tcW w:type="dxa" w:w="3168"/>
            <w:vAlign w:val="top"/>
            <w:shd w:fill="14253B"/>
          </w:tcPr>
          <w:p>
            <w:pPr>
              <w:spacing w:after="40" w:before="20" w:line="252" w:lineRule="auto"/>
            </w:pPr>
            <w:r/>
            <w:r>
              <w:rPr>
                <w:rFonts w:ascii="Aptos" w:hAnsi="Aptos"/>
                <w:b/>
                <w:color w:val="FFFFFF"/>
                <w:sz w:val="16"/>
              </w:rPr>
              <w:t>Assessment scope</w:t>
            </w:r>
          </w:p>
        </w:tc>
        <w:tc>
          <w:tcPr>
            <w:tcW w:type="dxa" w:w="2232"/>
            <w:vAlign w:val="top"/>
            <w:shd w:fill="14253B"/>
          </w:tcPr>
          <w:p>
            <w:pPr>
              <w:spacing w:after="40" w:before="20" w:line="252" w:lineRule="auto"/>
            </w:pPr>
            <w:r/>
            <w:r>
              <w:rPr>
                <w:rFonts w:ascii="Aptos" w:hAnsi="Aptos"/>
                <w:b/>
                <w:color w:val="FFFFFF"/>
                <w:sz w:val="16"/>
              </w:rPr>
              <w:t>Applicability</w:t>
            </w:r>
          </w:p>
        </w:tc>
        <w:tc>
          <w:tcPr>
            <w:tcW w:type="dxa" w:w="2520"/>
            <w:vAlign w:val="top"/>
            <w:shd w:fill="14253B"/>
          </w:tcPr>
          <w:p>
            <w:pPr>
              <w:spacing w:after="40" w:before="20" w:line="252" w:lineRule="auto"/>
            </w:pPr>
            <w:r/>
            <w:r>
              <w:rPr>
                <w:rFonts w:ascii="Aptos" w:hAnsi="Aptos"/>
                <w:b/>
                <w:color w:val="FFFFFF"/>
                <w:sz w:val="16"/>
              </w:rPr>
              <w:t>Related gap(s) / record</w:t>
            </w:r>
          </w:p>
        </w:tc>
        <w:tc>
          <w:tcPr>
            <w:tcW w:type="dxa" w:w="7992"/>
            <w:vAlign w:val="top"/>
            <w:shd w:fill="14253B"/>
          </w:tcPr>
          <w:p>
            <w:pPr>
              <w:spacing w:after="40" w:before="20" w:line="252" w:lineRule="auto"/>
            </w:pPr>
            <w:r/>
            <w:r>
              <w:rPr>
                <w:rFonts w:ascii="Aptos" w:hAnsi="Aptos"/>
                <w:b/>
                <w:color w:val="FFFFFF"/>
                <w:sz w:val="16"/>
              </w:rPr>
              <w:t>Verification observation</w:t>
            </w:r>
          </w:p>
        </w:tc>
      </w:tr>
      <w:tr>
        <w:trPr>
          <w:cantSplit/>
        </w:trPr>
        <w:tc>
          <w:tcPr>
            <w:tcW w:type="dxa" w:w="1440"/>
            <w:vAlign w:val="top"/>
          </w:tcPr>
          <w:p>
            <w:pPr>
              <w:spacing w:after="40" w:before="20" w:line="252" w:lineRule="auto"/>
            </w:pPr>
            <w:r/>
            <w:r>
              <w:rPr>
                <w:rFonts w:ascii="Aptos" w:hAnsi="Aptos"/>
                <w:b w:val="0"/>
                <w:color w:val="14253B"/>
                <w:sz w:val="15"/>
              </w:rPr>
              <w:t>REQ-01</w:t>
            </w:r>
          </w:p>
        </w:tc>
        <w:tc>
          <w:tcPr>
            <w:tcW w:type="dxa" w:w="2376"/>
            <w:vAlign w:val="top"/>
          </w:tcPr>
          <w:p>
            <w:pPr>
              <w:spacing w:after="40" w:before="20" w:line="252" w:lineRule="auto"/>
            </w:pPr>
            <w:r/>
            <w:r>
              <w:rPr>
                <w:rFonts w:ascii="Aptos" w:hAnsi="Aptos"/>
                <w:b w:val="0"/>
                <w:color w:val="14253B"/>
                <w:sz w:val="15"/>
              </w:rPr>
              <w:t>4.1.1 &amp; 5.2.1</w:t>
            </w:r>
          </w:p>
        </w:tc>
        <w:tc>
          <w:tcPr>
            <w:tcW w:type="dxa" w:w="2160"/>
            <w:vAlign w:val="top"/>
          </w:tcPr>
          <w:p>
            <w:pPr>
              <w:spacing w:after="40" w:before="20" w:line="252" w:lineRule="auto"/>
            </w:pPr>
            <w:r/>
            <w:r>
              <w:rPr>
                <w:rFonts w:ascii="Aptos" w:hAnsi="Aptos"/>
                <w:b w:val="0"/>
                <w:color w:val="14253B"/>
                <w:sz w:val="15"/>
              </w:rPr>
              <w:t>PDF pp.8/12; printed 2/6</w:t>
            </w:r>
          </w:p>
        </w:tc>
        <w:tc>
          <w:tcPr>
            <w:tcW w:type="dxa" w:w="3168"/>
            <w:vAlign w:val="top"/>
          </w:tcPr>
          <w:p>
            <w:pPr>
              <w:spacing w:after="40" w:before="20" w:line="252" w:lineRule="auto"/>
            </w:pPr>
            <w:r/>
            <w:r>
              <w:rPr>
                <w:rFonts w:ascii="Aptos" w:hAnsi="Aptos"/>
                <w:b w:val="0"/>
                <w:color w:val="14253B"/>
                <w:sz w:val="15"/>
              </w:rPr>
              <w:t>Dry-powder form/visual state</w:t>
            </w:r>
          </w:p>
        </w:tc>
        <w:tc>
          <w:tcPr>
            <w:tcW w:type="dxa" w:w="2232"/>
            <w:vAlign w:val="top"/>
          </w:tcPr>
          <w:p>
            <w:pPr>
              <w:spacing w:after="40" w:before="20" w:line="252" w:lineRule="auto"/>
            </w:pPr>
            <w:r/>
            <w:r>
              <w:rPr>
                <w:rFonts w:ascii="Aptos" w:hAnsi="Aptos"/>
                <w:b w:val="0"/>
                <w:color w:val="14253B"/>
                <w:sz w:val="15"/>
              </w:rPr>
              <w:t>Applicable</w:t>
            </w:r>
          </w:p>
        </w:tc>
        <w:tc>
          <w:tcPr>
            <w:tcW w:type="dxa" w:w="2520"/>
            <w:vAlign w:val="top"/>
          </w:tcPr>
          <w:p>
            <w:pPr>
              <w:spacing w:after="40" w:before="20" w:line="252" w:lineRule="auto"/>
            </w:pPr>
            <w:r/>
            <w:r>
              <w:rPr>
                <w:rFonts w:ascii="Aptos" w:hAnsi="Aptos"/>
                <w:b w:val="0"/>
                <w:color w:val="14253B"/>
                <w:sz w:val="15"/>
              </w:rPr>
              <w:t>GAP-001, GAP-002</w:t>
            </w:r>
          </w:p>
        </w:tc>
        <w:tc>
          <w:tcPr>
            <w:tcW w:type="dxa" w:w="7992"/>
            <w:vAlign w:val="top"/>
          </w:tcPr>
          <w:p>
            <w:pPr>
              <w:spacing w:after="40" w:before="20" w:line="252" w:lineRule="auto"/>
            </w:pPr>
            <w:r/>
            <w:r>
              <w:rPr>
                <w:rFonts w:ascii="Aptos" w:hAnsi="Aptos"/>
                <w:b w:val="0"/>
                <w:color w:val="14253B"/>
                <w:sz w:val="15"/>
              </w:rPr>
              <w:t>Appearance in both powder forms; physical state partially represented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REQ-02</w:t>
            </w:r>
          </w:p>
        </w:tc>
        <w:tc>
          <w:tcPr>
            <w:tcW w:type="dxa" w:w="2376"/>
            <w:vAlign w:val="top"/>
            <w:shd w:fill="F1F5F8"/>
          </w:tcPr>
          <w:p>
            <w:pPr>
              <w:spacing w:after="40" w:before="20" w:line="252" w:lineRule="auto"/>
            </w:pPr>
            <w:r>
              <w:rPr>
                <w:color w:val="14253B"/>
              </w:rPr>
            </w:r>
            <w:r>
              <w:rPr>
                <w:rFonts w:ascii="Aptos" w:hAnsi="Aptos"/>
                <w:b w:val="0"/>
                <w:color w:val="14253B"/>
                <w:sz w:val="15"/>
              </w:rPr>
              <w:t>4.1.1.1-4.1.1.2; 5.2.2</w:t>
            </w:r>
          </w:p>
        </w:tc>
        <w:tc>
          <w:tcPr>
            <w:tcW w:type="dxa" w:w="2160"/>
            <w:vAlign w:val="top"/>
            <w:shd w:fill="F1F5F8"/>
          </w:tcPr>
          <w:p>
            <w:pPr>
              <w:spacing w:after="40" w:before="20" w:line="252" w:lineRule="auto"/>
            </w:pPr>
            <w:r>
              <w:rPr>
                <w:color w:val="14253B"/>
              </w:rPr>
            </w:r>
            <w:r>
              <w:rPr>
                <w:rFonts w:ascii="Aptos" w:hAnsi="Aptos"/>
                <w:b w:val="0"/>
                <w:color w:val="14253B"/>
                <w:sz w:val="15"/>
              </w:rPr>
              <w:t>PDF pp.8-9/13; printed 2-3/7</w:t>
            </w:r>
          </w:p>
        </w:tc>
        <w:tc>
          <w:tcPr>
            <w:tcW w:type="dxa" w:w="3168"/>
            <w:vAlign w:val="top"/>
            <w:shd w:fill="F1F5F8"/>
          </w:tcPr>
          <w:p>
            <w:pPr>
              <w:spacing w:after="40" w:before="20" w:line="252" w:lineRule="auto"/>
            </w:pPr>
            <w:r>
              <w:rPr>
                <w:color w:val="14253B"/>
              </w:rPr>
            </w:r>
            <w:r>
              <w:rPr>
                <w:rFonts w:ascii="Aptos" w:hAnsi="Aptos"/>
                <w:b w:val="0"/>
                <w:color w:val="14253B"/>
                <w:sz w:val="15"/>
              </w:rPr>
              <w:t>Reconstituted composition/solute analytical verification</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GAP-002, GAP-012</w:t>
            </w:r>
          </w:p>
        </w:tc>
        <w:tc>
          <w:tcPr>
            <w:tcW w:type="dxa" w:w="7992"/>
            <w:vAlign w:val="top"/>
            <w:shd w:fill="F1F5F8"/>
          </w:tcPr>
          <w:p>
            <w:pPr>
              <w:spacing w:after="40" w:before="20" w:line="252" w:lineRule="auto"/>
            </w:pPr>
            <w:r>
              <w:rPr>
                <w:color w:val="14253B"/>
              </w:rPr>
            </w:r>
            <w:r>
              <w:rPr>
                <w:rFonts w:ascii="Aptos" w:hAnsi="Aptos"/>
                <w:b w:val="0"/>
                <w:color w:val="14253B"/>
                <w:sz w:val="15"/>
              </w:rPr>
              <w:t>Study and product-specific IFU absent</w:t>
            </w:r>
          </w:p>
        </w:tc>
      </w:tr>
      <w:tr>
        <w:trPr>
          <w:cantSplit/>
        </w:trPr>
        <w:tc>
          <w:tcPr>
            <w:tcW w:type="dxa" w:w="1440"/>
            <w:vAlign w:val="top"/>
          </w:tcPr>
          <w:p>
            <w:pPr>
              <w:spacing w:after="40" w:before="20" w:line="252" w:lineRule="auto"/>
            </w:pPr>
            <w:r/>
            <w:r>
              <w:rPr>
                <w:rFonts w:ascii="Aptos" w:hAnsi="Aptos"/>
                <w:b w:val="0"/>
                <w:color w:val="14253B"/>
                <w:sz w:val="15"/>
              </w:rPr>
              <w:t>REQ-03</w:t>
            </w:r>
          </w:p>
        </w:tc>
        <w:tc>
          <w:tcPr>
            <w:tcW w:type="dxa" w:w="2376"/>
            <w:vAlign w:val="top"/>
          </w:tcPr>
          <w:p>
            <w:pPr>
              <w:spacing w:after="40" w:before="20" w:line="252" w:lineRule="auto"/>
            </w:pPr>
            <w:r/>
            <w:r>
              <w:rPr>
                <w:rFonts w:ascii="Aptos" w:hAnsi="Aptos"/>
                <w:b w:val="0"/>
                <w:color w:val="14253B"/>
                <w:sz w:val="15"/>
              </w:rPr>
              <w:t>4.1.2; 5.2.3</w:t>
            </w:r>
          </w:p>
        </w:tc>
        <w:tc>
          <w:tcPr>
            <w:tcW w:type="dxa" w:w="2160"/>
            <w:vAlign w:val="top"/>
          </w:tcPr>
          <w:p>
            <w:pPr>
              <w:spacing w:after="40" w:before="20" w:line="252" w:lineRule="auto"/>
            </w:pPr>
            <w:r/>
            <w:r>
              <w:rPr>
                <w:rFonts w:ascii="Aptos" w:hAnsi="Aptos"/>
                <w:b w:val="0"/>
                <w:color w:val="14253B"/>
                <w:sz w:val="15"/>
              </w:rPr>
              <w:t>PDF pp.9/13; printed 3/7</w:t>
            </w:r>
          </w:p>
        </w:tc>
        <w:tc>
          <w:tcPr>
            <w:tcW w:type="dxa" w:w="3168"/>
            <w:vAlign w:val="top"/>
          </w:tcPr>
          <w:p>
            <w:pPr>
              <w:spacing w:after="40" w:before="20" w:line="252" w:lineRule="auto"/>
            </w:pPr>
            <w:r/>
            <w:r>
              <w:rPr>
                <w:rFonts w:ascii="Aptos" w:hAnsi="Aptos"/>
                <w:b w:val="0"/>
                <w:color w:val="14253B"/>
                <w:sz w:val="15"/>
              </w:rPr>
              <w:t>Quality of water used at manufacturer</w:t>
            </w:r>
          </w:p>
        </w:tc>
        <w:tc>
          <w:tcPr>
            <w:tcW w:type="dxa" w:w="2232"/>
            <w:vAlign w:val="top"/>
          </w:tcPr>
          <w:p>
            <w:pPr>
              <w:spacing w:after="40" w:before="20" w:line="252" w:lineRule="auto"/>
            </w:pPr>
            <w:r/>
            <w:r>
              <w:rPr>
                <w:rFonts w:ascii="Aptos" w:hAnsi="Aptos"/>
                <w:b w:val="0"/>
                <w:color w:val="14253B"/>
                <w:sz w:val="15"/>
              </w:rPr>
              <w:t>Conditional</w:t>
            </w:r>
          </w:p>
        </w:tc>
        <w:tc>
          <w:tcPr>
            <w:tcW w:type="dxa" w:w="2520"/>
            <w:vAlign w:val="top"/>
          </w:tcPr>
          <w:p>
            <w:pPr>
              <w:spacing w:after="40" w:before="20" w:line="252" w:lineRule="auto"/>
            </w:pPr>
            <w:r/>
            <w:r>
              <w:rPr>
                <w:rFonts w:ascii="Aptos" w:hAnsi="Aptos"/>
                <w:b w:val="0"/>
                <w:color w:val="14253B"/>
                <w:sz w:val="15"/>
              </w:rPr>
              <w:t>GAP-010</w:t>
            </w:r>
          </w:p>
        </w:tc>
        <w:tc>
          <w:tcPr>
            <w:tcW w:type="dxa" w:w="7992"/>
            <w:vAlign w:val="top"/>
          </w:tcPr>
          <w:p>
            <w:pPr>
              <w:spacing w:after="40" w:before="20" w:line="252" w:lineRule="auto"/>
            </w:pPr>
            <w:r/>
            <w:r>
              <w:rPr>
                <w:rFonts w:ascii="Aptos" w:hAnsi="Aptos"/>
                <w:b w:val="0"/>
                <w:color w:val="14253B"/>
                <w:sz w:val="15"/>
              </w:rPr>
              <w:t>Dry powder filling only appears in WI; factory use of water to prepare concentrate not established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REQ-04</w:t>
            </w:r>
          </w:p>
        </w:tc>
        <w:tc>
          <w:tcPr>
            <w:tcW w:type="dxa" w:w="2376"/>
            <w:vAlign w:val="top"/>
            <w:shd w:fill="F1F5F8"/>
          </w:tcPr>
          <w:p>
            <w:pPr>
              <w:spacing w:after="40" w:before="20" w:line="252" w:lineRule="auto"/>
            </w:pPr>
            <w:r>
              <w:rPr>
                <w:color w:val="14253B"/>
              </w:rPr>
            </w:r>
            <w:r>
              <w:rPr>
                <w:rFonts w:ascii="Aptos" w:hAnsi="Aptos"/>
                <w:b w:val="0"/>
                <w:color w:val="14253B"/>
                <w:sz w:val="15"/>
              </w:rPr>
              <w:t>4.1.3.2; 5.2.4</w:t>
            </w:r>
          </w:p>
        </w:tc>
        <w:tc>
          <w:tcPr>
            <w:tcW w:type="dxa" w:w="2160"/>
            <w:vAlign w:val="top"/>
            <w:shd w:fill="F1F5F8"/>
          </w:tcPr>
          <w:p>
            <w:pPr>
              <w:spacing w:after="40" w:before="20" w:line="252" w:lineRule="auto"/>
            </w:pPr>
            <w:r>
              <w:rPr>
                <w:color w:val="14253B"/>
              </w:rPr>
            </w:r>
            <w:r>
              <w:rPr>
                <w:rFonts w:ascii="Aptos" w:hAnsi="Aptos"/>
                <w:b w:val="0"/>
                <w:color w:val="14253B"/>
                <w:sz w:val="15"/>
              </w:rPr>
              <w:t>PDF pp.9/13-14; printed 3/7-8</w:t>
            </w:r>
          </w:p>
        </w:tc>
        <w:tc>
          <w:tcPr>
            <w:tcW w:type="dxa" w:w="3168"/>
            <w:vAlign w:val="top"/>
            <w:shd w:fill="F1F5F8"/>
          </w:tcPr>
          <w:p>
            <w:pPr>
              <w:spacing w:after="40" w:before="20" w:line="252" w:lineRule="auto"/>
            </w:pPr>
            <w:r>
              <w:rPr>
                <w:color w:val="14253B"/>
              </w:rPr>
            </w:r>
            <w:r>
              <w:rPr>
                <w:rFonts w:ascii="Aptos" w:hAnsi="Aptos"/>
                <w:b w:val="0"/>
                <w:color w:val="14253B"/>
                <w:sz w:val="15"/>
              </w:rPr>
              <w:t>Microbiological quality of powder under labelled use</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GAP-003</w:t>
            </w:r>
          </w:p>
        </w:tc>
        <w:tc>
          <w:tcPr>
            <w:tcW w:type="dxa" w:w="7992"/>
            <w:vAlign w:val="top"/>
            <w:shd w:fill="F1F5F8"/>
          </w:tcPr>
          <w:p>
            <w:pPr>
              <w:spacing w:after="40" w:before="20" w:line="252" w:lineRule="auto"/>
            </w:pPr>
            <w:r>
              <w:rPr>
                <w:color w:val="14253B"/>
              </w:rPr>
            </w:r>
            <w:r>
              <w:rPr>
                <w:rFonts w:ascii="Aptos" w:hAnsi="Aptos"/>
                <w:b w:val="0"/>
                <w:color w:val="14253B"/>
                <w:sz w:val="15"/>
              </w:rPr>
              <w:t>Qualification/monitoring records unprovided</w:t>
            </w:r>
          </w:p>
        </w:tc>
      </w:tr>
      <w:tr>
        <w:trPr>
          <w:cantSplit/>
        </w:trPr>
        <w:tc>
          <w:tcPr>
            <w:tcW w:type="dxa" w:w="1440"/>
            <w:vAlign w:val="top"/>
          </w:tcPr>
          <w:p>
            <w:pPr>
              <w:spacing w:after="40" w:before="20" w:line="252" w:lineRule="auto"/>
            </w:pPr>
            <w:r/>
            <w:r>
              <w:rPr>
                <w:rFonts w:ascii="Aptos" w:hAnsi="Aptos"/>
                <w:b w:val="0"/>
                <w:color w:val="14253B"/>
                <w:sz w:val="15"/>
              </w:rPr>
              <w:t>REQ-05</w:t>
            </w:r>
          </w:p>
        </w:tc>
        <w:tc>
          <w:tcPr>
            <w:tcW w:type="dxa" w:w="2376"/>
            <w:vAlign w:val="top"/>
          </w:tcPr>
          <w:p>
            <w:pPr>
              <w:spacing w:after="40" w:before="20" w:line="252" w:lineRule="auto"/>
            </w:pPr>
            <w:r/>
            <w:r>
              <w:rPr>
                <w:rFonts w:ascii="Aptos" w:hAnsi="Aptos"/>
                <w:b w:val="0"/>
                <w:color w:val="14253B"/>
                <w:sz w:val="15"/>
              </w:rPr>
              <w:t>4.1.4; 5.2.5</w:t>
            </w:r>
          </w:p>
        </w:tc>
        <w:tc>
          <w:tcPr>
            <w:tcW w:type="dxa" w:w="2160"/>
            <w:vAlign w:val="top"/>
          </w:tcPr>
          <w:p>
            <w:pPr>
              <w:spacing w:after="40" w:before="20" w:line="252" w:lineRule="auto"/>
            </w:pPr>
            <w:r/>
            <w:r>
              <w:rPr>
                <w:rFonts w:ascii="Aptos" w:hAnsi="Aptos"/>
                <w:b w:val="0"/>
                <w:color w:val="14253B"/>
                <w:sz w:val="15"/>
              </w:rPr>
              <w:t>PDF pp.9/14; printed 3/8</w:t>
            </w:r>
          </w:p>
        </w:tc>
        <w:tc>
          <w:tcPr>
            <w:tcW w:type="dxa" w:w="3168"/>
            <w:vAlign w:val="top"/>
          </w:tcPr>
          <w:p>
            <w:pPr>
              <w:spacing w:after="40" w:before="20" w:line="252" w:lineRule="auto"/>
            </w:pPr>
            <w:r/>
            <w:r>
              <w:rPr>
                <w:rFonts w:ascii="Aptos" w:hAnsi="Aptos"/>
                <w:b w:val="0"/>
                <w:color w:val="14253B"/>
                <w:sz w:val="15"/>
              </w:rPr>
              <w:t>Endotoxin assurance and process validation</w:t>
            </w:r>
          </w:p>
        </w:tc>
        <w:tc>
          <w:tcPr>
            <w:tcW w:type="dxa" w:w="2232"/>
            <w:vAlign w:val="top"/>
          </w:tcPr>
          <w:p>
            <w:pPr>
              <w:spacing w:after="40" w:before="20" w:line="252" w:lineRule="auto"/>
            </w:pPr>
            <w:r/>
            <w:r>
              <w:rPr>
                <w:rFonts w:ascii="Aptos" w:hAnsi="Aptos"/>
                <w:b w:val="0"/>
                <w:color w:val="14253B"/>
                <w:sz w:val="15"/>
              </w:rPr>
              <w:t>Applicable</w:t>
            </w:r>
          </w:p>
        </w:tc>
        <w:tc>
          <w:tcPr>
            <w:tcW w:type="dxa" w:w="2520"/>
            <w:vAlign w:val="top"/>
          </w:tcPr>
          <w:p>
            <w:pPr>
              <w:spacing w:after="40" w:before="20" w:line="252" w:lineRule="auto"/>
            </w:pPr>
            <w:r/>
            <w:r>
              <w:rPr>
                <w:rFonts w:ascii="Aptos" w:hAnsi="Aptos"/>
                <w:b w:val="0"/>
                <w:color w:val="14253B"/>
                <w:sz w:val="15"/>
              </w:rPr>
              <w:t>GAP-004</w:t>
            </w:r>
          </w:p>
        </w:tc>
        <w:tc>
          <w:tcPr>
            <w:tcW w:type="dxa" w:w="7992"/>
            <w:vAlign w:val="top"/>
          </w:tcPr>
          <w:p>
            <w:pPr>
              <w:spacing w:after="40" w:before="20" w:line="252" w:lineRule="auto"/>
            </w:pPr>
            <w:r/>
            <w:r>
              <w:rPr>
                <w:rFonts w:ascii="Aptos" w:hAnsi="Aptos"/>
                <w:b w:val="0"/>
                <w:color w:val="14253B"/>
                <w:sz w:val="15"/>
              </w:rPr>
              <w:t>No verified endotoxin evidence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REQ-06</w:t>
            </w:r>
          </w:p>
        </w:tc>
        <w:tc>
          <w:tcPr>
            <w:tcW w:type="dxa" w:w="2376"/>
            <w:vAlign w:val="top"/>
            <w:shd w:fill="F1F5F8"/>
          </w:tcPr>
          <w:p>
            <w:pPr>
              <w:spacing w:after="40" w:before="20" w:line="252" w:lineRule="auto"/>
            </w:pPr>
            <w:r>
              <w:rPr>
                <w:color w:val="14253B"/>
              </w:rPr>
            </w:r>
            <w:r>
              <w:rPr>
                <w:rFonts w:ascii="Aptos" w:hAnsi="Aptos"/>
                <w:b w:val="0"/>
                <w:color w:val="14253B"/>
                <w:sz w:val="15"/>
              </w:rPr>
              <w:t>4.1.5; 5.2.6</w:t>
            </w:r>
          </w:p>
        </w:tc>
        <w:tc>
          <w:tcPr>
            <w:tcW w:type="dxa" w:w="2160"/>
            <w:vAlign w:val="top"/>
            <w:shd w:fill="F1F5F8"/>
          </w:tcPr>
          <w:p>
            <w:pPr>
              <w:spacing w:after="40" w:before="20" w:line="252" w:lineRule="auto"/>
            </w:pPr>
            <w:r>
              <w:rPr>
                <w:color w:val="14253B"/>
              </w:rPr>
            </w:r>
            <w:r>
              <w:rPr>
                <w:rFonts w:ascii="Aptos" w:hAnsi="Aptos"/>
                <w:b w:val="0"/>
                <w:color w:val="14253B"/>
                <w:sz w:val="15"/>
              </w:rPr>
              <w:t>PDF pp.9/14; printed 3/8</w:t>
            </w:r>
          </w:p>
        </w:tc>
        <w:tc>
          <w:tcPr>
            <w:tcW w:type="dxa" w:w="3168"/>
            <w:vAlign w:val="top"/>
            <w:shd w:fill="F1F5F8"/>
          </w:tcPr>
          <w:p>
            <w:pPr>
              <w:spacing w:after="40" w:before="20" w:line="252" w:lineRule="auto"/>
            </w:pPr>
            <w:r>
              <w:rPr>
                <w:color w:val="14253B"/>
              </w:rPr>
            </w:r>
            <w:r>
              <w:rPr>
                <w:rFonts w:ascii="Aptos" w:hAnsi="Aptos"/>
                <w:b w:val="0"/>
                <w:color w:val="14253B"/>
                <w:sz w:val="15"/>
              </w:rPr>
              <w:t>Net fill per correct powder usage category</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GAP-006</w:t>
            </w:r>
          </w:p>
        </w:tc>
        <w:tc>
          <w:tcPr>
            <w:tcW w:type="dxa" w:w="7992"/>
            <w:vAlign w:val="top"/>
            <w:shd w:fill="F1F5F8"/>
          </w:tcPr>
          <w:p>
            <w:pPr>
              <w:spacing w:after="40" w:before="20" w:line="252" w:lineRule="auto"/>
            </w:pPr>
            <w:r>
              <w:rPr>
                <w:color w:val="14253B"/>
              </w:rPr>
            </w:r>
            <w:r>
              <w:rPr>
                <w:rFonts w:ascii="Aptos" w:hAnsi="Aptos"/>
                <w:b w:val="0"/>
                <w:color w:val="14253B"/>
                <w:sz w:val="15"/>
              </w:rPr>
              <w:t>Category/specified tolerance unresolved</w:t>
            </w:r>
          </w:p>
        </w:tc>
      </w:tr>
      <w:tr>
        <w:trPr>
          <w:cantSplit/>
        </w:trPr>
        <w:tc>
          <w:tcPr>
            <w:tcW w:type="dxa" w:w="1440"/>
            <w:vAlign w:val="top"/>
          </w:tcPr>
          <w:p>
            <w:pPr>
              <w:spacing w:after="40" w:before="20" w:line="252" w:lineRule="auto"/>
            </w:pPr>
            <w:r/>
            <w:r>
              <w:rPr>
                <w:rFonts w:ascii="Aptos" w:hAnsi="Aptos"/>
                <w:b w:val="0"/>
                <w:color w:val="14253B"/>
                <w:sz w:val="15"/>
              </w:rPr>
              <w:t>REQ-07</w:t>
            </w:r>
          </w:p>
        </w:tc>
        <w:tc>
          <w:tcPr>
            <w:tcW w:type="dxa" w:w="2376"/>
            <w:vAlign w:val="top"/>
          </w:tcPr>
          <w:p>
            <w:pPr>
              <w:spacing w:after="40" w:before="20" w:line="252" w:lineRule="auto"/>
            </w:pPr>
            <w:r/>
            <w:r>
              <w:rPr>
                <w:rFonts w:ascii="Aptos" w:hAnsi="Aptos"/>
                <w:b w:val="0"/>
                <w:color w:val="14253B"/>
                <w:sz w:val="15"/>
              </w:rPr>
              <w:t>4.1.6; 5.2.7</w:t>
            </w:r>
          </w:p>
        </w:tc>
        <w:tc>
          <w:tcPr>
            <w:tcW w:type="dxa" w:w="2160"/>
            <w:vAlign w:val="top"/>
          </w:tcPr>
          <w:p>
            <w:pPr>
              <w:spacing w:after="40" w:before="20" w:line="252" w:lineRule="auto"/>
            </w:pPr>
            <w:r/>
            <w:r>
              <w:rPr>
                <w:rFonts w:ascii="Aptos" w:hAnsi="Aptos"/>
                <w:b w:val="0"/>
                <w:color w:val="14253B"/>
                <w:sz w:val="15"/>
              </w:rPr>
              <w:t>PDF pp.9/14; printed 3/8</w:t>
            </w:r>
          </w:p>
        </w:tc>
        <w:tc>
          <w:tcPr>
            <w:tcW w:type="dxa" w:w="3168"/>
            <w:vAlign w:val="top"/>
          </w:tcPr>
          <w:p>
            <w:pPr>
              <w:spacing w:after="40" w:before="20" w:line="252" w:lineRule="auto"/>
            </w:pPr>
            <w:r/>
            <w:r>
              <w:rPr>
                <w:rFonts w:ascii="Aptos" w:hAnsi="Aptos"/>
                <w:b w:val="0"/>
                <w:color w:val="14253B"/>
                <w:sz w:val="15"/>
              </w:rPr>
              <w:t>Chemical/pharmacopoeial grade</w:t>
            </w:r>
          </w:p>
        </w:tc>
        <w:tc>
          <w:tcPr>
            <w:tcW w:type="dxa" w:w="2232"/>
            <w:vAlign w:val="top"/>
          </w:tcPr>
          <w:p>
            <w:pPr>
              <w:spacing w:after="40" w:before="20" w:line="252" w:lineRule="auto"/>
            </w:pPr>
            <w:r/>
            <w:r>
              <w:rPr>
                <w:rFonts w:ascii="Aptos" w:hAnsi="Aptos"/>
                <w:b w:val="0"/>
                <w:color w:val="14253B"/>
                <w:sz w:val="15"/>
              </w:rPr>
              <w:t>Applicable</w:t>
            </w:r>
          </w:p>
        </w:tc>
        <w:tc>
          <w:tcPr>
            <w:tcW w:type="dxa" w:w="2520"/>
            <w:vAlign w:val="top"/>
          </w:tcPr>
          <w:p>
            <w:pPr>
              <w:spacing w:after="40" w:before="20" w:line="252" w:lineRule="auto"/>
            </w:pPr>
            <w:r/>
            <w:r>
              <w:rPr>
                <w:rFonts w:ascii="Aptos" w:hAnsi="Aptos"/>
                <w:b w:val="0"/>
                <w:color w:val="14253B"/>
                <w:sz w:val="15"/>
              </w:rPr>
              <w:t>GAP-001</w:t>
            </w:r>
          </w:p>
        </w:tc>
        <w:tc>
          <w:tcPr>
            <w:tcW w:type="dxa" w:w="7992"/>
            <w:vAlign w:val="top"/>
          </w:tcPr>
          <w:p>
            <w:pPr>
              <w:spacing w:after="40" w:before="20" w:line="252" w:lineRule="auto"/>
            </w:pPr>
            <w:r/>
            <w:r>
              <w:rPr>
                <w:rFonts w:ascii="Aptos" w:hAnsi="Aptos"/>
                <w:b w:val="0"/>
                <w:color w:val="14253B"/>
                <w:sz w:val="15"/>
              </w:rPr>
              <w:t>Raw chemistry COA not supplied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REQ-08</w:t>
            </w:r>
          </w:p>
        </w:tc>
        <w:tc>
          <w:tcPr>
            <w:tcW w:type="dxa" w:w="2376"/>
            <w:vAlign w:val="top"/>
            <w:shd w:fill="F1F5F8"/>
          </w:tcPr>
          <w:p>
            <w:pPr>
              <w:spacing w:after="40" w:before="20" w:line="252" w:lineRule="auto"/>
            </w:pPr>
            <w:r>
              <w:rPr>
                <w:color w:val="14253B"/>
              </w:rPr>
            </w:r>
            <w:r>
              <w:rPr>
                <w:rFonts w:ascii="Aptos" w:hAnsi="Aptos"/>
                <w:b w:val="0"/>
                <w:color w:val="14253B"/>
                <w:sz w:val="15"/>
              </w:rPr>
              <w:t>4.1.7; 5.2.8</w:t>
            </w:r>
          </w:p>
        </w:tc>
        <w:tc>
          <w:tcPr>
            <w:tcW w:type="dxa" w:w="2160"/>
            <w:vAlign w:val="top"/>
            <w:shd w:fill="F1F5F8"/>
          </w:tcPr>
          <w:p>
            <w:pPr>
              <w:spacing w:after="40" w:before="20" w:line="252" w:lineRule="auto"/>
            </w:pPr>
            <w:r>
              <w:rPr>
                <w:color w:val="14253B"/>
              </w:rPr>
            </w:r>
            <w:r>
              <w:rPr>
                <w:rFonts w:ascii="Aptos" w:hAnsi="Aptos"/>
                <w:b w:val="0"/>
                <w:color w:val="14253B"/>
                <w:sz w:val="15"/>
              </w:rPr>
              <w:t>PDF pp.10/14; printed 4/8</w:t>
            </w:r>
          </w:p>
        </w:tc>
        <w:tc>
          <w:tcPr>
            <w:tcW w:type="dxa" w:w="3168"/>
            <w:vAlign w:val="top"/>
            <w:shd w:fill="F1F5F8"/>
          </w:tcPr>
          <w:p>
            <w:pPr>
              <w:spacing w:after="40" w:before="20" w:line="252" w:lineRule="auto"/>
            </w:pPr>
            <w:r>
              <w:rPr>
                <w:color w:val="14253B"/>
              </w:rPr>
            </w:r>
            <w:r>
              <w:rPr>
                <w:rFonts w:ascii="Aptos" w:hAnsi="Aptos"/>
                <w:b w:val="0"/>
                <w:color w:val="14253B"/>
                <w:sz w:val="15"/>
              </w:rPr>
              <w:t>1 µm filtration of aqueous concentrate</w:t>
            </w:r>
          </w:p>
        </w:tc>
        <w:tc>
          <w:tcPr>
            <w:tcW w:type="dxa" w:w="2232"/>
            <w:vAlign w:val="top"/>
            <w:shd w:fill="F1F5F8"/>
          </w:tcPr>
          <w:p>
            <w:pPr>
              <w:spacing w:after="40" w:before="20" w:line="252" w:lineRule="auto"/>
            </w:pPr>
            <w:r>
              <w:rPr>
                <w:color w:val="14253B"/>
              </w:rPr>
            </w:r>
            <w:r>
              <w:rPr>
                <w:rFonts w:ascii="Aptos" w:hAnsi="Aptos"/>
                <w:b w:val="0"/>
                <w:color w:val="14253B"/>
                <w:sz w:val="15"/>
              </w:rPr>
              <w:t>Not Applicable - dry form as reviewed</w:t>
            </w:r>
          </w:p>
        </w:tc>
        <w:tc>
          <w:tcPr>
            <w:tcW w:type="dxa" w:w="2520"/>
            <w:vAlign w:val="top"/>
            <w:shd w:fill="F1F5F8"/>
          </w:tcPr>
          <w:p>
            <w:pPr>
              <w:spacing w:after="40" w:before="20" w:line="252" w:lineRule="auto"/>
            </w:pPr>
            <w:r>
              <w:rPr>
                <w:color w:val="14253B"/>
              </w:rPr>
            </w:r>
            <w:r>
              <w:rPr>
                <w:rFonts w:ascii="Aptos" w:hAnsi="Aptos"/>
                <w:b w:val="0"/>
                <w:color w:val="14253B"/>
                <w:sz w:val="15"/>
              </w:rPr>
              <w:t>-</w:t>
            </w:r>
          </w:p>
        </w:tc>
        <w:tc>
          <w:tcPr>
            <w:tcW w:type="dxa" w:w="7992"/>
            <w:vAlign w:val="top"/>
            <w:shd w:fill="F1F5F8"/>
          </w:tcPr>
          <w:p>
            <w:pPr>
              <w:spacing w:after="40" w:before="20" w:line="252" w:lineRule="auto"/>
            </w:pPr>
            <w:r>
              <w:rPr>
                <w:color w:val="14253B"/>
              </w:rPr>
            </w:r>
            <w:r>
              <w:rPr>
                <w:rFonts w:ascii="Aptos" w:hAnsi="Aptos"/>
                <w:b w:val="0"/>
                <w:color w:val="14253B"/>
                <w:sz w:val="15"/>
              </w:rPr>
              <w:t>Only applies to aqueous concentrate; cannot impose 1 µm on dry-powder cartridges</w:t>
            </w:r>
          </w:p>
        </w:tc>
      </w:tr>
      <w:tr>
        <w:trPr>
          <w:cantSplit/>
        </w:trPr>
        <w:tc>
          <w:tcPr>
            <w:tcW w:type="dxa" w:w="1440"/>
            <w:vAlign w:val="top"/>
          </w:tcPr>
          <w:p>
            <w:pPr>
              <w:spacing w:after="40" w:before="20" w:line="252" w:lineRule="auto"/>
            </w:pPr>
            <w:r/>
            <w:r>
              <w:rPr>
                <w:rFonts w:ascii="Aptos" w:hAnsi="Aptos"/>
                <w:b w:val="0"/>
                <w:color w:val="14253B"/>
                <w:sz w:val="15"/>
              </w:rPr>
              <w:t>REQ-09</w:t>
            </w:r>
          </w:p>
        </w:tc>
        <w:tc>
          <w:tcPr>
            <w:tcW w:type="dxa" w:w="2376"/>
            <w:vAlign w:val="top"/>
          </w:tcPr>
          <w:p>
            <w:pPr>
              <w:spacing w:after="40" w:before="20" w:line="252" w:lineRule="auto"/>
            </w:pPr>
            <w:r/>
            <w:r>
              <w:rPr>
                <w:rFonts w:ascii="Aptos" w:hAnsi="Aptos"/>
                <w:b w:val="0"/>
                <w:color w:val="14253B"/>
                <w:sz w:val="15"/>
              </w:rPr>
              <w:t>4.1.8; 5.2.9</w:t>
            </w:r>
          </w:p>
        </w:tc>
        <w:tc>
          <w:tcPr>
            <w:tcW w:type="dxa" w:w="2160"/>
            <w:vAlign w:val="top"/>
          </w:tcPr>
          <w:p>
            <w:pPr>
              <w:spacing w:after="40" w:before="20" w:line="252" w:lineRule="auto"/>
            </w:pPr>
            <w:r/>
            <w:r>
              <w:rPr>
                <w:rFonts w:ascii="Aptos" w:hAnsi="Aptos"/>
                <w:b w:val="0"/>
                <w:color w:val="14253B"/>
                <w:sz w:val="15"/>
              </w:rPr>
              <w:t>PDF pp.10/15; printed 4/9</w:t>
            </w:r>
          </w:p>
        </w:tc>
        <w:tc>
          <w:tcPr>
            <w:tcW w:type="dxa" w:w="3168"/>
            <w:vAlign w:val="top"/>
          </w:tcPr>
          <w:p>
            <w:pPr>
              <w:spacing w:after="40" w:before="20" w:line="252" w:lineRule="auto"/>
            </w:pPr>
            <w:r/>
            <w:r>
              <w:rPr>
                <w:rFonts w:ascii="Aptos" w:hAnsi="Aptos"/>
                <w:b w:val="0"/>
                <w:color w:val="14253B"/>
                <w:sz w:val="15"/>
              </w:rPr>
              <w:t>Additives/spikes</w:t>
            </w:r>
          </w:p>
        </w:tc>
        <w:tc>
          <w:tcPr>
            <w:tcW w:type="dxa" w:w="2232"/>
            <w:vAlign w:val="top"/>
          </w:tcPr>
          <w:p>
            <w:pPr>
              <w:spacing w:after="40" w:before="20" w:line="252" w:lineRule="auto"/>
            </w:pPr>
            <w:r/>
            <w:r>
              <w:rPr>
                <w:rFonts w:ascii="Aptos" w:hAnsi="Aptos"/>
                <w:b w:val="0"/>
                <w:color w:val="14253B"/>
                <w:sz w:val="15"/>
              </w:rPr>
              <w:t>Conditional / not documented</w:t>
            </w:r>
          </w:p>
        </w:tc>
        <w:tc>
          <w:tcPr>
            <w:tcW w:type="dxa" w:w="2520"/>
            <w:vAlign w:val="top"/>
          </w:tcPr>
          <w:p>
            <w:pPr>
              <w:spacing w:after="40" w:before="20" w:line="252" w:lineRule="auto"/>
            </w:pPr>
            <w:r/>
            <w:r>
              <w:rPr>
                <w:rFonts w:ascii="Aptos" w:hAnsi="Aptos"/>
                <w:b w:val="0"/>
                <w:color w:val="14253B"/>
                <w:sz w:val="15"/>
              </w:rPr>
              <w:t>-</w:t>
            </w:r>
          </w:p>
        </w:tc>
        <w:tc>
          <w:tcPr>
            <w:tcW w:type="dxa" w:w="7992"/>
            <w:vAlign w:val="top"/>
          </w:tcPr>
          <w:p>
            <w:pPr>
              <w:spacing w:after="40" w:before="20" w:line="252" w:lineRule="auto"/>
            </w:pPr>
            <w:r/>
            <w:r>
              <w:rPr>
                <w:rFonts w:ascii="Aptos" w:hAnsi="Aptos"/>
                <w:b w:val="0"/>
                <w:color w:val="14253B"/>
                <w:sz w:val="15"/>
              </w:rPr>
              <w:t>No additives identified; verify SKU range in controlled product master</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REQ-10</w:t>
            </w:r>
          </w:p>
        </w:tc>
        <w:tc>
          <w:tcPr>
            <w:tcW w:type="dxa" w:w="2376"/>
            <w:vAlign w:val="top"/>
            <w:shd w:fill="F1F5F8"/>
          </w:tcPr>
          <w:p>
            <w:pPr>
              <w:spacing w:after="40" w:before="20" w:line="252" w:lineRule="auto"/>
            </w:pPr>
            <w:r>
              <w:rPr>
                <w:color w:val="14253B"/>
              </w:rPr>
            </w:r>
            <w:r>
              <w:rPr>
                <w:rFonts w:ascii="Aptos" w:hAnsi="Aptos"/>
                <w:b w:val="0"/>
                <w:color w:val="14253B"/>
                <w:sz w:val="15"/>
              </w:rPr>
              <w:t>4.1.9; 5.2.10</w:t>
            </w:r>
          </w:p>
        </w:tc>
        <w:tc>
          <w:tcPr>
            <w:tcW w:type="dxa" w:w="2160"/>
            <w:vAlign w:val="top"/>
            <w:shd w:fill="F1F5F8"/>
          </w:tcPr>
          <w:p>
            <w:pPr>
              <w:spacing w:after="40" w:before="20" w:line="252" w:lineRule="auto"/>
            </w:pPr>
            <w:r>
              <w:rPr>
                <w:color w:val="14253B"/>
              </w:rPr>
            </w:r>
            <w:r>
              <w:rPr>
                <w:rFonts w:ascii="Aptos" w:hAnsi="Aptos"/>
                <w:b w:val="0"/>
                <w:color w:val="14253B"/>
                <w:sz w:val="15"/>
              </w:rPr>
              <w:t>PDF pp.10/15; printed 4/9</w:t>
            </w:r>
          </w:p>
        </w:tc>
        <w:tc>
          <w:tcPr>
            <w:tcW w:type="dxa" w:w="3168"/>
            <w:vAlign w:val="top"/>
            <w:shd w:fill="F1F5F8"/>
          </w:tcPr>
          <w:p>
            <w:pPr>
              <w:spacing w:after="40" w:before="20" w:line="252" w:lineRule="auto"/>
            </w:pPr>
            <w:r>
              <w:rPr>
                <w:color w:val="14253B"/>
              </w:rPr>
            </w:r>
            <w:r>
              <w:rPr>
                <w:rFonts w:ascii="Aptos" w:hAnsi="Aptos"/>
                <w:b w:val="0"/>
                <w:color w:val="14253B"/>
                <w:sz w:val="15"/>
              </w:rPr>
              <w:t>Container compatibility/closure</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GAP-007,GAP-015,GAP-019</w:t>
            </w:r>
          </w:p>
        </w:tc>
        <w:tc>
          <w:tcPr>
            <w:tcW w:type="dxa" w:w="7992"/>
            <w:vAlign w:val="top"/>
            <w:shd w:fill="F1F5F8"/>
          </w:tcPr>
          <w:p>
            <w:pPr>
              <w:spacing w:after="40" w:before="20" w:line="252" w:lineRule="auto"/>
            </w:pPr>
            <w:r>
              <w:rPr>
                <w:color w:val="14253B"/>
              </w:rPr>
            </w:r>
            <w:r>
              <w:rPr>
                <w:rFonts w:ascii="Aptos" w:hAnsi="Aptos"/>
                <w:b w:val="0"/>
                <w:color w:val="14253B"/>
                <w:sz w:val="15"/>
              </w:rPr>
              <w:t>Routine seal observations do not prove shelf-life</w:t>
            </w:r>
          </w:p>
        </w:tc>
      </w:tr>
      <w:tr>
        <w:trPr>
          <w:cantSplit/>
        </w:trPr>
        <w:tc>
          <w:tcPr>
            <w:tcW w:type="dxa" w:w="1440"/>
            <w:vAlign w:val="top"/>
          </w:tcPr>
          <w:p>
            <w:pPr>
              <w:spacing w:after="40" w:before="20" w:line="252" w:lineRule="auto"/>
            </w:pPr>
            <w:r/>
            <w:r>
              <w:rPr>
                <w:rFonts w:ascii="Aptos" w:hAnsi="Aptos"/>
                <w:b w:val="0"/>
                <w:color w:val="14253B"/>
                <w:sz w:val="15"/>
              </w:rPr>
              <w:t>REQ-11</w:t>
            </w:r>
          </w:p>
        </w:tc>
        <w:tc>
          <w:tcPr>
            <w:tcW w:type="dxa" w:w="2376"/>
            <w:vAlign w:val="top"/>
          </w:tcPr>
          <w:p>
            <w:pPr>
              <w:spacing w:after="40" w:before="20" w:line="252" w:lineRule="auto"/>
            </w:pPr>
            <w:r/>
            <w:r>
              <w:rPr>
                <w:rFonts w:ascii="Aptos" w:hAnsi="Aptos"/>
                <w:b w:val="0"/>
                <w:color w:val="14253B"/>
                <w:sz w:val="15"/>
              </w:rPr>
              <w:t>4.1.10; 5.2.11</w:t>
            </w:r>
          </w:p>
        </w:tc>
        <w:tc>
          <w:tcPr>
            <w:tcW w:type="dxa" w:w="2160"/>
            <w:vAlign w:val="top"/>
          </w:tcPr>
          <w:p>
            <w:pPr>
              <w:spacing w:after="40" w:before="20" w:line="252" w:lineRule="auto"/>
            </w:pPr>
            <w:r/>
            <w:r>
              <w:rPr>
                <w:rFonts w:ascii="Aptos" w:hAnsi="Aptos"/>
                <w:b w:val="0"/>
                <w:color w:val="14253B"/>
                <w:sz w:val="15"/>
              </w:rPr>
              <w:t>PDF pp.10/15; printed 4/9</w:t>
            </w:r>
          </w:p>
        </w:tc>
        <w:tc>
          <w:tcPr>
            <w:tcW w:type="dxa" w:w="3168"/>
            <w:vAlign w:val="top"/>
          </w:tcPr>
          <w:p>
            <w:pPr>
              <w:spacing w:after="40" w:before="20" w:line="252" w:lineRule="auto"/>
            </w:pPr>
            <w:r/>
            <w:r>
              <w:rPr>
                <w:rFonts w:ascii="Aptos" w:hAnsi="Aptos"/>
                <w:b w:val="0"/>
                <w:color w:val="14253B"/>
                <w:sz w:val="15"/>
              </w:rPr>
              <w:t>Bulk concentrate shipments</w:t>
            </w:r>
          </w:p>
        </w:tc>
        <w:tc>
          <w:tcPr>
            <w:tcW w:type="dxa" w:w="2232"/>
            <w:vAlign w:val="top"/>
          </w:tcPr>
          <w:p>
            <w:pPr>
              <w:spacing w:after="40" w:before="20" w:line="252" w:lineRule="auto"/>
            </w:pPr>
            <w:r/>
            <w:r>
              <w:rPr>
                <w:rFonts w:ascii="Aptos" w:hAnsi="Aptos"/>
                <w:b w:val="0"/>
                <w:color w:val="14253B"/>
                <w:sz w:val="15"/>
              </w:rPr>
              <w:t>Not Applicable - reviewed packaged SKUs</w:t>
            </w:r>
          </w:p>
        </w:tc>
        <w:tc>
          <w:tcPr>
            <w:tcW w:type="dxa" w:w="2520"/>
            <w:vAlign w:val="top"/>
          </w:tcPr>
          <w:p>
            <w:pPr>
              <w:spacing w:after="40" w:before="20" w:line="252" w:lineRule="auto"/>
            </w:pPr>
            <w:r/>
            <w:r>
              <w:rPr>
                <w:rFonts w:ascii="Aptos" w:hAnsi="Aptos"/>
                <w:b w:val="0"/>
                <w:color w:val="14253B"/>
                <w:sz w:val="15"/>
              </w:rPr>
              <w:t>-</w:t>
            </w:r>
          </w:p>
        </w:tc>
        <w:tc>
          <w:tcPr>
            <w:tcW w:type="dxa" w:w="7992"/>
            <w:vAlign w:val="top"/>
          </w:tcPr>
          <w:p>
            <w:pPr>
              <w:spacing w:after="40" w:before="20" w:line="252" w:lineRule="auto"/>
            </w:pPr>
            <w:r/>
            <w:r>
              <w:rPr>
                <w:rFonts w:ascii="Aptos" w:hAnsi="Aptos"/>
                <w:b w:val="0"/>
                <w:color w:val="14253B"/>
                <w:sz w:val="15"/>
              </w:rPr>
              <w:t>No bulk-delivered concentrate documented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REQ-12</w:t>
            </w:r>
          </w:p>
        </w:tc>
        <w:tc>
          <w:tcPr>
            <w:tcW w:type="dxa" w:w="2376"/>
            <w:vAlign w:val="top"/>
            <w:shd w:fill="F1F5F8"/>
          </w:tcPr>
          <w:p>
            <w:pPr>
              <w:spacing w:after="40" w:before="20" w:line="252" w:lineRule="auto"/>
            </w:pPr>
            <w:r>
              <w:rPr>
                <w:color w:val="14253B"/>
              </w:rPr>
            </w:r>
            <w:r>
              <w:rPr>
                <w:rFonts w:ascii="Aptos" w:hAnsi="Aptos"/>
                <w:b w:val="0"/>
                <w:color w:val="14253B"/>
                <w:sz w:val="15"/>
              </w:rPr>
              <w:t>4.1.11; 5.2.12</w:t>
            </w:r>
          </w:p>
        </w:tc>
        <w:tc>
          <w:tcPr>
            <w:tcW w:type="dxa" w:w="2160"/>
            <w:vAlign w:val="top"/>
            <w:shd w:fill="F1F5F8"/>
          </w:tcPr>
          <w:p>
            <w:pPr>
              <w:spacing w:after="40" w:before="20" w:line="252" w:lineRule="auto"/>
            </w:pPr>
            <w:r>
              <w:rPr>
                <w:color w:val="14253B"/>
              </w:rPr>
            </w:r>
            <w:r>
              <w:rPr>
                <w:rFonts w:ascii="Aptos" w:hAnsi="Aptos"/>
                <w:b w:val="0"/>
                <w:color w:val="14253B"/>
                <w:sz w:val="15"/>
              </w:rPr>
              <w:t>PDF pp.10/15; printed 4/9</w:t>
            </w:r>
          </w:p>
        </w:tc>
        <w:tc>
          <w:tcPr>
            <w:tcW w:type="dxa" w:w="3168"/>
            <w:vAlign w:val="top"/>
            <w:shd w:fill="F1F5F8"/>
          </w:tcPr>
          <w:p>
            <w:pPr>
              <w:spacing w:after="40" w:before="20" w:line="252" w:lineRule="auto"/>
            </w:pPr>
            <w:r>
              <w:rPr>
                <w:color w:val="14253B"/>
              </w:rPr>
            </w:r>
            <w:r>
              <w:rPr>
                <w:rFonts w:ascii="Aptos" w:hAnsi="Aptos"/>
                <w:b w:val="0"/>
                <w:color w:val="14253B"/>
                <w:sz w:val="15"/>
              </w:rPr>
              <w:t>Concentrate-generator function/retention</w:t>
            </w:r>
          </w:p>
        </w:tc>
        <w:tc>
          <w:tcPr>
            <w:tcW w:type="dxa" w:w="2232"/>
            <w:vAlign w:val="top"/>
            <w:shd w:fill="F1F5F8"/>
          </w:tcPr>
          <w:p>
            <w:pPr>
              <w:spacing w:after="40" w:before="20" w:line="252" w:lineRule="auto"/>
            </w:pPr>
            <w:r>
              <w:rPr>
                <w:color w:val="14253B"/>
              </w:rPr>
            </w:r>
            <w:r>
              <w:rPr>
                <w:rFonts w:ascii="Aptos" w:hAnsi="Aptos"/>
                <w:b w:val="0"/>
                <w:color w:val="14253B"/>
                <w:sz w:val="15"/>
              </w:rPr>
              <w:t>Conditional / likely selected SKUs</w:t>
            </w:r>
          </w:p>
        </w:tc>
        <w:tc>
          <w:tcPr>
            <w:tcW w:type="dxa" w:w="2520"/>
            <w:vAlign w:val="top"/>
            <w:shd w:fill="F1F5F8"/>
          </w:tcPr>
          <w:p>
            <w:pPr>
              <w:spacing w:after="40" w:before="20" w:line="252" w:lineRule="auto"/>
            </w:pPr>
            <w:r>
              <w:rPr>
                <w:color w:val="14253B"/>
              </w:rPr>
            </w:r>
            <w:r>
              <w:rPr>
                <w:rFonts w:ascii="Aptos" w:hAnsi="Aptos"/>
                <w:b w:val="0"/>
                <w:color w:val="14253B"/>
                <w:sz w:val="15"/>
              </w:rPr>
              <w:t>GAP-005,GAP-011,GAP-016</w:t>
            </w:r>
          </w:p>
        </w:tc>
        <w:tc>
          <w:tcPr>
            <w:tcW w:type="dxa" w:w="7992"/>
            <w:vAlign w:val="top"/>
            <w:shd w:fill="F1F5F8"/>
          </w:tcPr>
          <w:p>
            <w:pPr>
              <w:spacing w:after="40" w:before="20" w:line="252" w:lineRule="auto"/>
            </w:pPr>
            <w:r>
              <w:rPr>
                <w:color w:val="14253B"/>
              </w:rPr>
            </w:r>
            <w:r>
              <w:rPr>
                <w:rFonts w:ascii="Aptos" w:hAnsi="Aptos"/>
                <w:b w:val="0"/>
                <w:color w:val="14253B"/>
                <w:sz w:val="15"/>
              </w:rPr>
              <w:t>Classification needed per SKU</w:t>
            </w:r>
          </w:p>
        </w:tc>
      </w:tr>
      <w:tr>
        <w:trPr>
          <w:cantSplit/>
        </w:trPr>
        <w:tc>
          <w:tcPr>
            <w:tcW w:type="dxa" w:w="1440"/>
            <w:vAlign w:val="top"/>
          </w:tcPr>
          <w:p>
            <w:pPr>
              <w:spacing w:after="40" w:before="20" w:line="252" w:lineRule="auto"/>
            </w:pPr>
            <w:r/>
            <w:r>
              <w:rPr>
                <w:rFonts w:ascii="Aptos" w:hAnsi="Aptos"/>
                <w:b w:val="0"/>
                <w:color w:val="14253B"/>
                <w:sz w:val="15"/>
              </w:rPr>
              <w:t>REQ-13</w:t>
            </w:r>
          </w:p>
        </w:tc>
        <w:tc>
          <w:tcPr>
            <w:tcW w:type="dxa" w:w="2376"/>
            <w:vAlign w:val="top"/>
          </w:tcPr>
          <w:p>
            <w:pPr>
              <w:spacing w:after="40" w:before="20" w:line="252" w:lineRule="auto"/>
            </w:pPr>
            <w:r/>
            <w:r>
              <w:rPr>
                <w:rFonts w:ascii="Aptos" w:hAnsi="Aptos"/>
                <w:b w:val="0"/>
                <w:color w:val="14253B"/>
                <w:sz w:val="15"/>
              </w:rPr>
              <w:t>4.2; 5.3</w:t>
            </w:r>
          </w:p>
        </w:tc>
        <w:tc>
          <w:tcPr>
            <w:tcW w:type="dxa" w:w="2160"/>
            <w:vAlign w:val="top"/>
          </w:tcPr>
          <w:p>
            <w:pPr>
              <w:spacing w:after="40" w:before="20" w:line="252" w:lineRule="auto"/>
            </w:pPr>
            <w:r/>
            <w:r>
              <w:rPr>
                <w:rFonts w:ascii="Aptos" w:hAnsi="Aptos"/>
                <w:b w:val="0"/>
                <w:color w:val="14253B"/>
                <w:sz w:val="15"/>
              </w:rPr>
              <w:t>PDF pp.10/15; printed 4/9</w:t>
            </w:r>
          </w:p>
        </w:tc>
        <w:tc>
          <w:tcPr>
            <w:tcW w:type="dxa" w:w="3168"/>
            <w:vAlign w:val="top"/>
          </w:tcPr>
          <w:p>
            <w:pPr>
              <w:spacing w:after="40" w:before="20" w:line="252" w:lineRule="auto"/>
            </w:pPr>
            <w:r/>
            <w:r>
              <w:rPr>
                <w:rFonts w:ascii="Aptos" w:hAnsi="Aptos"/>
                <w:b w:val="0"/>
                <w:color w:val="14253B"/>
                <w:sz w:val="15"/>
              </w:rPr>
              <w:t>Product-contact equipment compatibility</w:t>
            </w:r>
          </w:p>
        </w:tc>
        <w:tc>
          <w:tcPr>
            <w:tcW w:type="dxa" w:w="2232"/>
            <w:vAlign w:val="top"/>
          </w:tcPr>
          <w:p>
            <w:pPr>
              <w:spacing w:after="40" w:before="20" w:line="252" w:lineRule="auto"/>
            </w:pPr>
            <w:r/>
            <w:r>
              <w:rPr>
                <w:rFonts w:ascii="Aptos" w:hAnsi="Aptos"/>
                <w:b w:val="0"/>
                <w:color w:val="14253B"/>
                <w:sz w:val="15"/>
              </w:rPr>
              <w:t>Applicable</w:t>
            </w:r>
          </w:p>
        </w:tc>
        <w:tc>
          <w:tcPr>
            <w:tcW w:type="dxa" w:w="2520"/>
            <w:vAlign w:val="top"/>
          </w:tcPr>
          <w:p>
            <w:pPr>
              <w:spacing w:after="40" w:before="20" w:line="252" w:lineRule="auto"/>
            </w:pPr>
            <w:r/>
            <w:r>
              <w:rPr>
                <w:rFonts w:ascii="Aptos" w:hAnsi="Aptos"/>
                <w:b w:val="0"/>
                <w:color w:val="14253B"/>
                <w:sz w:val="15"/>
              </w:rPr>
              <w:t>GAP-008</w:t>
            </w:r>
          </w:p>
        </w:tc>
        <w:tc>
          <w:tcPr>
            <w:tcW w:type="dxa" w:w="7992"/>
            <w:vAlign w:val="top"/>
          </w:tcPr>
          <w:p>
            <w:pPr>
              <w:spacing w:after="40" w:before="20" w:line="252" w:lineRule="auto"/>
            </w:pPr>
            <w:r/>
            <w:r>
              <w:rPr>
                <w:rFonts w:ascii="Aptos" w:hAnsi="Aptos"/>
                <w:b w:val="0"/>
                <w:color w:val="14253B"/>
                <w:sz w:val="15"/>
              </w:rPr>
              <w:t>Equipment BOM/cleaning evidence unprovided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REQ-14</w:t>
            </w:r>
          </w:p>
        </w:tc>
        <w:tc>
          <w:tcPr>
            <w:tcW w:type="dxa" w:w="2376"/>
            <w:vAlign w:val="top"/>
            <w:shd w:fill="F1F5F8"/>
          </w:tcPr>
          <w:p>
            <w:pPr>
              <w:spacing w:after="40" w:before="20" w:line="252" w:lineRule="auto"/>
            </w:pPr>
            <w:r>
              <w:rPr>
                <w:color w:val="14253B"/>
              </w:rPr>
            </w:r>
            <w:r>
              <w:rPr>
                <w:rFonts w:ascii="Aptos" w:hAnsi="Aptos"/>
                <w:b w:val="0"/>
                <w:color w:val="14253B"/>
                <w:sz w:val="15"/>
              </w:rPr>
              <w:t>4.3.1-4.3.8; 5.4</w:t>
            </w:r>
          </w:p>
        </w:tc>
        <w:tc>
          <w:tcPr>
            <w:tcW w:type="dxa" w:w="2160"/>
            <w:vAlign w:val="top"/>
            <w:shd w:fill="F1F5F8"/>
          </w:tcPr>
          <w:p>
            <w:pPr>
              <w:spacing w:after="40" w:before="20" w:line="252" w:lineRule="auto"/>
            </w:pPr>
            <w:r>
              <w:rPr>
                <w:color w:val="14253B"/>
              </w:rPr>
            </w:r>
            <w:r>
              <w:rPr>
                <w:rFonts w:ascii="Aptos" w:hAnsi="Aptos"/>
                <w:b w:val="0"/>
                <w:color w:val="14253B"/>
                <w:sz w:val="15"/>
              </w:rPr>
              <w:t>PDF pp.10-16; printed 4-10</w:t>
            </w:r>
          </w:p>
        </w:tc>
        <w:tc>
          <w:tcPr>
            <w:tcW w:type="dxa" w:w="3168"/>
            <w:vAlign w:val="top"/>
            <w:shd w:fill="F1F5F8"/>
          </w:tcPr>
          <w:p>
            <w:pPr>
              <w:spacing w:after="40" w:before="20" w:line="252" w:lineRule="auto"/>
            </w:pPr>
            <w:r>
              <w:rPr>
                <w:color w:val="14253B"/>
              </w:rPr>
            </w:r>
            <w:r>
              <w:rPr>
                <w:rFonts w:ascii="Aptos" w:hAnsi="Aptos"/>
                <w:b w:val="0"/>
                <w:color w:val="14253B"/>
                <w:sz w:val="15"/>
              </w:rPr>
              <w:t>Mixers/UV/tanks/piping installed at dialysis facility</w:t>
            </w:r>
          </w:p>
        </w:tc>
        <w:tc>
          <w:tcPr>
            <w:tcW w:type="dxa" w:w="2232"/>
            <w:vAlign w:val="top"/>
            <w:shd w:fill="F1F5F8"/>
          </w:tcPr>
          <w:p>
            <w:pPr>
              <w:spacing w:after="40" w:before="20" w:line="252" w:lineRule="auto"/>
            </w:pPr>
            <w:r>
              <w:rPr>
                <w:color w:val="14253B"/>
              </w:rPr>
            </w:r>
            <w:r>
              <w:rPr>
                <w:rFonts w:ascii="Aptos" w:hAnsi="Aptos"/>
                <w:b w:val="0"/>
                <w:color w:val="14253B"/>
                <w:sz w:val="15"/>
              </w:rPr>
              <w:t>Not Applicable - manufacturer scope reviewed</w:t>
            </w:r>
          </w:p>
        </w:tc>
        <w:tc>
          <w:tcPr>
            <w:tcW w:type="dxa" w:w="2520"/>
            <w:vAlign w:val="top"/>
            <w:shd w:fill="F1F5F8"/>
          </w:tcPr>
          <w:p>
            <w:pPr>
              <w:spacing w:after="40" w:before="20" w:line="252" w:lineRule="auto"/>
            </w:pPr>
            <w:r>
              <w:rPr>
                <w:color w:val="14253B"/>
              </w:rPr>
            </w:r>
            <w:r>
              <w:rPr>
                <w:rFonts w:ascii="Aptos" w:hAnsi="Aptos"/>
                <w:b w:val="0"/>
                <w:color w:val="14253B"/>
                <w:sz w:val="15"/>
              </w:rPr>
              <w:t>-</w:t>
            </w:r>
          </w:p>
        </w:tc>
        <w:tc>
          <w:tcPr>
            <w:tcW w:type="dxa" w:w="7992"/>
            <w:vAlign w:val="top"/>
            <w:shd w:fill="F1F5F8"/>
          </w:tcPr>
          <w:p>
            <w:pPr>
              <w:spacing w:after="40" w:before="20" w:line="252" w:lineRule="auto"/>
            </w:pPr>
            <w:r>
              <w:rPr>
                <w:color w:val="14253B"/>
              </w:rPr>
            </w:r>
            <w:r>
              <w:rPr>
                <w:rFonts w:ascii="Aptos" w:hAnsi="Aptos"/>
                <w:b w:val="0"/>
                <w:color w:val="14253B"/>
                <w:sz w:val="15"/>
              </w:rPr>
              <w:t>Clauses govern dialysis facility mixing/distribution systems, not dry-powder line unless such equipment supplied</w:t>
            </w:r>
          </w:p>
        </w:tc>
      </w:tr>
      <w:tr>
        <w:trPr>
          <w:cantSplit/>
        </w:trPr>
        <w:tc>
          <w:tcPr>
            <w:tcW w:type="dxa" w:w="1440"/>
            <w:vAlign w:val="top"/>
          </w:tcPr>
          <w:p>
            <w:pPr>
              <w:spacing w:after="40" w:before="20" w:line="252" w:lineRule="auto"/>
            </w:pPr>
            <w:r/>
            <w:r>
              <w:rPr>
                <w:rFonts w:ascii="Aptos" w:hAnsi="Aptos"/>
                <w:b w:val="0"/>
                <w:color w:val="14253B"/>
                <w:sz w:val="15"/>
              </w:rPr>
              <w:t>REQ-15</w:t>
            </w:r>
          </w:p>
        </w:tc>
        <w:tc>
          <w:tcPr>
            <w:tcW w:type="dxa" w:w="2376"/>
            <w:vAlign w:val="top"/>
          </w:tcPr>
          <w:p>
            <w:pPr>
              <w:spacing w:after="40" w:before="20" w:line="252" w:lineRule="auto"/>
            </w:pPr>
            <w:r/>
            <w:r>
              <w:rPr>
                <w:rFonts w:ascii="Aptos" w:hAnsi="Aptos"/>
                <w:b w:val="0"/>
                <w:color w:val="14253B"/>
                <w:sz w:val="15"/>
              </w:rPr>
              <w:t>5.1</w:t>
            </w:r>
          </w:p>
        </w:tc>
        <w:tc>
          <w:tcPr>
            <w:tcW w:type="dxa" w:w="2160"/>
            <w:vAlign w:val="top"/>
          </w:tcPr>
          <w:p>
            <w:pPr>
              <w:spacing w:after="40" w:before="20" w:line="252" w:lineRule="auto"/>
            </w:pPr>
            <w:r/>
            <w:r>
              <w:rPr>
                <w:rFonts w:ascii="Aptos" w:hAnsi="Aptos"/>
                <w:b w:val="0"/>
                <w:color w:val="14253B"/>
                <w:sz w:val="15"/>
              </w:rPr>
              <w:t>PDF p.12; printed 6</w:t>
            </w:r>
          </w:p>
        </w:tc>
        <w:tc>
          <w:tcPr>
            <w:tcW w:type="dxa" w:w="3168"/>
            <w:vAlign w:val="top"/>
          </w:tcPr>
          <w:p>
            <w:pPr>
              <w:spacing w:after="40" w:before="20" w:line="252" w:lineRule="auto"/>
            </w:pPr>
            <w:r/>
            <w:r>
              <w:rPr>
                <w:rFonts w:ascii="Aptos" w:hAnsi="Aptos"/>
                <w:b w:val="0"/>
                <w:color w:val="14253B"/>
                <w:sz w:val="15"/>
              </w:rPr>
              <w:t>Appropriate verified test methods</w:t>
            </w:r>
          </w:p>
        </w:tc>
        <w:tc>
          <w:tcPr>
            <w:tcW w:type="dxa" w:w="2232"/>
            <w:vAlign w:val="top"/>
          </w:tcPr>
          <w:p>
            <w:pPr>
              <w:spacing w:after="40" w:before="20" w:line="252" w:lineRule="auto"/>
            </w:pPr>
            <w:r/>
            <w:r>
              <w:rPr>
                <w:rFonts w:ascii="Aptos" w:hAnsi="Aptos"/>
                <w:b w:val="0"/>
                <w:color w:val="14253B"/>
                <w:sz w:val="15"/>
              </w:rPr>
              <w:t>Applicable</w:t>
            </w:r>
          </w:p>
        </w:tc>
        <w:tc>
          <w:tcPr>
            <w:tcW w:type="dxa" w:w="2520"/>
            <w:vAlign w:val="top"/>
          </w:tcPr>
          <w:p>
            <w:pPr>
              <w:spacing w:after="40" w:before="20" w:line="252" w:lineRule="auto"/>
            </w:pPr>
            <w:r/>
            <w:r>
              <w:rPr>
                <w:rFonts w:ascii="Aptos" w:hAnsi="Aptos"/>
                <w:b w:val="0"/>
                <w:color w:val="14253B"/>
                <w:sz w:val="15"/>
              </w:rPr>
              <w:t>GAP-017</w:t>
            </w:r>
          </w:p>
        </w:tc>
        <w:tc>
          <w:tcPr>
            <w:tcW w:type="dxa" w:w="7992"/>
            <w:vAlign w:val="top"/>
          </w:tcPr>
          <w:p>
            <w:pPr>
              <w:spacing w:after="40" w:before="20" w:line="252" w:lineRule="auto"/>
            </w:pPr>
            <w:r/>
            <w:r>
              <w:rPr>
                <w:rFonts w:ascii="Aptos" w:hAnsi="Aptos"/>
                <w:b w:val="0"/>
                <w:color w:val="14253B"/>
                <w:sz w:val="15"/>
              </w:rPr>
              <w:t>Sampling/validation records unprovided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REQ-16</w:t>
            </w:r>
          </w:p>
        </w:tc>
        <w:tc>
          <w:tcPr>
            <w:tcW w:type="dxa" w:w="2376"/>
            <w:vAlign w:val="top"/>
            <w:shd w:fill="F1F5F8"/>
          </w:tcPr>
          <w:p>
            <w:pPr>
              <w:spacing w:after="40" w:before="20" w:line="252" w:lineRule="auto"/>
            </w:pPr>
            <w:r>
              <w:rPr>
                <w:color w:val="14253B"/>
              </w:rPr>
            </w:r>
            <w:r>
              <w:rPr>
                <w:rFonts w:ascii="Aptos" w:hAnsi="Aptos"/>
                <w:b w:val="0"/>
                <w:color w:val="14253B"/>
                <w:sz w:val="15"/>
              </w:rPr>
              <w:t>6.1-6.2</w:t>
            </w:r>
          </w:p>
        </w:tc>
        <w:tc>
          <w:tcPr>
            <w:tcW w:type="dxa" w:w="2160"/>
            <w:vAlign w:val="top"/>
            <w:shd w:fill="F1F5F8"/>
          </w:tcPr>
          <w:p>
            <w:pPr>
              <w:spacing w:after="40" w:before="20" w:line="252" w:lineRule="auto"/>
            </w:pPr>
            <w:r>
              <w:rPr>
                <w:color w:val="14253B"/>
              </w:rPr>
            </w:r>
            <w:r>
              <w:rPr>
                <w:rFonts w:ascii="Aptos" w:hAnsi="Aptos"/>
                <w:b w:val="0"/>
                <w:color w:val="14253B"/>
                <w:sz w:val="15"/>
              </w:rPr>
              <w:t>PDF pp.16-17; printed 10-11</w:t>
            </w:r>
          </w:p>
        </w:tc>
        <w:tc>
          <w:tcPr>
            <w:tcW w:type="dxa" w:w="3168"/>
            <w:vAlign w:val="top"/>
            <w:shd w:fill="F1F5F8"/>
          </w:tcPr>
          <w:p>
            <w:pPr>
              <w:spacing w:after="40" w:before="20" w:line="252" w:lineRule="auto"/>
            </w:pPr>
            <w:r>
              <w:rPr>
                <w:color w:val="14253B"/>
              </w:rPr>
            </w:r>
            <w:r>
              <w:rPr>
                <w:rFonts w:ascii="Aptos" w:hAnsi="Aptos"/>
                <w:b w:val="0"/>
                <w:color w:val="14253B"/>
                <w:sz w:val="15"/>
              </w:rPr>
              <w:t>All applicable general labelling</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GAP-009</w:t>
            </w:r>
          </w:p>
        </w:tc>
        <w:tc>
          <w:tcPr>
            <w:tcW w:type="dxa" w:w="7992"/>
            <w:vAlign w:val="top"/>
            <w:shd w:fill="F1F5F8"/>
          </w:tcPr>
          <w:p>
            <w:pPr>
              <w:spacing w:after="40" w:before="20" w:line="252" w:lineRule="auto"/>
            </w:pPr>
            <w:r>
              <w:rPr>
                <w:color w:val="14253B"/>
              </w:rPr>
            </w:r>
            <w:r>
              <w:rPr>
                <w:rFonts w:ascii="Aptos" w:hAnsi="Aptos"/>
                <w:b w:val="0"/>
                <w:color w:val="14253B"/>
                <w:sz w:val="15"/>
              </w:rPr>
              <w:t>Actual artwork/IFU not supplied</w:t>
            </w:r>
          </w:p>
        </w:tc>
      </w:tr>
      <w:tr>
        <w:trPr>
          <w:cantSplit/>
        </w:trPr>
        <w:tc>
          <w:tcPr>
            <w:tcW w:type="dxa" w:w="1440"/>
            <w:vAlign w:val="top"/>
          </w:tcPr>
          <w:p>
            <w:pPr>
              <w:spacing w:after="40" w:before="20" w:line="252" w:lineRule="auto"/>
            </w:pPr>
            <w:r/>
            <w:r>
              <w:rPr>
                <w:rFonts w:ascii="Aptos" w:hAnsi="Aptos"/>
                <w:b w:val="0"/>
                <w:color w:val="14253B"/>
                <w:sz w:val="15"/>
              </w:rPr>
              <w:t>REQ-17</w:t>
            </w:r>
          </w:p>
        </w:tc>
        <w:tc>
          <w:tcPr>
            <w:tcW w:type="dxa" w:w="2376"/>
            <w:vAlign w:val="top"/>
          </w:tcPr>
          <w:p>
            <w:pPr>
              <w:spacing w:after="40" w:before="20" w:line="252" w:lineRule="auto"/>
            </w:pPr>
            <w:r/>
            <w:r>
              <w:rPr>
                <w:rFonts w:ascii="Aptos" w:hAnsi="Aptos"/>
                <w:b w:val="0"/>
                <w:color w:val="14253B"/>
                <w:sz w:val="15"/>
              </w:rPr>
              <w:t>6.3</w:t>
            </w:r>
          </w:p>
        </w:tc>
        <w:tc>
          <w:tcPr>
            <w:tcW w:type="dxa" w:w="2160"/>
            <w:vAlign w:val="top"/>
          </w:tcPr>
          <w:p>
            <w:pPr>
              <w:spacing w:after="40" w:before="20" w:line="252" w:lineRule="auto"/>
            </w:pPr>
            <w:r/>
            <w:r>
              <w:rPr>
                <w:rFonts w:ascii="Aptos" w:hAnsi="Aptos"/>
                <w:b w:val="0"/>
                <w:color w:val="14253B"/>
                <w:sz w:val="15"/>
              </w:rPr>
              <w:t>PDF p.18; printed 12</w:t>
            </w:r>
          </w:p>
        </w:tc>
        <w:tc>
          <w:tcPr>
            <w:tcW w:type="dxa" w:w="3168"/>
            <w:vAlign w:val="top"/>
          </w:tcPr>
          <w:p>
            <w:pPr>
              <w:spacing w:after="40" w:before="20" w:line="252" w:lineRule="auto"/>
            </w:pPr>
            <w:r/>
            <w:r>
              <w:rPr>
                <w:rFonts w:ascii="Aptos" w:hAnsi="Aptos"/>
                <w:b w:val="0"/>
                <w:color w:val="14253B"/>
                <w:sz w:val="15"/>
              </w:rPr>
              <w:t>Liquid concentrate labelling</w:t>
            </w:r>
          </w:p>
        </w:tc>
        <w:tc>
          <w:tcPr>
            <w:tcW w:type="dxa" w:w="2232"/>
            <w:vAlign w:val="top"/>
          </w:tcPr>
          <w:p>
            <w:pPr>
              <w:spacing w:after="40" w:before="20" w:line="252" w:lineRule="auto"/>
            </w:pPr>
            <w:r/>
            <w:r>
              <w:rPr>
                <w:rFonts w:ascii="Aptos" w:hAnsi="Aptos"/>
                <w:b w:val="0"/>
                <w:color w:val="14253B"/>
                <w:sz w:val="15"/>
              </w:rPr>
              <w:t>Not Applicable - dry SKUs reviewed</w:t>
            </w:r>
          </w:p>
        </w:tc>
        <w:tc>
          <w:tcPr>
            <w:tcW w:type="dxa" w:w="2520"/>
            <w:vAlign w:val="top"/>
          </w:tcPr>
          <w:p>
            <w:pPr>
              <w:spacing w:after="40" w:before="20" w:line="252" w:lineRule="auto"/>
            </w:pPr>
            <w:r/>
            <w:r>
              <w:rPr>
                <w:rFonts w:ascii="Aptos" w:hAnsi="Aptos"/>
                <w:b w:val="0"/>
                <w:color w:val="14253B"/>
                <w:sz w:val="15"/>
              </w:rPr>
              <w:t>-</w:t>
            </w:r>
          </w:p>
        </w:tc>
        <w:tc>
          <w:tcPr>
            <w:tcW w:type="dxa" w:w="7992"/>
            <w:vAlign w:val="top"/>
          </w:tcPr>
          <w:p>
            <w:pPr>
              <w:spacing w:after="40" w:before="20" w:line="252" w:lineRule="auto"/>
            </w:pPr>
            <w:r/>
            <w:r>
              <w:rPr>
                <w:rFonts w:ascii="Aptos" w:hAnsi="Aptos"/>
                <w:b w:val="0"/>
                <w:color w:val="14253B"/>
                <w:sz w:val="15"/>
              </w:rPr>
              <w:t>Do not impose liquid concentrate wording without liquid SKU</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REQ-18</w:t>
            </w:r>
          </w:p>
        </w:tc>
        <w:tc>
          <w:tcPr>
            <w:tcW w:type="dxa" w:w="2376"/>
            <w:vAlign w:val="top"/>
            <w:shd w:fill="F1F5F8"/>
          </w:tcPr>
          <w:p>
            <w:pPr>
              <w:spacing w:after="40" w:before="20" w:line="252" w:lineRule="auto"/>
            </w:pPr>
            <w:r>
              <w:rPr>
                <w:color w:val="14253B"/>
              </w:rPr>
            </w:r>
            <w:r>
              <w:rPr>
                <w:rFonts w:ascii="Aptos" w:hAnsi="Aptos"/>
                <w:b w:val="0"/>
                <w:color w:val="14253B"/>
                <w:sz w:val="15"/>
              </w:rPr>
              <w:t>6.4</w:t>
            </w:r>
          </w:p>
        </w:tc>
        <w:tc>
          <w:tcPr>
            <w:tcW w:type="dxa" w:w="2160"/>
            <w:vAlign w:val="top"/>
            <w:shd w:fill="F1F5F8"/>
          </w:tcPr>
          <w:p>
            <w:pPr>
              <w:spacing w:after="40" w:before="20" w:line="252" w:lineRule="auto"/>
            </w:pPr>
            <w:r>
              <w:rPr>
                <w:color w:val="14253B"/>
              </w:rPr>
            </w:r>
            <w:r>
              <w:rPr>
                <w:rFonts w:ascii="Aptos" w:hAnsi="Aptos"/>
                <w:b w:val="0"/>
                <w:color w:val="14253B"/>
                <w:sz w:val="15"/>
              </w:rPr>
              <w:t>PDF pp.18-19; printed 12-13</w:t>
            </w:r>
          </w:p>
        </w:tc>
        <w:tc>
          <w:tcPr>
            <w:tcW w:type="dxa" w:w="3168"/>
            <w:vAlign w:val="top"/>
            <w:shd w:fill="F1F5F8"/>
          </w:tcPr>
          <w:p>
            <w:pPr>
              <w:spacing w:after="40" w:before="20" w:line="252" w:lineRule="auto"/>
            </w:pPr>
            <w:r>
              <w:rPr>
                <w:color w:val="14253B"/>
              </w:rPr>
            </w:r>
            <w:r>
              <w:rPr>
                <w:rFonts w:ascii="Aptos" w:hAnsi="Aptos"/>
                <w:b w:val="0"/>
                <w:color w:val="14253B"/>
                <w:sz w:val="15"/>
              </w:rPr>
              <w:t>Powder concentrate labels/IFU</w:t>
            </w:r>
          </w:p>
        </w:tc>
        <w:tc>
          <w:tcPr>
            <w:tcW w:type="dxa" w:w="2232"/>
            <w:vAlign w:val="top"/>
            <w:shd w:fill="F1F5F8"/>
          </w:tcPr>
          <w:p>
            <w:pPr>
              <w:spacing w:after="40" w:before="20" w:line="252" w:lineRule="auto"/>
            </w:pPr>
            <w:r>
              <w:rPr>
                <w:color w:val="14253B"/>
              </w:rPr>
            </w:r>
            <w:r>
              <w:rPr>
                <w:rFonts w:ascii="Aptos" w:hAnsi="Aptos"/>
                <w:b w:val="0"/>
                <w:color w:val="14253B"/>
                <w:sz w:val="15"/>
              </w:rPr>
              <w:t>Applicable</w:t>
            </w:r>
          </w:p>
        </w:tc>
        <w:tc>
          <w:tcPr>
            <w:tcW w:type="dxa" w:w="2520"/>
            <w:vAlign w:val="top"/>
            <w:shd w:fill="F1F5F8"/>
          </w:tcPr>
          <w:p>
            <w:pPr>
              <w:spacing w:after="40" w:before="20" w:line="252" w:lineRule="auto"/>
            </w:pPr>
            <w:r>
              <w:rPr>
                <w:color w:val="14253B"/>
              </w:rPr>
            </w:r>
            <w:r>
              <w:rPr>
                <w:rFonts w:ascii="Aptos" w:hAnsi="Aptos"/>
                <w:b w:val="0"/>
                <w:color w:val="14253B"/>
                <w:sz w:val="15"/>
              </w:rPr>
              <w:t>GAP-010</w:t>
            </w:r>
          </w:p>
        </w:tc>
        <w:tc>
          <w:tcPr>
            <w:tcW w:type="dxa" w:w="7992"/>
            <w:vAlign w:val="top"/>
            <w:shd w:fill="F1F5F8"/>
          </w:tcPr>
          <w:p>
            <w:pPr>
              <w:spacing w:after="40" w:before="20" w:line="252" w:lineRule="auto"/>
            </w:pPr>
            <w:r>
              <w:rPr>
                <w:color w:val="14253B"/>
              </w:rPr>
            </w:r>
            <w:r>
              <w:rPr>
                <w:rFonts w:ascii="Aptos" w:hAnsi="Aptos"/>
                <w:b w:val="0"/>
                <w:color w:val="14253B"/>
                <w:sz w:val="15"/>
              </w:rPr>
              <w:t>No approved powder IFU supplied</w:t>
            </w:r>
          </w:p>
        </w:tc>
      </w:tr>
      <w:tr>
        <w:trPr>
          <w:cantSplit/>
        </w:trPr>
        <w:tc>
          <w:tcPr>
            <w:tcW w:type="dxa" w:w="1440"/>
            <w:vAlign w:val="top"/>
          </w:tcPr>
          <w:p>
            <w:pPr>
              <w:spacing w:after="40" w:before="20" w:line="252" w:lineRule="auto"/>
            </w:pPr>
            <w:r/>
            <w:r>
              <w:rPr>
                <w:rFonts w:ascii="Aptos" w:hAnsi="Aptos"/>
                <w:b w:val="0"/>
                <w:color w:val="14253B"/>
                <w:sz w:val="15"/>
              </w:rPr>
              <w:t>REQ-19</w:t>
            </w:r>
          </w:p>
        </w:tc>
        <w:tc>
          <w:tcPr>
            <w:tcW w:type="dxa" w:w="2376"/>
            <w:vAlign w:val="top"/>
          </w:tcPr>
          <w:p>
            <w:pPr>
              <w:spacing w:after="40" w:before="20" w:line="252" w:lineRule="auto"/>
            </w:pPr>
            <w:r/>
            <w:r>
              <w:rPr>
                <w:rFonts w:ascii="Aptos" w:hAnsi="Aptos"/>
                <w:b w:val="0"/>
                <w:color w:val="14253B"/>
                <w:sz w:val="15"/>
              </w:rPr>
              <w:t>6.5</w:t>
            </w:r>
          </w:p>
        </w:tc>
        <w:tc>
          <w:tcPr>
            <w:tcW w:type="dxa" w:w="2160"/>
            <w:vAlign w:val="top"/>
          </w:tcPr>
          <w:p>
            <w:pPr>
              <w:spacing w:after="40" w:before="20" w:line="252" w:lineRule="auto"/>
            </w:pPr>
            <w:r/>
            <w:r>
              <w:rPr>
                <w:rFonts w:ascii="Aptos" w:hAnsi="Aptos"/>
                <w:b w:val="0"/>
                <w:color w:val="14253B"/>
                <w:sz w:val="15"/>
              </w:rPr>
              <w:t>PDF p.19; printed 13</w:t>
            </w:r>
          </w:p>
        </w:tc>
        <w:tc>
          <w:tcPr>
            <w:tcW w:type="dxa" w:w="3168"/>
            <w:vAlign w:val="top"/>
          </w:tcPr>
          <w:p>
            <w:pPr>
              <w:spacing w:after="40" w:before="20" w:line="252" w:lineRule="auto"/>
            </w:pPr>
            <w:r/>
            <w:r>
              <w:rPr>
                <w:rFonts w:ascii="Aptos" w:hAnsi="Aptos"/>
                <w:b w:val="0"/>
                <w:color w:val="14253B"/>
                <w:sz w:val="15"/>
              </w:rPr>
              <w:t>Additives labelling</w:t>
            </w:r>
          </w:p>
        </w:tc>
        <w:tc>
          <w:tcPr>
            <w:tcW w:type="dxa" w:w="2232"/>
            <w:vAlign w:val="top"/>
          </w:tcPr>
          <w:p>
            <w:pPr>
              <w:spacing w:after="40" w:before="20" w:line="252" w:lineRule="auto"/>
            </w:pPr>
            <w:r/>
            <w:r>
              <w:rPr>
                <w:rFonts w:ascii="Aptos" w:hAnsi="Aptos"/>
                <w:b w:val="0"/>
                <w:color w:val="14253B"/>
                <w:sz w:val="15"/>
              </w:rPr>
              <w:t>Conditional / not documented</w:t>
            </w:r>
          </w:p>
        </w:tc>
        <w:tc>
          <w:tcPr>
            <w:tcW w:type="dxa" w:w="2520"/>
            <w:vAlign w:val="top"/>
          </w:tcPr>
          <w:p>
            <w:pPr>
              <w:spacing w:after="40" w:before="20" w:line="252" w:lineRule="auto"/>
            </w:pPr>
            <w:r/>
            <w:r>
              <w:rPr>
                <w:rFonts w:ascii="Aptos" w:hAnsi="Aptos"/>
                <w:b w:val="0"/>
                <w:color w:val="14253B"/>
                <w:sz w:val="15"/>
              </w:rPr>
              <w:t>-</w:t>
            </w:r>
          </w:p>
        </w:tc>
        <w:tc>
          <w:tcPr>
            <w:tcW w:type="dxa" w:w="7992"/>
            <w:vAlign w:val="top"/>
          </w:tcPr>
          <w:p>
            <w:pPr>
              <w:spacing w:after="40" w:before="20" w:line="252" w:lineRule="auto"/>
            </w:pPr>
            <w:r/>
            <w:r>
              <w:rPr>
                <w:rFonts w:ascii="Aptos" w:hAnsi="Aptos"/>
                <w:b w:val="0"/>
                <w:color w:val="14253B"/>
                <w:sz w:val="15"/>
              </w:rPr>
              <w:t>No additive SKU supplied</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REQ-20</w:t>
            </w:r>
          </w:p>
        </w:tc>
        <w:tc>
          <w:tcPr>
            <w:tcW w:type="dxa" w:w="2376"/>
            <w:vAlign w:val="top"/>
            <w:shd w:fill="F1F5F8"/>
          </w:tcPr>
          <w:p>
            <w:pPr>
              <w:spacing w:after="40" w:before="20" w:line="252" w:lineRule="auto"/>
            </w:pPr>
            <w:r>
              <w:rPr>
                <w:color w:val="14253B"/>
              </w:rPr>
            </w:r>
            <w:r>
              <w:rPr>
                <w:rFonts w:ascii="Aptos" w:hAnsi="Aptos"/>
                <w:b w:val="0"/>
                <w:color w:val="14253B"/>
                <w:sz w:val="15"/>
              </w:rPr>
              <w:t>6.6</w:t>
            </w:r>
          </w:p>
        </w:tc>
        <w:tc>
          <w:tcPr>
            <w:tcW w:type="dxa" w:w="2160"/>
            <w:vAlign w:val="top"/>
            <w:shd w:fill="F1F5F8"/>
          </w:tcPr>
          <w:p>
            <w:pPr>
              <w:spacing w:after="40" w:before="20" w:line="252" w:lineRule="auto"/>
            </w:pPr>
            <w:r>
              <w:rPr>
                <w:color w:val="14253B"/>
              </w:rPr>
            </w:r>
            <w:r>
              <w:rPr>
                <w:rFonts w:ascii="Aptos" w:hAnsi="Aptos"/>
                <w:b w:val="0"/>
                <w:color w:val="14253B"/>
                <w:sz w:val="15"/>
              </w:rPr>
              <w:t>PDF p.19; printed 13</w:t>
            </w:r>
          </w:p>
        </w:tc>
        <w:tc>
          <w:tcPr>
            <w:tcW w:type="dxa" w:w="3168"/>
            <w:vAlign w:val="top"/>
            <w:shd w:fill="F1F5F8"/>
          </w:tcPr>
          <w:p>
            <w:pPr>
              <w:spacing w:after="40" w:before="20" w:line="252" w:lineRule="auto"/>
            </w:pPr>
            <w:r>
              <w:rPr>
                <w:color w:val="14253B"/>
              </w:rPr>
            </w:r>
            <w:r>
              <w:rPr>
                <w:rFonts w:ascii="Aptos" w:hAnsi="Aptos"/>
                <w:b w:val="0"/>
                <w:color w:val="14253B"/>
                <w:sz w:val="15"/>
              </w:rPr>
              <w:t>Generator-specific labelling</w:t>
            </w:r>
          </w:p>
        </w:tc>
        <w:tc>
          <w:tcPr>
            <w:tcW w:type="dxa" w:w="2232"/>
            <w:vAlign w:val="top"/>
            <w:shd w:fill="F1F5F8"/>
          </w:tcPr>
          <w:p>
            <w:pPr>
              <w:spacing w:after="40" w:before="20" w:line="252" w:lineRule="auto"/>
            </w:pPr>
            <w:r>
              <w:rPr>
                <w:color w:val="14253B"/>
              </w:rPr>
            </w:r>
            <w:r>
              <w:rPr>
                <w:rFonts w:ascii="Aptos" w:hAnsi="Aptos"/>
                <w:b w:val="0"/>
                <w:color w:val="14253B"/>
                <w:sz w:val="15"/>
              </w:rPr>
              <w:t>Conditional / likely selected SKUs</w:t>
            </w:r>
          </w:p>
        </w:tc>
        <w:tc>
          <w:tcPr>
            <w:tcW w:type="dxa" w:w="2520"/>
            <w:vAlign w:val="top"/>
            <w:shd w:fill="F1F5F8"/>
          </w:tcPr>
          <w:p>
            <w:pPr>
              <w:spacing w:after="40" w:before="20" w:line="252" w:lineRule="auto"/>
            </w:pPr>
            <w:r>
              <w:rPr>
                <w:color w:val="14253B"/>
              </w:rPr>
            </w:r>
            <w:r>
              <w:rPr>
                <w:rFonts w:ascii="Aptos" w:hAnsi="Aptos"/>
                <w:b w:val="0"/>
                <w:color w:val="14253B"/>
                <w:sz w:val="15"/>
              </w:rPr>
              <w:t>GAP-011</w:t>
            </w:r>
          </w:p>
        </w:tc>
        <w:tc>
          <w:tcPr>
            <w:tcW w:type="dxa" w:w="7992"/>
            <w:vAlign w:val="top"/>
            <w:shd w:fill="F1F5F8"/>
          </w:tcPr>
          <w:p>
            <w:pPr>
              <w:spacing w:after="40" w:before="20" w:line="252" w:lineRule="auto"/>
            </w:pPr>
            <w:r>
              <w:rPr>
                <w:color w:val="14253B"/>
              </w:rPr>
            </w:r>
            <w:r>
              <w:rPr>
                <w:rFonts w:ascii="Aptos" w:hAnsi="Aptos"/>
                <w:b w:val="0"/>
                <w:color w:val="14253B"/>
                <w:sz w:val="15"/>
              </w:rPr>
              <w:t>Needs SKU classification and compatible machine evidence</w:t>
            </w:r>
          </w:p>
        </w:tc>
      </w:tr>
      <w:tr>
        <w:trPr>
          <w:cantSplit/>
        </w:trPr>
        <w:tc>
          <w:tcPr>
            <w:tcW w:type="dxa" w:w="1440"/>
            <w:vAlign w:val="top"/>
          </w:tcPr>
          <w:p>
            <w:pPr>
              <w:spacing w:after="40" w:before="20" w:line="252" w:lineRule="auto"/>
            </w:pPr>
            <w:r/>
            <w:r>
              <w:rPr>
                <w:rFonts w:ascii="Aptos" w:hAnsi="Aptos"/>
                <w:b w:val="0"/>
                <w:color w:val="14253B"/>
                <w:sz w:val="15"/>
              </w:rPr>
              <w:t>REQ-21</w:t>
            </w:r>
          </w:p>
        </w:tc>
        <w:tc>
          <w:tcPr>
            <w:tcW w:type="dxa" w:w="2376"/>
            <w:vAlign w:val="top"/>
          </w:tcPr>
          <w:p>
            <w:pPr>
              <w:spacing w:after="40" w:before="20" w:line="252" w:lineRule="auto"/>
            </w:pPr>
            <w:r/>
            <w:r>
              <w:rPr>
                <w:rFonts w:ascii="Aptos" w:hAnsi="Aptos"/>
                <w:b w:val="0"/>
                <w:color w:val="14253B"/>
                <w:sz w:val="15"/>
              </w:rPr>
              <w:t>6.7</w:t>
            </w:r>
          </w:p>
        </w:tc>
        <w:tc>
          <w:tcPr>
            <w:tcW w:type="dxa" w:w="2160"/>
            <w:vAlign w:val="top"/>
          </w:tcPr>
          <w:p>
            <w:pPr>
              <w:spacing w:after="40" w:before="20" w:line="252" w:lineRule="auto"/>
            </w:pPr>
            <w:r/>
            <w:r>
              <w:rPr>
                <w:rFonts w:ascii="Aptos" w:hAnsi="Aptos"/>
                <w:b w:val="0"/>
                <w:color w:val="14253B"/>
                <w:sz w:val="15"/>
              </w:rPr>
              <w:t>PDF pp.20-22; printed 14-16</w:t>
            </w:r>
          </w:p>
        </w:tc>
        <w:tc>
          <w:tcPr>
            <w:tcW w:type="dxa" w:w="3168"/>
            <w:vAlign w:val="top"/>
          </w:tcPr>
          <w:p>
            <w:pPr>
              <w:spacing w:after="40" w:before="20" w:line="252" w:lineRule="auto"/>
            </w:pPr>
            <w:r/>
            <w:r>
              <w:rPr>
                <w:rFonts w:ascii="Aptos" w:hAnsi="Aptos"/>
                <w:b w:val="0"/>
                <w:color w:val="14253B"/>
                <w:sz w:val="15"/>
              </w:rPr>
              <w:t>Mixing-system labelling/literature</w:t>
            </w:r>
          </w:p>
        </w:tc>
        <w:tc>
          <w:tcPr>
            <w:tcW w:type="dxa" w:w="2232"/>
            <w:vAlign w:val="top"/>
          </w:tcPr>
          <w:p>
            <w:pPr>
              <w:spacing w:after="40" w:before="20" w:line="252" w:lineRule="auto"/>
            </w:pPr>
            <w:r/>
            <w:r>
              <w:rPr>
                <w:rFonts w:ascii="Aptos" w:hAnsi="Aptos"/>
                <w:b w:val="0"/>
                <w:color w:val="14253B"/>
                <w:sz w:val="15"/>
              </w:rPr>
              <w:t>Not Applicable - no such supplied system</w:t>
            </w:r>
          </w:p>
        </w:tc>
        <w:tc>
          <w:tcPr>
            <w:tcW w:type="dxa" w:w="2520"/>
            <w:vAlign w:val="top"/>
          </w:tcPr>
          <w:p>
            <w:pPr>
              <w:spacing w:after="40" w:before="20" w:line="252" w:lineRule="auto"/>
            </w:pPr>
            <w:r/>
            <w:r>
              <w:rPr>
                <w:rFonts w:ascii="Aptos" w:hAnsi="Aptos"/>
                <w:b w:val="0"/>
                <w:color w:val="14253B"/>
                <w:sz w:val="15"/>
              </w:rPr>
              <w:t>-</w:t>
            </w:r>
          </w:p>
        </w:tc>
        <w:tc>
          <w:tcPr>
            <w:tcW w:type="dxa" w:w="7992"/>
            <w:vAlign w:val="top"/>
          </w:tcPr>
          <w:p>
            <w:pPr>
              <w:spacing w:after="40" w:before="20" w:line="252" w:lineRule="auto"/>
            </w:pPr>
            <w:r/>
            <w:r>
              <w:rPr>
                <w:rFonts w:ascii="Aptos" w:hAnsi="Aptos"/>
                <w:b w:val="0"/>
                <w:color w:val="14253B"/>
                <w:sz w:val="15"/>
              </w:rPr>
              <w:t>Only if company supplies concentrate mixing systems</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5"/>
              </w:rPr>
              <w:t>REQ-22</w:t>
            </w:r>
          </w:p>
        </w:tc>
        <w:tc>
          <w:tcPr>
            <w:tcW w:type="dxa" w:w="2376"/>
            <w:vAlign w:val="top"/>
            <w:shd w:fill="F1F5F8"/>
          </w:tcPr>
          <w:p>
            <w:pPr>
              <w:spacing w:after="40" w:before="20" w:line="252" w:lineRule="auto"/>
            </w:pPr>
            <w:r>
              <w:rPr>
                <w:color w:val="14253B"/>
              </w:rPr>
            </w:r>
            <w:r>
              <w:rPr>
                <w:rFonts w:ascii="Aptos" w:hAnsi="Aptos"/>
                <w:b w:val="0"/>
                <w:color w:val="14253B"/>
                <w:sz w:val="15"/>
              </w:rPr>
              <w:t>Annex A</w:t>
            </w:r>
          </w:p>
        </w:tc>
        <w:tc>
          <w:tcPr>
            <w:tcW w:type="dxa" w:w="2160"/>
            <w:vAlign w:val="top"/>
            <w:shd w:fill="F1F5F8"/>
          </w:tcPr>
          <w:p>
            <w:pPr>
              <w:spacing w:after="40" w:before="20" w:line="252" w:lineRule="auto"/>
            </w:pPr>
            <w:r>
              <w:rPr>
                <w:color w:val="14253B"/>
              </w:rPr>
            </w:r>
            <w:r>
              <w:rPr>
                <w:rFonts w:ascii="Aptos" w:hAnsi="Aptos"/>
                <w:b w:val="0"/>
                <w:color w:val="14253B"/>
                <w:sz w:val="15"/>
              </w:rPr>
              <w:t>PDF pp.22-28; printed 16-22</w:t>
            </w:r>
          </w:p>
        </w:tc>
        <w:tc>
          <w:tcPr>
            <w:tcW w:type="dxa" w:w="3168"/>
            <w:vAlign w:val="top"/>
            <w:shd w:fill="F1F5F8"/>
          </w:tcPr>
          <w:p>
            <w:pPr>
              <w:spacing w:after="40" w:before="20" w:line="252" w:lineRule="auto"/>
            </w:pPr>
            <w:r>
              <w:rPr>
                <w:color w:val="14253B"/>
              </w:rPr>
            </w:r>
            <w:r>
              <w:rPr>
                <w:rFonts w:ascii="Aptos" w:hAnsi="Aptos"/>
                <w:b w:val="0"/>
                <w:color w:val="14253B"/>
                <w:sz w:val="15"/>
              </w:rPr>
              <w:t>Informative rationale, not independent mandatory controls</w:t>
            </w:r>
          </w:p>
        </w:tc>
        <w:tc>
          <w:tcPr>
            <w:tcW w:type="dxa" w:w="2232"/>
            <w:vAlign w:val="top"/>
            <w:shd w:fill="F1F5F8"/>
          </w:tcPr>
          <w:p>
            <w:pPr>
              <w:spacing w:after="40" w:before="20" w:line="252" w:lineRule="auto"/>
            </w:pPr>
            <w:r>
              <w:rPr>
                <w:color w:val="14253B"/>
              </w:rPr>
            </w:r>
            <w:r>
              <w:rPr>
                <w:rFonts w:ascii="Aptos" w:hAnsi="Aptos"/>
                <w:b w:val="0"/>
                <w:color w:val="14253B"/>
                <w:sz w:val="15"/>
              </w:rPr>
              <w:t>Informative</w:t>
            </w:r>
          </w:p>
        </w:tc>
        <w:tc>
          <w:tcPr>
            <w:tcW w:type="dxa" w:w="2520"/>
            <w:vAlign w:val="top"/>
            <w:shd w:fill="F1F5F8"/>
          </w:tcPr>
          <w:p>
            <w:pPr>
              <w:spacing w:after="40" w:before="20" w:line="252" w:lineRule="auto"/>
            </w:pPr>
            <w:r>
              <w:rPr>
                <w:color w:val="14253B"/>
              </w:rPr>
            </w:r>
            <w:r>
              <w:rPr>
                <w:rFonts w:ascii="Aptos" w:hAnsi="Aptos"/>
                <w:b w:val="0"/>
                <w:color w:val="14253B"/>
                <w:sz w:val="15"/>
              </w:rPr>
              <w:t>-</w:t>
            </w:r>
          </w:p>
        </w:tc>
        <w:tc>
          <w:tcPr>
            <w:tcW w:type="dxa" w:w="7992"/>
            <w:vAlign w:val="top"/>
            <w:shd w:fill="F1F5F8"/>
          </w:tcPr>
          <w:p>
            <w:pPr>
              <w:spacing w:after="40" w:before="20" w:line="252" w:lineRule="auto"/>
            </w:pPr>
            <w:r>
              <w:rPr>
                <w:color w:val="14253B"/>
              </w:rPr>
            </w:r>
            <w:r>
              <w:rPr>
                <w:rFonts w:ascii="Aptos" w:hAnsi="Aptos"/>
                <w:b w:val="0"/>
                <w:color w:val="14253B"/>
                <w:sz w:val="15"/>
              </w:rPr>
              <w:t>Used for interpretation only; no standalone findings</w:t>
            </w:r>
          </w:p>
        </w:tc>
      </w:tr>
      <w:tr>
        <w:trPr>
          <w:cantSplit/>
        </w:trPr>
        <w:tc>
          <w:tcPr>
            <w:tcW w:type="dxa" w:w="1440"/>
            <w:vAlign w:val="top"/>
          </w:tcPr>
          <w:p>
            <w:pPr>
              <w:spacing w:after="40" w:before="20" w:line="252" w:lineRule="auto"/>
            </w:pPr>
            <w:r/>
            <w:r>
              <w:rPr>
                <w:rFonts w:ascii="Aptos" w:hAnsi="Aptos"/>
                <w:b w:val="0"/>
                <w:color w:val="14253B"/>
                <w:sz w:val="15"/>
              </w:rPr>
              <w:t>REQ-23</w:t>
            </w:r>
          </w:p>
        </w:tc>
        <w:tc>
          <w:tcPr>
            <w:tcW w:type="dxa" w:w="2376"/>
            <w:vAlign w:val="top"/>
          </w:tcPr>
          <w:p>
            <w:pPr>
              <w:spacing w:after="40" w:before="20" w:line="252" w:lineRule="auto"/>
            </w:pPr>
            <w:r/>
            <w:r>
              <w:rPr>
                <w:rFonts w:ascii="Aptos" w:hAnsi="Aptos"/>
                <w:b w:val="0"/>
                <w:color w:val="14253B"/>
                <w:sz w:val="15"/>
              </w:rPr>
              <w:t>Company process/document control</w:t>
            </w:r>
          </w:p>
        </w:tc>
        <w:tc>
          <w:tcPr>
            <w:tcW w:type="dxa" w:w="2160"/>
            <w:vAlign w:val="top"/>
          </w:tcPr>
          <w:p>
            <w:pPr>
              <w:spacing w:after="40" w:before="20" w:line="252" w:lineRule="auto"/>
            </w:pPr>
            <w:r/>
            <w:r>
              <w:rPr>
                <w:rFonts w:ascii="Aptos" w:hAnsi="Aptos"/>
                <w:b w:val="0"/>
                <w:color w:val="14253B"/>
                <w:sz w:val="15"/>
              </w:rPr>
              <w:t>WI pp.5-17 and three F-823 forms</w:t>
            </w:r>
          </w:p>
        </w:tc>
        <w:tc>
          <w:tcPr>
            <w:tcW w:type="dxa" w:w="3168"/>
            <w:vAlign w:val="top"/>
          </w:tcPr>
          <w:p>
            <w:pPr>
              <w:spacing w:after="40" w:before="20" w:line="252" w:lineRule="auto"/>
            </w:pPr>
            <w:r/>
            <w:r>
              <w:rPr>
                <w:rFonts w:ascii="Aptos" w:hAnsi="Aptos"/>
                <w:b w:val="0"/>
                <w:color w:val="14253B"/>
                <w:sz w:val="15"/>
              </w:rPr>
              <w:t>Validated equipment settings, traceable controlled forms</w:t>
            </w:r>
          </w:p>
        </w:tc>
        <w:tc>
          <w:tcPr>
            <w:tcW w:type="dxa" w:w="2232"/>
            <w:vAlign w:val="top"/>
          </w:tcPr>
          <w:p>
            <w:pPr>
              <w:spacing w:after="40" w:before="20" w:line="252" w:lineRule="auto"/>
            </w:pPr>
            <w:r/>
            <w:r>
              <w:rPr>
                <w:rFonts w:ascii="Aptos" w:hAnsi="Aptos"/>
                <w:b w:val="0"/>
                <w:color w:val="14253B"/>
                <w:sz w:val="15"/>
              </w:rPr>
              <w:t>Applicable - company controls</w:t>
            </w:r>
          </w:p>
        </w:tc>
        <w:tc>
          <w:tcPr>
            <w:tcW w:type="dxa" w:w="2520"/>
            <w:vAlign w:val="top"/>
          </w:tcPr>
          <w:p>
            <w:pPr>
              <w:spacing w:after="40" w:before="20" w:line="252" w:lineRule="auto"/>
            </w:pPr>
            <w:r/>
            <w:r>
              <w:rPr>
                <w:rFonts w:ascii="Aptos" w:hAnsi="Aptos"/>
                <w:b w:val="0"/>
                <w:color w:val="14253B"/>
                <w:sz w:val="15"/>
              </w:rPr>
              <w:t>GAP-013,GAP-014,GAP-016,GAP-017,GAP-018,GAP-019</w:t>
            </w:r>
          </w:p>
        </w:tc>
        <w:tc>
          <w:tcPr>
            <w:tcW w:type="dxa" w:w="7992"/>
            <w:vAlign w:val="top"/>
          </w:tcPr>
          <w:p>
            <w:pPr>
              <w:spacing w:after="40" w:before="20" w:line="252" w:lineRule="auto"/>
            </w:pPr>
            <w:r/>
            <w:r>
              <w:rPr>
                <w:rFonts w:ascii="Aptos" w:hAnsi="Aptos"/>
                <w:b w:val="0"/>
                <w:color w:val="14253B"/>
                <w:sz w:val="15"/>
              </w:rPr>
              <w:t>Technical reconciliation and issued records needed</w:t>
            </w:r>
          </w:p>
        </w:tc>
      </w:tr>
    </w:tbl>
    <w:p>
      <w:pPr>
        <w:pStyle w:val="Heading1"/>
      </w:pPr>
      <w:r>
        <w:t>4. Identified gaps - initial register</w:t>
      </w:r>
    </w:p>
    <w:tbl>
      <w:tblPr>
        <w:tblStyle w:val="TableGrid"/>
        <w:tblW w:type="auto" w:w="0"/>
        <w:jc w:val="center"/>
        <w:tblLayout w:type="fixed"/>
        <w:tblLook w:firstColumn="1" w:firstRow="1" w:lastColumn="0" w:lastRow="0" w:noHBand="0" w:noVBand="1" w:val="04A0"/>
      </w:tblPr>
      <w:tblGrid>
        <w:gridCol w:w="7469"/>
        <w:gridCol w:w="7469"/>
        <w:gridCol w:w="7469"/>
      </w:tblGrid>
      <w:tr>
        <w:trPr>
          <w:tblHeader w:val="true"/>
          <w:cantSplit/>
        </w:trPr>
        <w:tc>
          <w:tcPr>
            <w:tcW w:type="dxa" w:w="1440"/>
            <w:vAlign w:val="top"/>
            <w:shd w:fill="14253B"/>
          </w:tcPr>
          <w:p>
            <w:pPr>
              <w:spacing w:after="40" w:before="20" w:line="252" w:lineRule="auto"/>
            </w:pPr>
            <w:r/>
            <w:r>
              <w:rPr>
                <w:rFonts w:ascii="Aptos" w:hAnsi="Aptos"/>
                <w:b/>
                <w:color w:val="FFFFFF"/>
                <w:sz w:val="17"/>
              </w:rPr>
              <w:t>Gap ID</w:t>
            </w:r>
          </w:p>
        </w:tc>
        <w:tc>
          <w:tcPr>
            <w:tcW w:type="dxa" w:w="1728"/>
            <w:vAlign w:val="top"/>
            <w:shd w:fill="14253B"/>
          </w:tcPr>
          <w:p>
            <w:pPr>
              <w:spacing w:after="40" w:before="20" w:line="252" w:lineRule="auto"/>
            </w:pPr>
            <w:r/>
            <w:r>
              <w:rPr>
                <w:rFonts w:ascii="Aptos" w:hAnsi="Aptos"/>
                <w:b/>
                <w:color w:val="FFFFFF"/>
                <w:sz w:val="17"/>
              </w:rPr>
              <w:t>Priority</w:t>
            </w:r>
          </w:p>
        </w:tc>
        <w:tc>
          <w:tcPr>
            <w:tcW w:type="dxa" w:w="18288"/>
            <w:vAlign w:val="top"/>
            <w:shd w:fill="14253B"/>
          </w:tcPr>
          <w:p>
            <w:pPr>
              <w:spacing w:after="40" w:before="20" w:line="252" w:lineRule="auto"/>
            </w:pPr>
            <w:r/>
            <w:r>
              <w:rPr>
                <w:rFonts w:ascii="Aptos" w:hAnsi="Aptos"/>
                <w:b/>
                <w:color w:val="FFFFFF"/>
                <w:sz w:val="17"/>
              </w:rPr>
              <w:t>Documented deficiency / decision needed</w:t>
            </w:r>
          </w:p>
        </w:tc>
      </w:tr>
      <w:tr>
        <w:trPr>
          <w:cantSplit/>
        </w:trPr>
        <w:tc>
          <w:tcPr>
            <w:tcW w:type="dxa" w:w="1440"/>
            <w:vAlign w:val="top"/>
          </w:tcPr>
          <w:p>
            <w:pPr>
              <w:spacing w:after="40" w:before="20" w:line="252" w:lineRule="auto"/>
            </w:pPr>
            <w:r/>
            <w:r>
              <w:rPr>
                <w:rFonts w:ascii="Aptos" w:hAnsi="Aptos"/>
                <w:b w:val="0"/>
                <w:color w:val="14253B"/>
                <w:sz w:val="16"/>
              </w:rPr>
              <w:t>GAP-001</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Chemical-grade release criteria are not demonstrated. Comparing sodium bicarbonate results with a supplier COA alone does not establish compliance with the applicable pharmacopoeial monograph and its applicable general tests.</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GAP-002</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No controlled reconstitution and solute-concentration demonstration is connected to the dry powder product. Existing conductivity acceptance is not a substitute for a documented composition evaluation.</w:t>
            </w:r>
          </w:p>
        </w:tc>
      </w:tr>
      <w:tr>
        <w:trPr>
          <w:cantSplit/>
        </w:trPr>
        <w:tc>
          <w:tcPr>
            <w:tcW w:type="dxa" w:w="1440"/>
            <w:vAlign w:val="top"/>
          </w:tcPr>
          <w:p>
            <w:pPr>
              <w:spacing w:after="40" w:before="20" w:line="252" w:lineRule="auto"/>
            </w:pPr>
            <w:r/>
            <w:r>
              <w:rPr>
                <w:rFonts w:ascii="Aptos" w:hAnsi="Aptos"/>
                <w:b w:val="0"/>
                <w:color w:val="14253B"/>
                <w:sz w:val="16"/>
              </w:rPr>
              <w:t>GAP-003</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The WI does not define microbiological assurance for packaged bicarbonate powder and the traceable validation/verification route for dialysis-fluid microbiological performance.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GAP-004</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No demonstrated endotoxin-control and validated process evidence is linked to the bicarbonate powder configurations.</w:t>
            </w:r>
          </w:p>
        </w:tc>
      </w:tr>
      <w:tr>
        <w:trPr>
          <w:cantSplit/>
        </w:trPr>
        <w:tc>
          <w:tcPr>
            <w:tcW w:type="dxa" w:w="1440"/>
            <w:vAlign w:val="top"/>
          </w:tcPr>
          <w:p>
            <w:pPr>
              <w:spacing w:after="40" w:before="20" w:line="252" w:lineRule="auto"/>
            </w:pPr>
            <w:r/>
            <w:r>
              <w:rPr>
                <w:rFonts w:ascii="Aptos" w:hAnsi="Aptos"/>
                <w:b w:val="0"/>
                <w:color w:val="14253B"/>
                <w:sz w:val="16"/>
              </w:rPr>
              <w:t>GAP-005</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Machine-specific function of the powder container and prevention of undissolved powder entering the dialysis-fluid stream are not established by the current visual fitting checks alone.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GAP-006</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Actual fill-weight decisions and applicability of listed ±10 g company tolerances are not anchored to a verified usage category or approved validated setpoints.</w:t>
            </w:r>
          </w:p>
        </w:tc>
      </w:tr>
      <w:tr>
        <w:trPr>
          <w:cantSplit/>
        </w:trPr>
        <w:tc>
          <w:tcPr>
            <w:tcW w:type="dxa" w:w="1440"/>
            <w:vAlign w:val="top"/>
          </w:tcPr>
          <w:p>
            <w:pPr>
              <w:spacing w:after="40" w:before="20" w:line="252" w:lineRule="auto"/>
            </w:pPr>
            <w:r/>
            <w:r>
              <w:rPr>
                <w:rFonts w:ascii="Aptos" w:hAnsi="Aptos"/>
                <w:b w:val="0"/>
                <w:color w:val="14253B"/>
                <w:sz w:val="16"/>
              </w:rPr>
              <w:t>GAP-007</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Visual seal/leak appearance and manual immersion test do not alone substantiate chemical/physical compatibility of the powder packaging and closure through claimed shelf life.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GAP-008</w:t>
            </w:r>
          </w:p>
        </w:tc>
        <w:tc>
          <w:tcPr>
            <w:tcW w:type="dxa" w:w="1728"/>
            <w:vAlign w:val="top"/>
            <w:shd w:fill="F1F5F8"/>
          </w:tcPr>
          <w:p>
            <w:pPr>
              <w:spacing w:after="40" w:before="20" w:line="252" w:lineRule="auto"/>
            </w:pPr>
            <w:r>
              <w:rPr>
                <w:color w:val="14253B"/>
              </w:rPr>
            </w:r>
            <w:r>
              <w:rPr>
                <w:rFonts w:ascii="Aptos" w:hAnsi="Aptos"/>
                <w:b w:val="0"/>
                <w:color w:val="14253B"/>
                <w:sz w:val="16"/>
              </w:rPr>
              <w:t>P2</w:t>
            </w:r>
          </w:p>
        </w:tc>
        <w:tc>
          <w:tcPr>
            <w:tcW w:type="dxa" w:w="18288"/>
            <w:vAlign w:val="top"/>
            <w:shd w:fill="F1F5F8"/>
          </w:tcPr>
          <w:p>
            <w:pPr>
              <w:spacing w:after="40" w:before="20" w:line="252" w:lineRule="auto"/>
            </w:pPr>
            <w:r>
              <w:rPr>
                <w:color w:val="14253B"/>
              </w:rPr>
            </w:r>
            <w:r>
              <w:rPr>
                <w:rFonts w:ascii="Aptos" w:hAnsi="Aptos"/>
                <w:b w:val="0"/>
                <w:color w:val="14253B"/>
                <w:sz w:val="16"/>
              </w:rPr>
              <w:t>Product-contact manufacturing equipment material compatibility is not traceable; visual housekeeping and setpoint checks alone are insufficient to demonstrate non-interaction.</w:t>
            </w:r>
          </w:p>
        </w:tc>
      </w:tr>
      <w:tr>
        <w:trPr>
          <w:cantSplit/>
        </w:trPr>
        <w:tc>
          <w:tcPr>
            <w:tcW w:type="dxa" w:w="1440"/>
            <w:vAlign w:val="top"/>
          </w:tcPr>
          <w:p>
            <w:pPr>
              <w:spacing w:after="40" w:before="20" w:line="252" w:lineRule="auto"/>
            </w:pPr>
            <w:r/>
            <w:r>
              <w:rPr>
                <w:rFonts w:ascii="Aptos" w:hAnsi="Aptos"/>
                <w:b w:val="0"/>
                <w:color w:val="14253B"/>
                <w:sz w:val="16"/>
              </w:rPr>
              <w:t>GAP-009</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In-process labels are checked largely for print/UDI but no complete controlled checklist verifies applicable general concentrate labelling information or package-insert linkage.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GAP-010</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Dry powder-specific labelling and reconstitution/handling information cannot be verified from the WI or the attached in-process forms.</w:t>
            </w:r>
          </w:p>
        </w:tc>
      </w:tr>
      <w:tr>
        <w:trPr>
          <w:cantSplit/>
        </w:trPr>
        <w:tc>
          <w:tcPr>
            <w:tcW w:type="dxa" w:w="1440"/>
            <w:vAlign w:val="top"/>
          </w:tcPr>
          <w:p>
            <w:pPr>
              <w:spacing w:after="40" w:before="20" w:line="252" w:lineRule="auto"/>
            </w:pPr>
            <w:r/>
            <w:r>
              <w:rPr>
                <w:rFonts w:ascii="Aptos" w:hAnsi="Aptos"/>
                <w:b w:val="0"/>
                <w:color w:val="14253B"/>
                <w:sz w:val="16"/>
              </w:rPr>
              <w:t>GAP-011</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Concentrate-generator-specific labelling performance and machine identification are not traceably reviewed for Gambro and applicable Fresenius variants.</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GAP-012</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A generic conductivity range of 13.5-14 mS/cm is used in several leak acceptance sections without identifying the solution, dilution, temperature, equipment or applicability; ISO does not prescribe this single global value for the powder products.</w:t>
            </w:r>
          </w:p>
        </w:tc>
      </w:tr>
      <w:tr>
        <w:trPr>
          <w:cantSplit/>
        </w:trPr>
        <w:tc>
          <w:tcPr>
            <w:tcW w:type="dxa" w:w="1440"/>
            <w:vAlign w:val="top"/>
          </w:tcPr>
          <w:p>
            <w:pPr>
              <w:spacing w:after="40" w:before="20" w:line="252" w:lineRule="auto"/>
            </w:pPr>
            <w:r/>
            <w:r>
              <w:rPr>
                <w:rFonts w:ascii="Aptos" w:hAnsi="Aptos"/>
                <w:b w:val="0"/>
                <w:color w:val="14253B"/>
                <w:sz w:val="16"/>
              </w:rPr>
              <w:t>GAP-013</w:t>
            </w:r>
          </w:p>
        </w:tc>
        <w:tc>
          <w:tcPr>
            <w:tcW w:type="dxa" w:w="1728"/>
            <w:vAlign w:val="top"/>
          </w:tcPr>
          <w:p>
            <w:pPr>
              <w:spacing w:after="40" w:before="20" w:line="252" w:lineRule="auto"/>
            </w:pPr>
            <w:r/>
            <w:r>
              <w:rPr>
                <w:rFonts w:ascii="Aptos" w:hAnsi="Aptos"/>
                <w:b w:val="0"/>
                <w:color w:val="14253B"/>
                <w:sz w:val="16"/>
              </w:rPr>
              <w:t>P1</w:t>
            </w:r>
          </w:p>
        </w:tc>
        <w:tc>
          <w:tcPr>
            <w:tcW w:type="dxa" w:w="18288"/>
            <w:vAlign w:val="top"/>
          </w:tcPr>
          <w:p>
            <w:pPr>
              <w:spacing w:after="40" w:before="20" w:line="252" w:lineRule="auto"/>
            </w:pPr>
            <w:r/>
            <w:r>
              <w:rPr>
                <w:rFonts w:ascii="Aptos" w:hAnsi="Aptos"/>
                <w:b w:val="0"/>
                <w:color w:val="14253B"/>
                <w:sz w:val="16"/>
              </w:rPr>
              <w:t>Gambro machine sensor pressure entry uses inconsistent unit: 0.760 mbar (±0.2) versus 0.8 bar (±0.2), a potentially material three-order unit mismatch. Do not select the correct setting by inference.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GAP-014</w:t>
            </w:r>
          </w:p>
        </w:tc>
        <w:tc>
          <w:tcPr>
            <w:tcW w:type="dxa" w:w="1728"/>
            <w:vAlign w:val="top"/>
            <w:shd w:fill="F1F5F8"/>
          </w:tcPr>
          <w:p>
            <w:pPr>
              <w:spacing w:after="40" w:before="20" w:line="252" w:lineRule="auto"/>
            </w:pPr>
            <w:r>
              <w:rPr>
                <w:color w:val="14253B"/>
              </w:rPr>
            </w:r>
            <w:r>
              <w:rPr>
                <w:rFonts w:ascii="Aptos" w:hAnsi="Aptos"/>
                <w:b w:val="0"/>
                <w:color w:val="14253B"/>
                <w:sz w:val="16"/>
              </w:rPr>
              <w:t>P1</w:t>
            </w:r>
          </w:p>
        </w:tc>
        <w:tc>
          <w:tcPr>
            <w:tcW w:type="dxa" w:w="18288"/>
            <w:vAlign w:val="top"/>
            <w:shd w:fill="F1F5F8"/>
          </w:tcPr>
          <w:p>
            <w:pPr>
              <w:spacing w:after="40" w:before="20" w:line="252" w:lineRule="auto"/>
            </w:pPr>
            <w:r>
              <w:rPr>
                <w:color w:val="14253B"/>
              </w:rPr>
            </w:r>
            <w:r>
              <w:rPr>
                <w:rFonts w:ascii="Aptos" w:hAnsi="Aptos"/>
                <w:b w:val="0"/>
                <w:color w:val="14253B"/>
                <w:sz w:val="16"/>
              </w:rPr>
              <w:t>Gambro welding setpoints differ between controlled sources and Fresenius bag welding table contains an incomplete lower temperature, preventing a reliable, approved parameter comparison.</w:t>
            </w:r>
          </w:p>
        </w:tc>
      </w:tr>
      <w:tr>
        <w:trPr>
          <w:cantSplit/>
        </w:trPr>
        <w:tc>
          <w:tcPr>
            <w:tcW w:type="dxa" w:w="1440"/>
            <w:vAlign w:val="top"/>
          </w:tcPr>
          <w:p>
            <w:pPr>
              <w:spacing w:after="40" w:before="20" w:line="252" w:lineRule="auto"/>
            </w:pPr>
            <w:r/>
            <w:r>
              <w:rPr>
                <w:rFonts w:ascii="Aptos" w:hAnsi="Aptos"/>
                <w:b w:val="0"/>
                <w:color w:val="14253B"/>
                <w:sz w:val="16"/>
              </w:rPr>
              <w:t>GAP-015</w:t>
            </w:r>
          </w:p>
        </w:tc>
        <w:tc>
          <w:tcPr>
            <w:tcW w:type="dxa" w:w="1728"/>
            <w:vAlign w:val="top"/>
          </w:tcPr>
          <w:p>
            <w:pPr>
              <w:spacing w:after="40" w:before="20" w:line="252" w:lineRule="auto"/>
            </w:pPr>
            <w:r/>
            <w:r>
              <w:rPr>
                <w:rFonts w:ascii="Aptos" w:hAnsi="Aptos"/>
                <w:b w:val="0"/>
                <w:color w:val="14253B"/>
                <w:sz w:val="16"/>
              </w:rPr>
              <w:t>P2</w:t>
            </w:r>
          </w:p>
        </w:tc>
        <w:tc>
          <w:tcPr>
            <w:tcW w:type="dxa" w:w="18288"/>
            <w:vAlign w:val="top"/>
          </w:tcPr>
          <w:p>
            <w:pPr>
              <w:spacing w:after="40" w:before="20" w:line="252" w:lineRule="auto"/>
            </w:pPr>
            <w:r/>
            <w:r>
              <w:rPr>
                <w:rFonts w:ascii="Aptos" w:hAnsi="Aptos"/>
                <w:b w:val="0"/>
                <w:color w:val="14253B"/>
                <w:sz w:val="16"/>
              </w:rPr>
              <w:t>Manual leak tests have qualitative remarks but incomplete raw readings, exposure time and sample trace for Fresenius 5008; pressure-duration fields are necessary to verify the WI procedure.</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GAP-016</w:t>
            </w:r>
          </w:p>
        </w:tc>
        <w:tc>
          <w:tcPr>
            <w:tcW w:type="dxa" w:w="1728"/>
            <w:vAlign w:val="top"/>
            <w:shd w:fill="F1F5F8"/>
          </w:tcPr>
          <w:p>
            <w:pPr>
              <w:spacing w:after="40" w:before="20" w:line="252" w:lineRule="auto"/>
            </w:pPr>
            <w:r>
              <w:rPr>
                <w:color w:val="14253B"/>
              </w:rPr>
            </w:r>
            <w:r>
              <w:rPr>
                <w:rFonts w:ascii="Aptos" w:hAnsi="Aptos"/>
                <w:b w:val="0"/>
                <w:color w:val="14253B"/>
                <w:sz w:val="16"/>
              </w:rPr>
              <w:t>P2</w:t>
            </w:r>
          </w:p>
        </w:tc>
        <w:tc>
          <w:tcPr>
            <w:tcW w:type="dxa" w:w="18288"/>
            <w:vAlign w:val="top"/>
            <w:shd w:fill="F1F5F8"/>
          </w:tcPr>
          <w:p>
            <w:pPr>
              <w:spacing w:after="40" w:before="20" w:line="252" w:lineRule="auto"/>
            </w:pPr>
            <w:r>
              <w:rPr>
                <w:color w:val="14253B"/>
              </w:rPr>
            </w:r>
            <w:r>
              <w:rPr>
                <w:rFonts w:ascii="Aptos" w:hAnsi="Aptos"/>
                <w:b w:val="0"/>
                <w:color w:val="14253B"/>
                <w:sz w:val="16"/>
              </w:rPr>
              <w:t>Dimensional/product-part requirements are expressed as generic “per specification” in F-823-i15 and as unclear arithmetic in Gambro, preventing transparent measurement-based disposition.</w:t>
            </w:r>
          </w:p>
        </w:tc>
      </w:tr>
      <w:tr>
        <w:trPr>
          <w:cantSplit/>
        </w:trPr>
        <w:tc>
          <w:tcPr>
            <w:tcW w:type="dxa" w:w="1440"/>
            <w:vAlign w:val="top"/>
          </w:tcPr>
          <w:p>
            <w:pPr>
              <w:spacing w:after="40" w:before="20" w:line="252" w:lineRule="auto"/>
            </w:pPr>
            <w:r/>
            <w:r>
              <w:rPr>
                <w:rFonts w:ascii="Aptos" w:hAnsi="Aptos"/>
                <w:b w:val="0"/>
                <w:color w:val="14253B"/>
                <w:sz w:val="16"/>
              </w:rPr>
              <w:t>GAP-017</w:t>
            </w:r>
          </w:p>
        </w:tc>
        <w:tc>
          <w:tcPr>
            <w:tcW w:type="dxa" w:w="1728"/>
            <w:vAlign w:val="top"/>
          </w:tcPr>
          <w:p>
            <w:pPr>
              <w:spacing w:after="40" w:before="20" w:line="252" w:lineRule="auto"/>
            </w:pPr>
            <w:r/>
            <w:r>
              <w:rPr>
                <w:rFonts w:ascii="Aptos" w:hAnsi="Aptos"/>
                <w:b w:val="0"/>
                <w:color w:val="14253B"/>
                <w:sz w:val="16"/>
              </w:rPr>
              <w:t>P2</w:t>
            </w:r>
          </w:p>
        </w:tc>
        <w:tc>
          <w:tcPr>
            <w:tcW w:type="dxa" w:w="18288"/>
            <w:vAlign w:val="top"/>
          </w:tcPr>
          <w:p>
            <w:pPr>
              <w:spacing w:after="40" w:before="20" w:line="252" w:lineRule="auto"/>
            </w:pPr>
            <w:r/>
            <w:r>
              <w:rPr>
                <w:rFonts w:ascii="Aptos" w:hAnsi="Aptos"/>
                <w:b w:val="0"/>
                <w:color w:val="14253B"/>
                <w:sz w:val="16"/>
              </w:rPr>
              <w:t>In-process sample frequency, inspection level and actual result notation are not consistently traceable to a controlled sampling plan and shift event.</w:t>
            </w:r>
          </w:p>
        </w:tc>
      </w:tr>
      <w:tr>
        <w:trPr>
          <w:cantSplit/>
        </w:trPr>
        <w:tc>
          <w:tcPr>
            <w:tcW w:type="dxa" w:w="1440"/>
            <w:vAlign w:val="top"/>
            <w:shd w:fill="F1F5F8"/>
          </w:tcPr>
          <w:p>
            <w:pPr>
              <w:spacing w:after="40" w:before="20" w:line="252" w:lineRule="auto"/>
            </w:pPr>
            <w:r>
              <w:rPr>
                <w:color w:val="14253B"/>
              </w:rPr>
            </w:r>
            <w:r>
              <w:rPr>
                <w:rFonts w:ascii="Aptos" w:hAnsi="Aptos"/>
                <w:b w:val="0"/>
                <w:color w:val="14253B"/>
                <w:sz w:val="16"/>
              </w:rPr>
              <w:t>GAP-018</w:t>
            </w:r>
          </w:p>
        </w:tc>
        <w:tc>
          <w:tcPr>
            <w:tcW w:type="dxa" w:w="1728"/>
            <w:vAlign w:val="top"/>
            <w:shd w:fill="F1F5F8"/>
          </w:tcPr>
          <w:p>
            <w:pPr>
              <w:spacing w:after="40" w:before="20" w:line="252" w:lineRule="auto"/>
            </w:pPr>
            <w:r>
              <w:rPr>
                <w:color w:val="14253B"/>
              </w:rPr>
            </w:r>
            <w:r>
              <w:rPr>
                <w:rFonts w:ascii="Aptos" w:hAnsi="Aptos"/>
                <w:b w:val="0"/>
                <w:color w:val="14253B"/>
                <w:sz w:val="16"/>
              </w:rPr>
              <w:t>P2</w:t>
            </w:r>
          </w:p>
        </w:tc>
        <w:tc>
          <w:tcPr>
            <w:tcW w:type="dxa" w:w="18288"/>
            <w:vAlign w:val="top"/>
            <w:shd w:fill="F1F5F8"/>
          </w:tcPr>
          <w:p>
            <w:pPr>
              <w:spacing w:after="40" w:before="20" w:line="252" w:lineRule="auto"/>
            </w:pPr>
            <w:r>
              <w:rPr>
                <w:color w:val="14253B"/>
              </w:rPr>
            </w:r>
            <w:r>
              <w:rPr>
                <w:rFonts w:ascii="Aptos" w:hAnsi="Aptos"/>
                <w:b w:val="0"/>
                <w:color w:val="14253B"/>
                <w:sz w:val="16"/>
              </w:rPr>
              <w:t>Document identifiers and controlled revisions conflict between WI contents, filenames and attached in-process form headers, and referenced additional records were not provided.</w:t>
            </w:r>
          </w:p>
        </w:tc>
      </w:tr>
      <w:tr>
        <w:trPr>
          <w:cantSplit/>
        </w:trPr>
        <w:tc>
          <w:tcPr>
            <w:tcW w:type="dxa" w:w="1440"/>
            <w:vAlign w:val="top"/>
          </w:tcPr>
          <w:p>
            <w:pPr>
              <w:spacing w:after="40" w:before="20" w:line="252" w:lineRule="auto"/>
            </w:pPr>
            <w:r/>
            <w:r>
              <w:rPr>
                <w:rFonts w:ascii="Aptos" w:hAnsi="Aptos"/>
                <w:b w:val="0"/>
                <w:color w:val="14253B"/>
                <w:sz w:val="16"/>
              </w:rPr>
              <w:t>GAP-019</w:t>
            </w:r>
          </w:p>
        </w:tc>
        <w:tc>
          <w:tcPr>
            <w:tcW w:type="dxa" w:w="1728"/>
            <w:vAlign w:val="top"/>
          </w:tcPr>
          <w:p>
            <w:pPr>
              <w:spacing w:after="40" w:before="20" w:line="252" w:lineRule="auto"/>
            </w:pPr>
            <w:r/>
            <w:r>
              <w:rPr>
                <w:rFonts w:ascii="Aptos" w:hAnsi="Aptos"/>
                <w:b w:val="0"/>
                <w:color w:val="14253B"/>
                <w:sz w:val="16"/>
              </w:rPr>
              <w:t>P2</w:t>
            </w:r>
          </w:p>
        </w:tc>
        <w:tc>
          <w:tcPr>
            <w:tcW w:type="dxa" w:w="18288"/>
            <w:vAlign w:val="top"/>
          </w:tcPr>
          <w:p>
            <w:pPr>
              <w:spacing w:after="40" w:before="20" w:line="252" w:lineRule="auto"/>
            </w:pPr>
            <w:r/>
            <w:r>
              <w:rPr>
                <w:rFonts w:ascii="Aptos" w:hAnsi="Aptos"/>
                <w:b w:val="0"/>
                <w:color w:val="14253B"/>
                <w:sz w:val="16"/>
              </w:rPr>
              <w:t>Sealing/chemical conformity evidence is not systematically linked to batch disposition, change status and unresolved qualifications; blank in-process forms cannot close ISO findings.</w:t>
            </w:r>
          </w:p>
        </w:tc>
      </w:tr>
    </w:tbl>
    <w:p>
      <w:pPr>
        <w:pStyle w:val="Heading1"/>
      </w:pPr>
      <w:r>
        <w:t>5. MASTER GAP &amp; REVISION TABLE - governing seven-column comparison</w:t>
      </w:r>
    </w:p>
    <w:p>
      <w:r>
        <w:rPr>
          <w:rFonts w:ascii="Aptos" w:hAnsi="Aptos"/>
          <w:b w:val="0"/>
          <w:color w:val="14253B"/>
          <w:sz w:val="18"/>
        </w:rPr>
        <w:t>All WI and form quotations are source-based or clearly marked as faithful summaries; ISO requirements are paraphrased. Each row relates to one corrective issue. The next pages use EXACTLY seven columns, repeated on each continuation. Proposed text is not approved until technical review.</w:t>
      </w:r>
    </w:p>
    <w:tbl>
      <w:tblPr>
        <w:tblStyle w:val="TableGrid"/>
        <w:tblW w:type="auto" w:w="0"/>
        <w:jc w:val="center"/>
        <w:tblLayout w:type="fixed"/>
        <w:tblLook w:firstColumn="1" w:firstRow="1" w:lastColumn="0" w:lastRow="0" w:noHBand="0" w:noVBand="1" w:val="04A0"/>
      </w:tblPr>
      <w:tblGrid>
        <w:gridCol w:w="3201"/>
        <w:gridCol w:w="3201"/>
        <w:gridCol w:w="3201"/>
        <w:gridCol w:w="3201"/>
        <w:gridCol w:w="3201"/>
        <w:gridCol w:w="3201"/>
        <w:gridCol w:w="3201"/>
      </w:tblGrid>
      <w:tr>
        <w:trPr>
          <w:tblHeader w:val="true"/>
          <w:cantSplit/>
        </w:trPr>
        <w:tc>
          <w:tcPr>
            <w:tcW w:type="dxa" w:w="2664"/>
            <w:vAlign w:val="top"/>
            <w:shd w:fill="14253B"/>
          </w:tcPr>
          <w:p>
            <w:pPr>
              <w:spacing w:after="40" w:before="20" w:line="252" w:lineRule="auto"/>
            </w:pPr>
            <w:r/>
            <w:r>
              <w:rPr>
                <w:rFonts w:ascii="Aptos" w:hAnsi="Aptos"/>
                <w:b/>
                <w:color w:val="FFFFFF"/>
                <w:sz w:val="16"/>
              </w:rPr>
              <w:t>Gap / Our Problem</w:t>
            </w:r>
          </w:p>
        </w:tc>
        <w:tc>
          <w:tcPr>
            <w:tcW w:type="dxa" w:w="3240"/>
            <w:vAlign w:val="top"/>
            <w:shd w:fill="14253B"/>
          </w:tcPr>
          <w:p>
            <w:pPr>
              <w:spacing w:after="40" w:before="20" w:line="252" w:lineRule="auto"/>
            </w:pPr>
            <w:r/>
            <w:r>
              <w:rPr>
                <w:rFonts w:ascii="Aptos" w:hAnsi="Aptos"/>
                <w:b/>
                <w:color w:val="FFFFFF"/>
                <w:sz w:val="16"/>
              </w:rPr>
              <w:t>ISO Says</w:t>
            </w:r>
          </w:p>
        </w:tc>
        <w:tc>
          <w:tcPr>
            <w:tcW w:type="dxa" w:w="2664"/>
            <w:vAlign w:val="top"/>
            <w:shd w:fill="14253B"/>
          </w:tcPr>
          <w:p>
            <w:pPr>
              <w:spacing w:after="40" w:before="20" w:line="252" w:lineRule="auto"/>
            </w:pPr>
            <w:r/>
            <w:r>
              <w:rPr>
                <w:rFonts w:ascii="Aptos" w:hAnsi="Aptos"/>
                <w:b/>
                <w:color w:val="FFFFFF"/>
                <w:sz w:val="16"/>
              </w:rPr>
              <w:t>Existing WI Text</w:t>
            </w:r>
          </w:p>
        </w:tc>
        <w:tc>
          <w:tcPr>
            <w:tcW w:type="dxa" w:w="4032"/>
            <w:vAlign w:val="top"/>
            <w:shd w:fill="14253B"/>
          </w:tcPr>
          <w:p>
            <w:pPr>
              <w:spacing w:after="40" w:before="20" w:line="252" w:lineRule="auto"/>
            </w:pPr>
            <w:r/>
            <w:r>
              <w:rPr>
                <w:rFonts w:ascii="Aptos" w:hAnsi="Aptos"/>
                <w:b/>
                <w:color w:val="FFFFFF"/>
                <w:sz w:val="16"/>
              </w:rPr>
              <w:t>Revised WI Text</w:t>
            </w:r>
          </w:p>
        </w:tc>
        <w:tc>
          <w:tcPr>
            <w:tcW w:type="dxa" w:w="2736"/>
            <w:vAlign w:val="top"/>
            <w:shd w:fill="14253B"/>
          </w:tcPr>
          <w:p>
            <w:pPr>
              <w:spacing w:after="40" w:before="20" w:line="252" w:lineRule="auto"/>
            </w:pPr>
            <w:r/>
            <w:r>
              <w:rPr>
                <w:rFonts w:ascii="Aptos" w:hAnsi="Aptos"/>
                <w:b/>
                <w:color w:val="FFFFFF"/>
                <w:sz w:val="16"/>
              </w:rPr>
              <w:t>Existing Inspection Text</w:t>
            </w:r>
          </w:p>
        </w:tc>
        <w:tc>
          <w:tcPr>
            <w:tcW w:type="dxa" w:w="3888"/>
            <w:vAlign w:val="top"/>
            <w:shd w:fill="14253B"/>
          </w:tcPr>
          <w:p>
            <w:pPr>
              <w:spacing w:after="40" w:before="20" w:line="252" w:lineRule="auto"/>
            </w:pPr>
            <w:r/>
            <w:r>
              <w:rPr>
                <w:rFonts w:ascii="Aptos" w:hAnsi="Aptos"/>
                <w:b/>
                <w:color w:val="FFFFFF"/>
                <w:sz w:val="16"/>
              </w:rPr>
              <w:t>Revised Inspection Text</w:t>
            </w:r>
          </w:p>
        </w:tc>
        <w:tc>
          <w:tcPr>
            <w:tcW w:type="dxa" w:w="2880"/>
            <w:vAlign w:val="top"/>
            <w:shd w:fill="14253B"/>
          </w:tcPr>
          <w:p>
            <w:pPr>
              <w:spacing w:after="40" w:before="20" w:line="252" w:lineRule="auto"/>
            </w:pPr>
            <w:r/>
            <w:r>
              <w:rPr>
                <w:rFonts w:ascii="Aptos" w:hAnsi="Aptos"/>
                <w:b/>
                <w:color w:val="FFFFFF"/>
                <w:sz w:val="16"/>
              </w:rPr>
              <w:t>Evidence (ISO Closure)</w:t>
            </w:r>
          </w:p>
        </w:tc>
      </w:tr>
      <w:tr>
        <w:trPr>
          <w:cantSplit/>
        </w:trPr>
        <w:tc>
          <w:tcPr>
            <w:tcW w:type="dxa" w:w="2664"/>
            <w:vAlign w:val="top"/>
          </w:tcPr>
          <w:p>
            <w:pPr>
              <w:spacing w:after="40" w:before="20" w:line="252" w:lineRule="auto"/>
            </w:pPr>
            <w:r/>
            <w:r>
              <w:rPr>
                <w:rFonts w:ascii="Aptos" w:hAnsi="Aptos"/>
                <w:b w:val="0"/>
                <w:color w:val="14253B"/>
                <w:sz w:val="16"/>
              </w:rPr>
              <w:t>GAP-001  [P1]</w:t>
              <w:br/>
              <w:t>Chemical-grade release criteria are not demonstrated. Comparing sodium bicarbonate results with a supplier COA alone does not establish compliance with the applicable pharmacopoeial monograph and its applicable general tests.</w:t>
            </w:r>
          </w:p>
        </w:tc>
        <w:tc>
          <w:tcPr>
            <w:tcW w:type="dxa" w:w="3240"/>
            <w:vAlign w:val="top"/>
          </w:tcPr>
          <w:p>
            <w:pPr>
              <w:spacing w:after="40" w:before="20" w:line="252" w:lineRule="auto"/>
            </w:pPr>
            <w:r/>
            <w:r>
              <w:rPr>
                <w:rFonts w:ascii="Aptos" w:hAnsi="Aptos"/>
                <w:b w:val="0"/>
                <w:color w:val="14253B"/>
                <w:sz w:val="16"/>
              </w:rPr>
              <w:t>ISO 4.1.6 (PDF p.9; printed p.3) requires conformity of chemicals to the applicable pharmacopoeia. ISO 5.2.7 (PDF p.14; printed p.8) identifies monograph methods as an acceptable verification route; ISO provides no product-specific monograph limits.</w:t>
            </w:r>
          </w:p>
        </w:tc>
        <w:tc>
          <w:tcPr>
            <w:tcW w:type="dxa" w:w="2664"/>
            <w:vAlign w:val="top"/>
          </w:tcPr>
          <w:p>
            <w:pPr>
              <w:spacing w:after="40" w:before="20" w:line="252" w:lineRule="auto"/>
            </w:pPr>
            <w:r/>
            <w:r>
              <w:rPr>
                <w:rFonts w:ascii="Aptos" w:hAnsi="Aptos"/>
                <w:b w:val="0"/>
                <w:color w:val="14253B"/>
                <w:sz w:val="16"/>
              </w:rPr>
              <w:t>WI p.1, §5.1: QC samples granules and compares laboratory results with supplier COA; WI p.2 lists appearance/grade versus purchase order. No applicable monograph, acceptance matrix, COA authentication or independent test rationale is defined.</w:t>
            </w:r>
          </w:p>
        </w:tc>
        <w:tc>
          <w:tcPr>
            <w:tcW w:type="dxa" w:w="4032"/>
            <w:vAlign w:val="top"/>
          </w:tcPr>
          <w:p>
            <w:pPr>
              <w:spacing w:after="40" w:before="20" w:line="252" w:lineRule="auto"/>
            </w:pPr>
            <w:r/>
            <w:r>
              <w:rPr>
                <w:rFonts w:ascii="Aptos" w:hAnsi="Aptos"/>
                <w:b w:val="0"/>
                <w:color w:val="14253B"/>
                <w:sz w:val="16"/>
              </w:rPr>
              <w:t>Proposed §5.1A - Material release: identify the approved sodium bicarbonate pharmacopoeial monograph and edition per supplier/material code. Confirm the supplier lot COA against all applicable approved monograph requirements; verify identity and relevant attributes using the QA-approved incoming test/qualified-supplier plan. Record acceptance limits, methods, results, deviations and the lot disposition. Do not release material with unverified conformity. OPEN TECHNICAL INPUT REQUIRED: monograph, tests and approved sampling plan.</w:t>
            </w:r>
          </w:p>
        </w:tc>
        <w:tc>
          <w:tcPr>
            <w:tcW w:type="dxa" w:w="2736"/>
            <w:vAlign w:val="top"/>
          </w:tcPr>
          <w:p>
            <w:pPr>
              <w:spacing w:after="40" w:before="20" w:line="252" w:lineRule="auto"/>
            </w:pPr>
            <w:r/>
            <w:r>
              <w:rPr>
                <w:rFonts w:ascii="Aptos" w:hAnsi="Aptos"/>
                <w:b w:val="0"/>
                <w:color w:val="14253B"/>
                <w:sz w:val="16"/>
              </w:rPr>
              <w:t>F-823-i14-2 p.1 rows 13 (lumps) and 1 (appearance); F-823-i14-5 p.1 rows 14-15 (powder colour/lumps). No incoming chemistry or raw-material release evidence is contained in these in-process forms.</w:t>
            </w:r>
          </w:p>
        </w:tc>
        <w:tc>
          <w:tcPr>
            <w:tcW w:type="dxa" w:w="3888"/>
            <w:vAlign w:val="top"/>
          </w:tcPr>
          <w:p>
            <w:pPr>
              <w:spacing w:after="40" w:before="20" w:line="252" w:lineRule="auto"/>
            </w:pPr>
            <w:r/>
            <w:r>
              <w:rPr>
                <w:rFonts w:ascii="Aptos" w:hAnsi="Aptos"/>
                <w:b w:val="0"/>
                <w:color w:val="14253B"/>
                <w:sz w:val="16"/>
              </w:rPr>
              <w:t>In-process link field: Material lot / incoming release report ID / chemistry or verified COA ID / QA disposition / validity. Retain visual powder checks already present. Do not duplicate pharmacopoeial assays on every in-process sheet unless approved control plan requires.</w:t>
            </w:r>
          </w:p>
        </w:tc>
        <w:tc>
          <w:tcPr>
            <w:tcW w:type="dxa" w:w="2880"/>
            <w:vAlign w:val="top"/>
          </w:tcPr>
          <w:p>
            <w:pPr>
              <w:spacing w:after="40" w:before="20" w:line="252" w:lineRule="auto"/>
            </w:pPr>
            <w:r/>
            <w:r>
              <w:rPr>
                <w:rFonts w:ascii="Aptos" w:hAnsi="Aptos"/>
                <w:b w:val="0"/>
                <w:color w:val="14253B"/>
                <w:sz w:val="16"/>
              </w:rPr>
              <w:t>Required: approved material specification, monograph matrix, qualified COA/actual analytical tests, incoming release record. Route: Incoming / Supplier. Actual evidence: not supplied. Closure: Open - Technical Input and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GAP-002  [P1]</w:t>
              <w:br/>
              <w:t>No controlled reconstitution and solute-concentration demonstration is connected to the dry powder product. Existing conductivity acceptance is not a substitute for a documented composition evaluation.</w:t>
            </w:r>
          </w:p>
        </w:tc>
        <w:tc>
          <w:tcPr>
            <w:tcW w:type="dxa" w:w="3240"/>
            <w:vAlign w:val="top"/>
            <w:shd w:fill="F1F5F8"/>
          </w:tcPr>
          <w:p>
            <w:pPr>
              <w:spacing w:after="40" w:before="20" w:line="252" w:lineRule="auto"/>
            </w:pPr>
            <w:r>
              <w:rPr>
                <w:color w:val="14253B"/>
              </w:rPr>
            </w:r>
            <w:r>
              <w:rPr>
                <w:rFonts w:ascii="Aptos" w:hAnsi="Aptos"/>
                <w:b w:val="0"/>
                <w:color w:val="14253B"/>
                <w:sz w:val="16"/>
              </w:rPr>
              <w:t>ISO 4.1.1.2 (PDF p.9; printed p.3) requires the final concentrate made from powder per manufacturer IFU to satisfy 4.1.1.1; ISO 5.2.2.2 and Table 1 (PDF p.13; printed p.7) describe powder reconstitution and analytical verification. ISO 4.1.1.1 (PDF p.8; printed p.2) sets constituent-specific solution tolerances subject to its stated exceptions.</w:t>
            </w:r>
          </w:p>
        </w:tc>
        <w:tc>
          <w:tcPr>
            <w:tcW w:type="dxa" w:w="2664"/>
            <w:vAlign w:val="top"/>
            <w:shd w:fill="F1F5F8"/>
          </w:tcPr>
          <w:p>
            <w:pPr>
              <w:spacing w:after="40" w:before="20" w:line="252" w:lineRule="auto"/>
            </w:pPr>
            <w:r>
              <w:rPr>
                <w:color w:val="14253B"/>
              </w:rPr>
            </w:r>
            <w:r>
              <w:rPr>
                <w:rFonts w:ascii="Aptos" w:hAnsi="Aptos"/>
                <w:b w:val="0"/>
                <w:color w:val="14253B"/>
                <w:sz w:val="16"/>
              </w:rPr>
              <w:t>WI p.6 §8.2 and later bag/leak acceptance paragraphs use 13.5-14 mS/cm, without specifying mixing ratio, sample preparation, temperature, analytical methods or approved product-specific composition limits.</w:t>
            </w:r>
          </w:p>
        </w:tc>
        <w:tc>
          <w:tcPr>
            <w:tcW w:type="dxa" w:w="4032"/>
            <w:vAlign w:val="top"/>
            <w:shd w:fill="F1F5F8"/>
          </w:tcPr>
          <w:p>
            <w:pPr>
              <w:spacing w:after="40" w:before="20" w:line="252" w:lineRule="auto"/>
            </w:pPr>
            <w:r>
              <w:rPr>
                <w:color w:val="14253B"/>
              </w:rPr>
            </w:r>
            <w:r>
              <w:rPr>
                <w:rFonts w:ascii="Aptos" w:hAnsi="Aptos"/>
                <w:b w:val="0"/>
                <w:color w:val="14253B"/>
                <w:sz w:val="16"/>
              </w:rPr>
              <w:t>Proposed §5.1B / §12.3 - For each approved powder configuration, establish an authorised IFU reconstitution procedure, water quality, machine/mixing conditions and concentration specification. Verify the applicable solutes of the final concentrate using methods supported by ISO 5.2.2 and a documented, approved type/periodic/risk-based verification plan. Conductivity may be an additional surrogate only where validated against concentration results; record conditions. OPEN TECHNICAL INPUT REQUIRED: approved formulation and limits.</w:t>
            </w:r>
          </w:p>
        </w:tc>
        <w:tc>
          <w:tcPr>
            <w:tcW w:type="dxa" w:w="2736"/>
            <w:vAlign w:val="top"/>
            <w:shd w:fill="F1F5F8"/>
          </w:tcPr>
          <w:p>
            <w:pPr>
              <w:spacing w:after="40" w:before="20" w:line="252" w:lineRule="auto"/>
            </w:pPr>
            <w:r>
              <w:rPr>
                <w:color w:val="14253B"/>
              </w:rPr>
            </w:r>
            <w:r>
              <w:rPr>
                <w:rFonts w:ascii="Aptos" w:hAnsi="Aptos"/>
                <w:b w:val="0"/>
                <w:color w:val="14253B"/>
                <w:sz w:val="16"/>
              </w:rPr>
              <w:t>F-823-i14-2 p.1 rows 1-22 and F-823-i14-5 pp.1-2 rows 1-24 do not include a solute assay/reconstitution evidence reference; they only monitor in-process characteristics.</w:t>
            </w:r>
          </w:p>
        </w:tc>
        <w:tc>
          <w:tcPr>
            <w:tcW w:type="dxa" w:w="3888"/>
            <w:vAlign w:val="top"/>
            <w:shd w:fill="F1F5F8"/>
          </w:tcPr>
          <w:p>
            <w:pPr>
              <w:spacing w:after="40" w:before="20" w:line="252" w:lineRule="auto"/>
            </w:pPr>
            <w:r>
              <w:rPr>
                <w:color w:val="14253B"/>
              </w:rPr>
            </w:r>
            <w:r>
              <w:rPr>
                <w:rFonts w:ascii="Aptos" w:hAnsi="Aptos"/>
                <w:b w:val="0"/>
                <w:color w:val="14253B"/>
                <w:sz w:val="16"/>
              </w:rPr>
              <w:t>No per-shift full-chemistry column. Add configuration / applicable approved concentration study ID / last valid qualification status to control-record header or linked verification register; direct lot testing only when the approved plan requires it.</w:t>
            </w:r>
          </w:p>
        </w:tc>
        <w:tc>
          <w:tcPr>
            <w:tcW w:type="dxa" w:w="2880"/>
            <w:vAlign w:val="top"/>
            <w:shd w:fill="F1F5F8"/>
          </w:tcPr>
          <w:p>
            <w:pPr>
              <w:spacing w:after="40" w:before="20" w:line="252" w:lineRule="auto"/>
            </w:pPr>
            <w:r>
              <w:rPr>
                <w:color w:val="14253B"/>
              </w:rPr>
            </w:r>
            <w:r>
              <w:rPr>
                <w:rFonts w:ascii="Aptos" w:hAnsi="Aptos"/>
                <w:b w:val="0"/>
                <w:color w:val="14253B"/>
                <w:sz w:val="16"/>
              </w:rPr>
              <w:t>Required: product composition specs, controlled IFU, analytical study/raw lab results, qualified methods and applicability matrix. Route: Qualification / Periodic / Laboratory. Actual evidence: not supplied. Closure: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GAP-003  [P1]</w:t>
              <w:br/>
              <w:t>The WI does not define microbiological assurance for packaged bicarbonate powder and the traceable validation/verification route for dialysis-fluid microbiological performance.</w:t>
            </w:r>
          </w:p>
        </w:tc>
        <w:tc>
          <w:tcPr>
            <w:tcW w:type="dxa" w:w="3240"/>
            <w:vAlign w:val="top"/>
          </w:tcPr>
          <w:p>
            <w:pPr>
              <w:spacing w:after="40" w:before="20" w:line="252" w:lineRule="auto"/>
            </w:pPr>
            <w:r/>
            <w:r>
              <w:rPr>
                <w:rFonts w:ascii="Aptos" w:hAnsi="Aptos"/>
                <w:b w:val="0"/>
                <w:color w:val="14253B"/>
                <w:sz w:val="16"/>
              </w:rPr>
              <w:t>ISO 4.1.3.2 (PDF p.9; printed p.3) requires bicarbonate powder intended to prepare concentrate to be capable of producing dialysis fluid meeting ISO 23500-5 microbiological requirements under the manufacturer IFU. ISO 5.2.4 (PDF pp.13-14; printed pp.7-8) describes applicable/validated microbial methods; calibrated loop is not permitted.</w:t>
            </w:r>
          </w:p>
        </w:tc>
        <w:tc>
          <w:tcPr>
            <w:tcW w:type="dxa" w:w="2664"/>
            <w:vAlign w:val="top"/>
          </w:tcPr>
          <w:p>
            <w:pPr>
              <w:spacing w:after="40" w:before="20" w:line="252" w:lineRule="auto"/>
            </w:pPr>
            <w:r/>
            <w:r>
              <w:rPr>
                <w:rFonts w:ascii="Aptos" w:hAnsi="Aptos"/>
                <w:b w:val="0"/>
                <w:color w:val="14253B"/>
                <w:sz w:val="16"/>
              </w:rPr>
              <w:t>WI pp.1-2 §§5.1/5.5 and pp.5-16 require clean/no visible contamination and good seals but do not establish performance evidence under use conditions.</w:t>
            </w:r>
          </w:p>
        </w:tc>
        <w:tc>
          <w:tcPr>
            <w:tcW w:type="dxa" w:w="4032"/>
            <w:vAlign w:val="top"/>
          </w:tcPr>
          <w:p>
            <w:pPr>
              <w:spacing w:after="40" w:before="20" w:line="252" w:lineRule="auto"/>
            </w:pPr>
            <w:r/>
            <w:r>
              <w:rPr>
                <w:rFonts w:ascii="Aptos" w:hAnsi="Aptos"/>
                <w:b w:val="0"/>
                <w:color w:val="14253B"/>
                <w:sz w:val="16"/>
              </w:rPr>
              <w:t>Proposed §12.4 - Establish and maintain an approved microbiological qualification and monitoring program for each applicable powder/packaging family under labelled use conditions. Specify ISO 23500-5-derived acceptance criteria, sampling, sample handling, validated culture method, verification frequency, review triggers and record retention in an approved control plan. Visible cleanliness is not microbiological clearance. OPEN TECHNICAL INPUT REQUIRED: method and controlled acceptance limits.</w:t>
            </w:r>
          </w:p>
        </w:tc>
        <w:tc>
          <w:tcPr>
            <w:tcW w:type="dxa" w:w="2736"/>
            <w:vAlign w:val="top"/>
          </w:tcPr>
          <w:p>
            <w:pPr>
              <w:spacing w:after="40" w:before="20" w:line="252" w:lineRule="auto"/>
            </w:pPr>
            <w:r/>
            <w:r>
              <w:rPr>
                <w:rFonts w:ascii="Aptos" w:hAnsi="Aptos"/>
                <w:b w:val="0"/>
                <w:color w:val="14253B"/>
                <w:sz w:val="16"/>
              </w:rPr>
              <w:t>F-823-i14-2 row 1 and F-823-i14-5 rows 14-15 monitor visual appearance only; no microbiological qualification reference fields.</w:t>
            </w:r>
          </w:p>
        </w:tc>
        <w:tc>
          <w:tcPr>
            <w:tcW w:type="dxa" w:w="3888"/>
            <w:vAlign w:val="top"/>
          </w:tcPr>
          <w:p>
            <w:pPr>
              <w:spacing w:after="40" w:before="20" w:line="252" w:lineRule="auto"/>
            </w:pPr>
            <w:r/>
            <w:r>
              <w:rPr>
                <w:rFonts w:ascii="Aptos" w:hAnsi="Aptos"/>
                <w:b w:val="0"/>
                <w:color w:val="14253B"/>
                <w:sz w:val="16"/>
              </w:rPr>
              <w:t>Record evidence link to valid microbial performance study/monitoring record (ID, revision, scope, status) in controlled verification register. Routine in-process records retain particulate/handling observations; only add microbiology samples if approved plan requires.</w:t>
            </w:r>
          </w:p>
        </w:tc>
        <w:tc>
          <w:tcPr>
            <w:tcW w:type="dxa" w:w="2880"/>
            <w:vAlign w:val="top"/>
          </w:tcPr>
          <w:p>
            <w:pPr>
              <w:spacing w:after="40" w:before="20" w:line="252" w:lineRule="auto"/>
            </w:pPr>
            <w:r/>
            <w:r>
              <w:rPr>
                <w:rFonts w:ascii="Aptos" w:hAnsi="Aptos"/>
                <w:b w:val="0"/>
                <w:color w:val="14253B"/>
                <w:sz w:val="16"/>
              </w:rPr>
              <w:t>Required: qualified microbial test reports, validation/justified methods, acceptance criteria, labelled-use evidence and change-control record. Route: Validation / Periodic. Evidence: none supplied. Closure: Open - Evidence and Technical Input.</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GAP-004  [P1]</w:t>
              <w:br/>
              <w:t>No demonstrated endotoxin-control and validated process evidence is linked to the bicarbonate powder configurations.</w:t>
            </w:r>
          </w:p>
        </w:tc>
        <w:tc>
          <w:tcPr>
            <w:tcW w:type="dxa" w:w="3240"/>
            <w:vAlign w:val="top"/>
            <w:shd w:fill="F1F5F8"/>
          </w:tcPr>
          <w:p>
            <w:pPr>
              <w:spacing w:after="40" w:before="20" w:line="252" w:lineRule="auto"/>
            </w:pPr>
            <w:r>
              <w:rPr>
                <w:color w:val="14253B"/>
              </w:rPr>
            </w:r>
            <w:r>
              <w:rPr>
                <w:rFonts w:ascii="Aptos" w:hAnsi="Aptos"/>
                <w:b w:val="0"/>
                <w:color w:val="14253B"/>
                <w:sz w:val="16"/>
              </w:rPr>
              <w:t>ISO 4.1.4 (PDF p.9; printed p.3) requires formulation and packaging by a process validated to make dialysis fluid meeting ISO 23500-5 endotoxin requirements (or applicable pharmacopoeia) when used as instructed; ISO 5.2.5 (PDF p.14; printed p.8) identifies LAL or comparable validated alternatives.</w:t>
            </w:r>
          </w:p>
        </w:tc>
        <w:tc>
          <w:tcPr>
            <w:tcW w:type="dxa" w:w="2664"/>
            <w:vAlign w:val="top"/>
            <w:shd w:fill="F1F5F8"/>
          </w:tcPr>
          <w:p>
            <w:pPr>
              <w:spacing w:after="40" w:before="20" w:line="252" w:lineRule="auto"/>
            </w:pPr>
            <w:r>
              <w:rPr>
                <w:color w:val="14253B"/>
              </w:rPr>
            </w:r>
            <w:r>
              <w:rPr>
                <w:rFonts w:ascii="Aptos" w:hAnsi="Aptos"/>
                <w:b w:val="0"/>
                <w:color w:val="14253B"/>
                <w:sz w:val="16"/>
              </w:rPr>
              <w:t>WI §§5, 8-11 discuss material appearance, sealing and leak tests without an endotoxin validation/assurance scheme.</w:t>
            </w:r>
          </w:p>
        </w:tc>
        <w:tc>
          <w:tcPr>
            <w:tcW w:type="dxa" w:w="4032"/>
            <w:vAlign w:val="top"/>
            <w:shd w:fill="F1F5F8"/>
          </w:tcPr>
          <w:p>
            <w:pPr>
              <w:spacing w:after="40" w:before="20" w:line="252" w:lineRule="auto"/>
            </w:pPr>
            <w:r>
              <w:rPr>
                <w:color w:val="14253B"/>
              </w:rPr>
            </w:r>
            <w:r>
              <w:rPr>
                <w:rFonts w:ascii="Aptos" w:hAnsi="Aptos"/>
                <w:b w:val="0"/>
                <w:color w:val="14253B"/>
                <w:sz w:val="16"/>
              </w:rPr>
              <w:t>Proposed §12.5 - Qualification of powder handling, filling, containers and labelled-use conditions shall demonstrate endotoxin performance under the approved specifications. Define validated method and applicable limit by approved ISO 23500-5/pharmacopoeia reference, scope, revalidation triggers and monitoring strategy. Lot-by-lot LAL is not assumed. OPEN TECHNICAL INPUT REQUIRED: limit, study design and scope.</w:t>
            </w:r>
          </w:p>
        </w:tc>
        <w:tc>
          <w:tcPr>
            <w:tcW w:type="dxa" w:w="2736"/>
            <w:vAlign w:val="top"/>
            <w:shd w:fill="F1F5F8"/>
          </w:tcPr>
          <w:p>
            <w:pPr>
              <w:spacing w:after="40" w:before="20" w:line="252" w:lineRule="auto"/>
            </w:pPr>
            <w:r>
              <w:rPr>
                <w:color w:val="14253B"/>
              </w:rPr>
            </w:r>
            <w:r>
              <w:rPr>
                <w:rFonts w:ascii="Aptos" w:hAnsi="Aptos"/>
                <w:b w:val="0"/>
                <w:color w:val="14253B"/>
                <w:sz w:val="16"/>
              </w:rPr>
              <w:t>None of F-823-i14-2, F-823-i14-5 or F-823-i15 contains endotoxin control qualification linkage; the forms are not evidence of endotoxin testing.</w:t>
            </w:r>
          </w:p>
        </w:tc>
        <w:tc>
          <w:tcPr>
            <w:tcW w:type="dxa" w:w="3888"/>
            <w:vAlign w:val="top"/>
            <w:shd w:fill="F1F5F8"/>
          </w:tcPr>
          <w:p>
            <w:pPr>
              <w:spacing w:after="40" w:before="20" w:line="252" w:lineRule="auto"/>
            </w:pPr>
            <w:r>
              <w:rPr>
                <w:color w:val="14253B"/>
              </w:rPr>
            </w:r>
            <w:r>
              <w:rPr>
                <w:rFonts w:ascii="Aptos" w:hAnsi="Aptos"/>
                <w:b w:val="0"/>
                <w:color w:val="14253B"/>
                <w:sz w:val="16"/>
              </w:rPr>
              <w:t>Evidence-reference field: endotoxin qualification / periodic verification ID; configuration/line applicability; QA approval/current status. Not an automatic hourly test.</w:t>
            </w:r>
          </w:p>
        </w:tc>
        <w:tc>
          <w:tcPr>
            <w:tcW w:type="dxa" w:w="2880"/>
            <w:vAlign w:val="top"/>
            <w:shd w:fill="F1F5F8"/>
          </w:tcPr>
          <w:p>
            <w:pPr>
              <w:spacing w:after="40" w:before="20" w:line="252" w:lineRule="auto"/>
            </w:pPr>
            <w:r>
              <w:rPr>
                <w:color w:val="14253B"/>
              </w:rPr>
            </w:r>
            <w:r>
              <w:rPr>
                <w:rFonts w:ascii="Aptos" w:hAnsi="Aptos"/>
                <w:b w:val="0"/>
                <w:color w:val="14253B"/>
                <w:sz w:val="16"/>
              </w:rPr>
              <w:t>Required: validated endotoxin study, related laboratory records and process qualification, change control. Route: Qualification / Risk-based periodic. Evidence not supplied. Closure: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GAP-005  [P1]</w:t>
              <w:br/>
              <w:t>Machine-specific function of the powder container and prevention of undissolved powder entering the dialysis-fluid stream are not established by the current visual fitting checks alone.</w:t>
            </w:r>
          </w:p>
        </w:tc>
        <w:tc>
          <w:tcPr>
            <w:tcW w:type="dxa" w:w="3240"/>
            <w:vAlign w:val="top"/>
          </w:tcPr>
          <w:p>
            <w:pPr>
              <w:spacing w:after="40" w:before="20" w:line="252" w:lineRule="auto"/>
            </w:pPr>
            <w:r/>
            <w:r>
              <w:rPr>
                <w:rFonts w:ascii="Aptos" w:hAnsi="Aptos"/>
                <w:b w:val="0"/>
                <w:color w:val="14253B"/>
                <w:sz w:val="16"/>
              </w:rPr>
              <w:t>ISO 4.1.11 (PDF p.10; printed p.4): concentrate-generator manufacturer ensures applicable powder requirements, functionality with specified dialysis machine and prevention of undissolved powder transfer. ISO 5.2.12 (PDF p.15; printed p.9) indicates review of design records, testing with the intended machine, and labels.</w:t>
            </w:r>
          </w:p>
        </w:tc>
        <w:tc>
          <w:tcPr>
            <w:tcW w:type="dxa" w:w="2664"/>
            <w:vAlign w:val="top"/>
          </w:tcPr>
          <w:p>
            <w:pPr>
              <w:spacing w:after="40" w:before="20" w:line="252" w:lineRule="auto"/>
            </w:pPr>
            <w:r/>
            <w:r>
              <w:rPr>
                <w:rFonts w:ascii="Aptos" w:hAnsi="Aptos"/>
                <w:b w:val="0"/>
                <w:color w:val="14253B"/>
                <w:sz w:val="16"/>
              </w:rPr>
              <w:t>WI pp.1,5,7-9: lists Gambro/Fresenius variants, inserts filters and checks fit; pp.10-16 describe 5008/4008 bag variants. No approved machine-by-SKU compatibility and powder-retention evidence is referenced.</w:t>
            </w:r>
          </w:p>
        </w:tc>
        <w:tc>
          <w:tcPr>
            <w:tcW w:type="dxa" w:w="4032"/>
            <w:vAlign w:val="top"/>
          </w:tcPr>
          <w:p>
            <w:pPr>
              <w:spacing w:after="40" w:before="20" w:line="252" w:lineRule="auto"/>
            </w:pPr>
            <w:r/>
            <w:r>
              <w:rPr>
                <w:rFonts w:ascii="Aptos" w:hAnsi="Aptos"/>
                <w:b w:val="0"/>
                <w:color w:val="14253B"/>
                <w:sz w:val="16"/>
              </w:rPr>
              <w:t>Proposed §12.6 - Maintain an approved compatibility matrix per SKU, machine model, filter design, flow path and applicable connection. Verify functional output, leakage/attachment, and absence of undissolved powder in the dialysis fluid under defined labelled-use conditions by qualified studies. Requalify after design, filter, material or machine change; preserve approval records. OPEN TECHNICAL INPUT REQUIRED: compatibility scope and methods.</w:t>
            </w:r>
          </w:p>
        </w:tc>
        <w:tc>
          <w:tcPr>
            <w:tcW w:type="dxa" w:w="2736"/>
            <w:vAlign w:val="top"/>
          </w:tcPr>
          <w:p>
            <w:pPr>
              <w:spacing w:after="40" w:before="20" w:line="252" w:lineRule="auto"/>
            </w:pPr>
            <w:r/>
            <w:r>
              <w:rPr>
                <w:rFonts w:ascii="Aptos" w:hAnsi="Aptos"/>
                <w:b w:val="0"/>
                <w:color w:val="14253B"/>
                <w:sz w:val="16"/>
              </w:rPr>
              <w:t>Gambro F-823-i14-2 row 2 checks filter fitting; Fresenius F-823-i14-5 p.2 row 22 checks machine fitting. Neither provides compatibility study or powder-retention reference.</w:t>
            </w:r>
          </w:p>
        </w:tc>
        <w:tc>
          <w:tcPr>
            <w:tcW w:type="dxa" w:w="3888"/>
            <w:vAlign w:val="top"/>
          </w:tcPr>
          <w:p>
            <w:pPr>
              <w:spacing w:after="40" w:before="20" w:line="252" w:lineRule="auto"/>
            </w:pPr>
            <w:r/>
            <w:r>
              <w:rPr>
                <w:rFonts w:ascii="Aptos" w:hAnsi="Aptos"/>
                <w:b w:val="0"/>
                <w:color w:val="14253B"/>
                <w:sz w:val="16"/>
              </w:rPr>
              <w:t>Keep filter placement and fit observations; add SKU / approved machine model / approved compatibility-study and powder-retention evidence IDs, scope check and deviation outcome. Functional tests remain qualification/periodic unless plan directs otherwise.</w:t>
            </w:r>
          </w:p>
        </w:tc>
        <w:tc>
          <w:tcPr>
            <w:tcW w:type="dxa" w:w="2880"/>
            <w:vAlign w:val="top"/>
          </w:tcPr>
          <w:p>
            <w:pPr>
              <w:spacing w:after="40" w:before="20" w:line="252" w:lineRule="auto"/>
            </w:pPr>
            <w:r/>
            <w:r>
              <w:rPr>
                <w:rFonts w:ascii="Aptos" w:hAnsi="Aptos"/>
                <w:b w:val="0"/>
                <w:color w:val="14253B"/>
                <w:sz w:val="16"/>
              </w:rPr>
              <w:t>Required: design dossier, intended-device functional study, powder-retention results, matrix and approval. Route: Qualification / Change control. Evidence not provided. Closure: Open - Technical Input and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GAP-006  [P1]</w:t>
              <w:br/>
              <w:t>Actual fill-weight decisions and applicability of listed ±10 g company tolerances are not anchored to a verified usage category or approved validated setpoints.</w:t>
            </w:r>
          </w:p>
        </w:tc>
        <w:tc>
          <w:tcPr>
            <w:tcW w:type="dxa" w:w="3240"/>
            <w:vAlign w:val="top"/>
            <w:shd w:fill="F1F5F8"/>
          </w:tcPr>
          <w:p>
            <w:pPr>
              <w:spacing w:after="40" w:before="20" w:line="252" w:lineRule="auto"/>
            </w:pPr>
            <w:r>
              <w:rPr>
                <w:color w:val="14253B"/>
              </w:rPr>
            </w:r>
            <w:r>
              <w:rPr>
                <w:rFonts w:ascii="Aptos" w:hAnsi="Aptos"/>
                <w:b w:val="0"/>
                <w:color w:val="14253B"/>
                <w:sz w:val="16"/>
              </w:rPr>
              <w:t>ISO 4.1.5 (PDF p.9; printed p.3) provides DIFFERENT rules for single-treatment batch systems (excess fill within 2%), bulk powder, concentrate generators (per intended performance) and other applications (at least 100% of stated amount). ISO 5.2.6 (PDF p.14; printed p.8) provides gravimetric/volumetric verification. Do not universally apply ±2%.</w:t>
            </w:r>
          </w:p>
        </w:tc>
        <w:tc>
          <w:tcPr>
            <w:tcW w:type="dxa" w:w="2664"/>
            <w:vAlign w:val="top"/>
            <w:shd w:fill="F1F5F8"/>
          </w:tcPr>
          <w:p>
            <w:pPr>
              <w:spacing w:after="40" w:before="20" w:line="252" w:lineRule="auto"/>
            </w:pPr>
            <w:r>
              <w:rPr>
                <w:color w:val="14253B"/>
              </w:rPr>
            </w:r>
            <w:r>
              <w:rPr>
                <w:rFonts w:ascii="Aptos" w:hAnsi="Aptos"/>
                <w:b w:val="0"/>
                <w:color w:val="14253B"/>
                <w:sz w:val="16"/>
              </w:rPr>
              <w:t>WI pp.5-6 §8 and pp.8-16 bag filling: required weight without product-specific net/gross method. Gambro form row 4: 650±10, 720±10, 750±10 g; Fresenius bag form row 16: 650±10,750±10,840±10,900±10 g.</w:t>
            </w:r>
          </w:p>
        </w:tc>
        <w:tc>
          <w:tcPr>
            <w:tcW w:type="dxa" w:w="4032"/>
            <w:vAlign w:val="top"/>
            <w:shd w:fill="F1F5F8"/>
          </w:tcPr>
          <w:p>
            <w:pPr>
              <w:spacing w:after="40" w:before="20" w:line="252" w:lineRule="auto"/>
            </w:pPr>
            <w:r>
              <w:rPr>
                <w:color w:val="14253B"/>
              </w:rPr>
            </w:r>
            <w:r>
              <w:rPr>
                <w:rFonts w:ascii="Aptos" w:hAnsi="Aptos"/>
                <w:b w:val="0"/>
                <w:color w:val="14253B"/>
                <w:sz w:val="16"/>
              </w:rPr>
              <w:t>Proposed §8.1A / §10A - Before line setup, choose authorised configuration, intended-use class and fill specification; measure net powder mass with calibrated balance using controlled tare and sample identification. Apply only the approved SKU-specific minimum/maximum values supported by ISO 4.1.5 functional or category assessment. Record numerical mass, units, balance ID, sample/time, decision and action on failure. OPEN TECHNICAL INPUT REQUIRED: qualified tolerance matrix.</w:t>
            </w:r>
          </w:p>
        </w:tc>
        <w:tc>
          <w:tcPr>
            <w:tcW w:type="dxa" w:w="2736"/>
            <w:vAlign w:val="top"/>
            <w:shd w:fill="F1F5F8"/>
          </w:tcPr>
          <w:p>
            <w:pPr>
              <w:spacing w:after="40" w:before="20" w:line="252" w:lineRule="auto"/>
            </w:pPr>
            <w:r>
              <w:rPr>
                <w:color w:val="14253B"/>
              </w:rPr>
            </w:r>
            <w:r>
              <w:rPr>
                <w:rFonts w:ascii="Aptos" w:hAnsi="Aptos"/>
                <w:b w:val="0"/>
                <w:color w:val="14253B"/>
                <w:sz w:val="16"/>
              </w:rPr>
              <w:t>F-823-i14-2 p.1 row 4 records fill-time with ±10 g claims but no numerical actual mass field; F-823-i14-5 p.1 row 16 states nominal ±10 g but lacks actual mass fields.</w:t>
            </w:r>
          </w:p>
        </w:tc>
        <w:tc>
          <w:tcPr>
            <w:tcW w:type="dxa" w:w="3888"/>
            <w:vAlign w:val="top"/>
            <w:shd w:fill="F1F5F8"/>
          </w:tcPr>
          <w:p>
            <w:pPr>
              <w:spacing w:after="40" w:before="20" w:line="252" w:lineRule="auto"/>
            </w:pPr>
            <w:r>
              <w:rPr>
                <w:color w:val="14253B"/>
              </w:rPr>
            </w:r>
            <w:r>
              <w:rPr>
                <w:rFonts w:ascii="Aptos" w:hAnsi="Aptos"/>
                <w:b w:val="0"/>
                <w:color w:val="14253B"/>
                <w:sz w:val="16"/>
              </w:rPr>
              <w:t>New row: Net Fill Mass (g); SKU, nominal value, approved lower-upper limits, method/tare, calibrated balance ID, sample IDs, actual g, P/F, corrective action. Keep existing source nominal variants clearly tagged provisional pending QA review.</w:t>
            </w:r>
          </w:p>
        </w:tc>
        <w:tc>
          <w:tcPr>
            <w:tcW w:type="dxa" w:w="2880"/>
            <w:vAlign w:val="top"/>
            <w:shd w:fill="F1F5F8"/>
          </w:tcPr>
          <w:p>
            <w:pPr>
              <w:spacing w:after="40" w:before="20" w:line="252" w:lineRule="auto"/>
            </w:pPr>
            <w:r>
              <w:rPr>
                <w:color w:val="14253B"/>
              </w:rPr>
            </w:r>
            <w:r>
              <w:rPr>
                <w:rFonts w:ascii="Aptos" w:hAnsi="Aptos"/>
                <w:b w:val="0"/>
                <w:color w:val="14253B"/>
                <w:sz w:val="16"/>
              </w:rPr>
              <w:t>Required: qualified fill tolerances by application, calibration, approved setup specs and executed mass records. Route: In-process + Qualification. No approved matrix or completed records supplied. Closure: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GAP-007  [P1]</w:t>
              <w:br/>
              <w:t>Visual seal/leak appearance and manual immersion test do not alone substantiate chemical/physical compatibility of the powder packaging and closure through claimed shelf life.</w:t>
            </w:r>
          </w:p>
        </w:tc>
        <w:tc>
          <w:tcPr>
            <w:tcW w:type="dxa" w:w="3240"/>
            <w:vAlign w:val="top"/>
          </w:tcPr>
          <w:p>
            <w:pPr>
              <w:spacing w:after="40" w:before="20" w:line="252" w:lineRule="auto"/>
            </w:pPr>
            <w:r/>
            <w:r>
              <w:rPr>
                <w:rFonts w:ascii="Aptos" w:hAnsi="Aptos"/>
                <w:b w:val="0"/>
                <w:color w:val="14253B"/>
                <w:sz w:val="16"/>
              </w:rPr>
              <w:t>ISO 4.1.9 (PDF p.10; printed p.4) requires closures to prevent contamination/content loss and packaging to avoid adversely changing quality during handling, storage and shipment. ISO 5.2.10 (PDF p.15; printed p.9) describes visual inspection and risk-based biocompatibility assessment.</w:t>
            </w:r>
          </w:p>
        </w:tc>
        <w:tc>
          <w:tcPr>
            <w:tcW w:type="dxa" w:w="2664"/>
            <w:vAlign w:val="top"/>
          </w:tcPr>
          <w:p>
            <w:pPr>
              <w:spacing w:after="40" w:before="20" w:line="252" w:lineRule="auto"/>
            </w:pPr>
            <w:r/>
            <w:r>
              <w:rPr>
                <w:rFonts w:ascii="Aptos" w:hAnsi="Aptos"/>
                <w:b w:val="0"/>
                <w:color w:val="14253B"/>
                <w:sz w:val="16"/>
              </w:rPr>
              <w:t>WI pp.5-6 §§8.1-8.2 and pp.10-16 bag sealing/leak sections specify welds and bubble observations; no referenced compatible-material qualification, storage or transport claim evidence.</w:t>
            </w:r>
          </w:p>
        </w:tc>
        <w:tc>
          <w:tcPr>
            <w:tcW w:type="dxa" w:w="4032"/>
            <w:vAlign w:val="top"/>
          </w:tcPr>
          <w:p>
            <w:pPr>
              <w:spacing w:after="40" w:before="20" w:line="252" w:lineRule="auto"/>
            </w:pPr>
            <w:r/>
            <w:r>
              <w:rPr>
                <w:rFonts w:ascii="Aptos" w:hAnsi="Aptos"/>
                <w:b w:val="0"/>
                <w:color w:val="14253B"/>
                <w:sz w:val="16"/>
              </w:rPr>
              <w:t>Proposed §12.7 - Approved packaging configuration shall be qualified for material/content interaction, closure integrity, transport/storage conditions and shelf-life where applicable. Define acceptance limits and validated/justified protocols from risk management and approved product specifications. Verify ongoing seals and leaks in process as existing instructions specify, with lot trace to qualified design; hold unqualified changes.</w:t>
            </w:r>
          </w:p>
        </w:tc>
        <w:tc>
          <w:tcPr>
            <w:tcW w:type="dxa" w:w="2736"/>
            <w:vAlign w:val="top"/>
          </w:tcPr>
          <w:p>
            <w:pPr>
              <w:spacing w:after="40" w:before="20" w:line="252" w:lineRule="auto"/>
            </w:pPr>
            <w:r/>
            <w:r>
              <w:rPr>
                <w:rFonts w:ascii="Aptos" w:hAnsi="Aptos"/>
                <w:b w:val="0"/>
                <w:color w:val="14253B"/>
                <w:sz w:val="16"/>
              </w:rPr>
              <w:t>F-823-i14-2 p.1 rows 14-17 and F-823-i14-5 pp.1-2 rows 3-4,17-21 test or observe seals but do not identify material/shelf-life qualification.</w:t>
            </w:r>
          </w:p>
        </w:tc>
        <w:tc>
          <w:tcPr>
            <w:tcW w:type="dxa" w:w="3888"/>
            <w:vAlign w:val="top"/>
          </w:tcPr>
          <w:p>
            <w:pPr>
              <w:spacing w:after="40" w:before="20" w:line="252" w:lineRule="auto"/>
            </w:pPr>
            <w:r/>
            <w:r>
              <w:rPr>
                <w:rFonts w:ascii="Aptos" w:hAnsi="Aptos"/>
                <w:b w:val="0"/>
                <w:color w:val="14253B"/>
                <w:sz w:val="16"/>
              </w:rPr>
              <w:t>Retain routine sealing/leak entries and add packaging material code/revision, sealing specification, qualification or shelf-life evidence ID, instrument and sample trace; escalation on change.</w:t>
            </w:r>
          </w:p>
        </w:tc>
        <w:tc>
          <w:tcPr>
            <w:tcW w:type="dxa" w:w="2880"/>
            <w:vAlign w:val="top"/>
          </w:tcPr>
          <w:p>
            <w:pPr>
              <w:spacing w:after="40" w:before="20" w:line="252" w:lineRule="auto"/>
            </w:pPr>
            <w:r/>
            <w:r>
              <w:rPr>
                <w:rFonts w:ascii="Aptos" w:hAnsi="Aptos"/>
                <w:b w:val="0"/>
                <w:color w:val="14253B"/>
                <w:sz w:val="16"/>
              </w:rPr>
              <w:t>Required: materials compatibility/biocompatibility rationale, closure integrity/transport/shelf-life study where applicable and executed seal results. Route: Qualification + In-process. Evidence absent. Closure: Open -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GAP-008  [P2]</w:t>
              <w:br/>
              <w:t>Product-contact manufacturing equipment material compatibility is not traceable; visual housekeeping and setpoint checks alone are insufficient to demonstrate non-interaction.</w:t>
            </w:r>
          </w:p>
        </w:tc>
        <w:tc>
          <w:tcPr>
            <w:tcW w:type="dxa" w:w="3240"/>
            <w:vAlign w:val="top"/>
            <w:shd w:fill="F1F5F8"/>
          </w:tcPr>
          <w:p>
            <w:pPr>
              <w:spacing w:after="40" w:before="20" w:line="252" w:lineRule="auto"/>
            </w:pPr>
            <w:r>
              <w:rPr>
                <w:color w:val="14253B"/>
              </w:rPr>
            </w:r>
            <w:r>
              <w:rPr>
                <w:rFonts w:ascii="Aptos" w:hAnsi="Aptos"/>
                <w:b w:val="0"/>
                <w:color w:val="14253B"/>
                <w:sz w:val="16"/>
              </w:rPr>
              <w:t>ISO 4.2 (PDF p.10; printed p.4) requires components contacting concentrate/ingredients not to significantly affect strength, purity or quality; it names metals such as copper, brass, zinc, galvanised materials and aluminium as examples to avoid. ISO 5.3 (PDF p.15; printed p.9) addresses equipment verification.</w:t>
            </w:r>
          </w:p>
        </w:tc>
        <w:tc>
          <w:tcPr>
            <w:tcW w:type="dxa" w:w="2664"/>
            <w:vAlign w:val="top"/>
            <w:shd w:fill="F1F5F8"/>
          </w:tcPr>
          <w:p>
            <w:pPr>
              <w:spacing w:after="40" w:before="20" w:line="252" w:lineRule="auto"/>
            </w:pPr>
            <w:r>
              <w:rPr>
                <w:color w:val="14253B"/>
              </w:rPr>
            </w:r>
            <w:r>
              <w:rPr>
                <w:rFonts w:ascii="Aptos" w:hAnsi="Aptos"/>
                <w:b w:val="0"/>
                <w:color w:val="14253B"/>
                <w:sz w:val="16"/>
              </w:rPr>
              <w:t>WI p.1 receiving through p.16 filling requires cleanliness and maintenance checks but lacks an approved contact-surface/material assessment linked to each production line.</w:t>
            </w:r>
          </w:p>
        </w:tc>
        <w:tc>
          <w:tcPr>
            <w:tcW w:type="dxa" w:w="4032"/>
            <w:vAlign w:val="top"/>
            <w:shd w:fill="F1F5F8"/>
          </w:tcPr>
          <w:p>
            <w:pPr>
              <w:spacing w:after="40" w:before="20" w:line="252" w:lineRule="auto"/>
            </w:pPr>
            <w:r>
              <w:rPr>
                <w:color w:val="14253B"/>
              </w:rPr>
            </w:r>
            <w:r>
              <w:rPr>
                <w:rFonts w:ascii="Aptos" w:hAnsi="Aptos"/>
                <w:b w:val="0"/>
                <w:color w:val="14253B"/>
                <w:sz w:val="16"/>
              </w:rPr>
              <w:t>Proposed §6.0A - List and approve product-contact surfaces for granules, hoppers, filling, tubing/adaptors and tools. Check relevant materials and cleaning controls against approved material-compatibility risk assessment before first production and after controlled changes; record equipment ID and approved line clearance. Do not claim that any listed material is present without verification.</w:t>
            </w:r>
          </w:p>
        </w:tc>
        <w:tc>
          <w:tcPr>
            <w:tcW w:type="dxa" w:w="2736"/>
            <w:vAlign w:val="top"/>
            <w:shd w:fill="F1F5F8"/>
          </w:tcPr>
          <w:p>
            <w:pPr>
              <w:spacing w:after="40" w:before="20" w:line="252" w:lineRule="auto"/>
            </w:pPr>
            <w:r>
              <w:rPr>
                <w:color w:val="14253B"/>
              </w:rPr>
            </w:r>
            <w:r>
              <w:rPr>
                <w:rFonts w:ascii="Aptos" w:hAnsi="Aptos"/>
                <w:b w:val="0"/>
                <w:color w:val="14253B"/>
                <w:sz w:val="16"/>
              </w:rPr>
              <w:t>F-823-i14-2 and F-823-i14-5 identify instruments in heading but not product-contact equipment assessment; F-823-i15 lists machine ID without approved-contact BOM reference.</w:t>
            </w:r>
          </w:p>
        </w:tc>
        <w:tc>
          <w:tcPr>
            <w:tcW w:type="dxa" w:w="3888"/>
            <w:vAlign w:val="top"/>
            <w:shd w:fill="F1F5F8"/>
          </w:tcPr>
          <w:p>
            <w:pPr>
              <w:spacing w:after="40" w:before="20" w:line="252" w:lineRule="auto"/>
            </w:pPr>
            <w:r>
              <w:rPr>
                <w:color w:val="14253B"/>
              </w:rPr>
            </w:r>
            <w:r>
              <w:rPr>
                <w:rFonts w:ascii="Aptos" w:hAnsi="Aptos"/>
                <w:b w:val="0"/>
                <w:color w:val="14253B"/>
                <w:sz w:val="16"/>
              </w:rPr>
              <w:t>Add equipment/machine ID, line clearance verification ID, contact-surface assessment reference and cleaning status; no chemical compatibility test required per shift if qualified record valid.</w:t>
            </w:r>
          </w:p>
        </w:tc>
        <w:tc>
          <w:tcPr>
            <w:tcW w:type="dxa" w:w="2880"/>
            <w:vAlign w:val="top"/>
            <w:shd w:fill="F1F5F8"/>
          </w:tcPr>
          <w:p>
            <w:pPr>
              <w:spacing w:after="40" w:before="20" w:line="252" w:lineRule="auto"/>
            </w:pPr>
            <w:r>
              <w:rPr>
                <w:color w:val="14253B"/>
              </w:rPr>
            </w:r>
            <w:r>
              <w:rPr>
                <w:rFonts w:ascii="Aptos" w:hAnsi="Aptos"/>
                <w:b w:val="0"/>
                <w:color w:val="14253B"/>
                <w:sz w:val="16"/>
              </w:rPr>
              <w:t>Required: equipment BOM/contact-material declarations, risk assessment, cleaning qualification and change records. Route: Qualification / Line clearance. Not supplied. Closure: Open - Evidence.</w:t>
            </w:r>
          </w:p>
        </w:tc>
      </w:tr>
      <w:tr>
        <w:trPr>
          <w:cantSplit/>
        </w:trPr>
        <w:tc>
          <w:tcPr>
            <w:tcW w:type="dxa" w:w="2664"/>
            <w:vAlign w:val="top"/>
          </w:tcPr>
          <w:p>
            <w:pPr>
              <w:spacing w:after="40" w:before="20" w:line="252" w:lineRule="auto"/>
            </w:pPr>
            <w:r/>
            <w:r>
              <w:rPr>
                <w:rFonts w:ascii="Aptos" w:hAnsi="Aptos"/>
                <w:b w:val="0"/>
                <w:color w:val="14253B"/>
                <w:sz w:val="16"/>
              </w:rPr>
              <w:t>GAP-009  [P1]</w:t>
              <w:br/>
              <w:t>In-process labels are checked largely for print/UDI but no complete controlled checklist verifies applicable general concentrate labelling information or package-insert linkage.</w:t>
            </w:r>
          </w:p>
        </w:tc>
        <w:tc>
          <w:tcPr>
            <w:tcW w:type="dxa" w:w="3240"/>
            <w:vAlign w:val="top"/>
          </w:tcPr>
          <w:p>
            <w:pPr>
              <w:spacing w:after="40" w:before="20" w:line="252" w:lineRule="auto"/>
            </w:pPr>
            <w:r/>
            <w:r>
              <w:rPr>
                <w:rFonts w:ascii="Aptos" w:hAnsi="Aptos"/>
                <w:b w:val="0"/>
                <w:color w:val="14253B"/>
                <w:sz w:val="16"/>
              </w:rPr>
              <w:t>ISO 6.1 (PDF p.16; printed p.10) defines labelling broadly. ISO 6.2(a)-(q) (PDF p.17; printed p.11) specifies manufacturer details, lot, composition, expiry/date, preparation information, compatibility, handling, water, bacterial/overmix warnings and applicable other information. Actual label/IFU content not supplied.</w:t>
            </w:r>
          </w:p>
        </w:tc>
        <w:tc>
          <w:tcPr>
            <w:tcW w:type="dxa" w:w="2664"/>
            <w:vAlign w:val="top"/>
          </w:tcPr>
          <w:p>
            <w:pPr>
              <w:spacing w:after="40" w:before="20" w:line="252" w:lineRule="auto"/>
            </w:pPr>
            <w:r/>
            <w:r>
              <w:rPr>
                <w:rFonts w:ascii="Aptos" w:hAnsi="Aptos"/>
                <w:b w:val="0"/>
                <w:color w:val="14253B"/>
                <w:sz w:val="16"/>
              </w:rPr>
              <w:t>WI p.6 §8.3 and later label sections: product reference, lot, dates, UDI QR and comparison with approved labels; no ISO 6.2 content reconciliation record.</w:t>
            </w:r>
          </w:p>
        </w:tc>
        <w:tc>
          <w:tcPr>
            <w:tcW w:type="dxa" w:w="4032"/>
            <w:vAlign w:val="top"/>
          </w:tcPr>
          <w:p>
            <w:pPr>
              <w:spacing w:after="40" w:before="20" w:line="252" w:lineRule="auto"/>
            </w:pPr>
            <w:r/>
            <w:r>
              <w:rPr>
                <w:rFonts w:ascii="Aptos" w:hAnsi="Aptos"/>
                <w:b w:val="0"/>
                <w:color w:val="14253B"/>
                <w:sz w:val="16"/>
              </w:rPr>
              <w:t>Proposed §13.1 - Before approval of each label/IFU master, QA shall approve an ISO 6.2 item-by-item applicability matrix and verify the actual unit label, outer carton and inserts collectively provide required user information; record controlled artwork/IFU revisions. Routine in-process inspection shall verify the correct approved revision, variable data, legibility, scannability and packaging match. OPEN TECHNICAL INPUT REQUIRED: approved artwork/IFUs.</w:t>
            </w:r>
          </w:p>
        </w:tc>
        <w:tc>
          <w:tcPr>
            <w:tcW w:type="dxa" w:w="2736"/>
            <w:vAlign w:val="top"/>
          </w:tcPr>
          <w:p>
            <w:pPr>
              <w:spacing w:after="40" w:before="20" w:line="252" w:lineRule="auto"/>
            </w:pPr>
            <w:r/>
            <w:r>
              <w:rPr>
                <w:rFonts w:ascii="Aptos" w:hAnsi="Aptos"/>
                <w:b w:val="0"/>
                <w:color w:val="14253B"/>
                <w:sz w:val="16"/>
              </w:rPr>
              <w:t>F-823-i14-2 p.1 rows 20/22 and F-823-i14-5 p.2 rows 23/24 check label clarity and UDI; not evidence of full 6.2 content audit.</w:t>
            </w:r>
          </w:p>
        </w:tc>
        <w:tc>
          <w:tcPr>
            <w:tcW w:type="dxa" w:w="3888"/>
            <w:vAlign w:val="top"/>
          </w:tcPr>
          <w:p>
            <w:pPr>
              <w:spacing w:after="40" w:before="20" w:line="252" w:lineRule="auto"/>
            </w:pPr>
            <w:r/>
            <w:r>
              <w:rPr>
                <w:rFonts w:ascii="Aptos" w:hAnsi="Aptos"/>
                <w:b w:val="0"/>
                <w:color w:val="14253B"/>
                <w:sz w:val="16"/>
              </w:rPr>
              <w:t>Add Label SKU / master artwork rev / IFU or insert rev / approved ISO 6.2 checklist ID / variable fields / QR scan actual &amp; status / match carton / disposition.</w:t>
            </w:r>
          </w:p>
        </w:tc>
        <w:tc>
          <w:tcPr>
            <w:tcW w:type="dxa" w:w="2880"/>
            <w:vAlign w:val="top"/>
          </w:tcPr>
          <w:p>
            <w:pPr>
              <w:spacing w:after="40" w:before="20" w:line="252" w:lineRule="auto"/>
            </w:pPr>
            <w:r/>
            <w:r>
              <w:rPr>
                <w:rFonts w:ascii="Aptos" w:hAnsi="Aptos"/>
                <w:b w:val="0"/>
                <w:color w:val="14253B"/>
                <w:sz w:val="16"/>
              </w:rPr>
              <w:t>Required: physical or controlled artwork/IFU, completed ISO label matrix, approved changes and in-process sample label check. Route: Document qualification + In-process. Not supplied. Closure: Open - Technical Input and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GAP-010  [P1]</w:t>
              <w:br/>
              <w:t>Dry powder-specific labelling and reconstitution/handling information cannot be verified from the WI or the attached in-process forms.</w:t>
            </w:r>
          </w:p>
        </w:tc>
        <w:tc>
          <w:tcPr>
            <w:tcW w:type="dxa" w:w="3240"/>
            <w:vAlign w:val="top"/>
            <w:shd w:fill="F1F5F8"/>
          </w:tcPr>
          <w:p>
            <w:pPr>
              <w:spacing w:after="40" w:before="20" w:line="252" w:lineRule="auto"/>
            </w:pPr>
            <w:r>
              <w:rPr>
                <w:color w:val="14253B"/>
              </w:rPr>
            </w:r>
            <w:r>
              <w:rPr>
                <w:rFonts w:ascii="Aptos" w:hAnsi="Aptos"/>
                <w:b w:val="0"/>
                <w:color w:val="14253B"/>
                <w:sz w:val="16"/>
              </w:rPr>
              <w:t>ISO 6.4(a)-(f) (PDF pp.18-19; printed pp.12-13): controlled powder instructions for storage, microbiological concerns, mixing precautions, water quality, before/after dissolution life, mixing ratios/water quantity and equipment where applicable; explicit powder requirements must be reflected in labelling.</w:t>
            </w:r>
          </w:p>
        </w:tc>
        <w:tc>
          <w:tcPr>
            <w:tcW w:type="dxa" w:w="2664"/>
            <w:vAlign w:val="top"/>
            <w:shd w:fill="F1F5F8"/>
          </w:tcPr>
          <w:p>
            <w:pPr>
              <w:spacing w:after="40" w:before="20" w:line="252" w:lineRule="auto"/>
            </w:pPr>
            <w:r>
              <w:rPr>
                <w:color w:val="14253B"/>
              </w:rPr>
            </w:r>
            <w:r>
              <w:rPr>
                <w:rFonts w:ascii="Aptos" w:hAnsi="Aptos"/>
                <w:b w:val="0"/>
                <w:color w:val="14253B"/>
                <w:sz w:val="16"/>
              </w:rPr>
              <w:t>WI label sections only refer to printed identifiers/UDI and approved labels; no controlled powder-use instructions or proof of required caution statements are provided.</w:t>
            </w:r>
          </w:p>
        </w:tc>
        <w:tc>
          <w:tcPr>
            <w:tcW w:type="dxa" w:w="4032"/>
            <w:vAlign w:val="top"/>
            <w:shd w:fill="F1F5F8"/>
          </w:tcPr>
          <w:p>
            <w:pPr>
              <w:spacing w:after="40" w:before="20" w:line="252" w:lineRule="auto"/>
            </w:pPr>
            <w:r>
              <w:rPr>
                <w:color w:val="14253B"/>
              </w:rPr>
            </w:r>
            <w:r>
              <w:rPr>
                <w:rFonts w:ascii="Aptos" w:hAnsi="Aptos"/>
                <w:b w:val="0"/>
                <w:color w:val="14253B"/>
                <w:sz w:val="16"/>
              </w:rPr>
              <w:t>Proposed §13.2 - Maintain QA-approved IFU/label by SKU addressing the applicable ISO 6.4 powder requirements, including machine-automated mixing instructions when appropriate, validated mixing/water and storage instructions, microbiological warning, time limit following dissolution, and applicable checks of resulting dialysis fluid. For automated devices, document adaptations rather than adding inapplicable manual mixing directions. OPEN TECHNICAL INPUT REQUIRED: IFU values and studies.</w:t>
            </w:r>
          </w:p>
        </w:tc>
        <w:tc>
          <w:tcPr>
            <w:tcW w:type="dxa" w:w="2736"/>
            <w:vAlign w:val="top"/>
            <w:shd w:fill="F1F5F8"/>
          </w:tcPr>
          <w:p>
            <w:pPr>
              <w:spacing w:after="40" w:before="20" w:line="252" w:lineRule="auto"/>
            </w:pPr>
            <w:r>
              <w:rPr>
                <w:color w:val="14253B"/>
              </w:rPr>
            </w:r>
            <w:r>
              <w:rPr>
                <w:rFonts w:ascii="Aptos" w:hAnsi="Aptos"/>
                <w:b w:val="0"/>
                <w:color w:val="14253B"/>
                <w:sz w:val="16"/>
              </w:rPr>
              <w:t>No 6.4 compliance checklist or IFU revision in attached F-823-i14-2 / F-823-i14-5.</w:t>
            </w:r>
          </w:p>
        </w:tc>
        <w:tc>
          <w:tcPr>
            <w:tcW w:type="dxa" w:w="3888"/>
            <w:vAlign w:val="top"/>
            <w:shd w:fill="F1F5F8"/>
          </w:tcPr>
          <w:p>
            <w:pPr>
              <w:spacing w:after="40" w:before="20" w:line="252" w:lineRule="auto"/>
            </w:pPr>
            <w:r>
              <w:rPr>
                <w:color w:val="14253B"/>
              </w:rPr>
            </w:r>
            <w:r>
              <w:rPr>
                <w:rFonts w:ascii="Aptos" w:hAnsi="Aptos"/>
                <w:b w:val="0"/>
                <w:color w:val="14253B"/>
                <w:sz w:val="16"/>
              </w:rPr>
              <w:t>Add evidence link: ISO 6.4 IFU/label checklist ID and artwork rev for the recorded SKU; do not request mixing demonstration on every production hour.</w:t>
            </w:r>
          </w:p>
        </w:tc>
        <w:tc>
          <w:tcPr>
            <w:tcW w:type="dxa" w:w="2880"/>
            <w:vAlign w:val="top"/>
            <w:shd w:fill="F1F5F8"/>
          </w:tcPr>
          <w:p>
            <w:pPr>
              <w:spacing w:after="40" w:before="20" w:line="252" w:lineRule="auto"/>
            </w:pPr>
            <w:r>
              <w:rPr>
                <w:color w:val="14253B"/>
              </w:rPr>
            </w:r>
            <w:r>
              <w:rPr>
                <w:rFonts w:ascii="Aptos" w:hAnsi="Aptos"/>
                <w:b w:val="0"/>
                <w:color w:val="14253B"/>
                <w:sz w:val="16"/>
              </w:rPr>
              <w:t>Required: approved IFU/powder artwork, storage/stability studies, use-condition evidence and label reconciliation. Route: Qualification / Controlled labelling. Evidence not provided. Closure: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GAP-011  [P1]</w:t>
              <w:br/>
              <w:t>Concentrate-generator-specific labelling performance and machine identification are not traceably reviewed for Gambro and applicable Fresenius variants.</w:t>
            </w:r>
          </w:p>
        </w:tc>
        <w:tc>
          <w:tcPr>
            <w:tcW w:type="dxa" w:w="3240"/>
            <w:vAlign w:val="top"/>
          </w:tcPr>
          <w:p>
            <w:pPr>
              <w:spacing w:after="40" w:before="20" w:line="252" w:lineRule="auto"/>
            </w:pPr>
            <w:r/>
            <w:r>
              <w:rPr>
                <w:rFonts w:ascii="Aptos" w:hAnsi="Aptos"/>
                <w:b w:val="0"/>
                <w:color w:val="14253B"/>
                <w:sz w:val="16"/>
              </w:rPr>
              <w:t>ISO 6.6(a)-(c) (PDF p.19; printed p.13) requires compatible machine or proportioning system, supported solution duration at specified flow or generated concentrate capacity, and additional essential use information for concentrate generators. Applicability follows approved intended-use classification.</w:t>
            </w:r>
          </w:p>
        </w:tc>
        <w:tc>
          <w:tcPr>
            <w:tcW w:type="dxa" w:w="2664"/>
            <w:vAlign w:val="top"/>
          </w:tcPr>
          <w:p>
            <w:pPr>
              <w:spacing w:after="40" w:before="20" w:line="252" w:lineRule="auto"/>
            </w:pPr>
            <w:r/>
            <w:r>
              <w:rPr>
                <w:rFonts w:ascii="Aptos" w:hAnsi="Aptos"/>
                <w:b w:val="0"/>
                <w:color w:val="14253B"/>
                <w:sz w:val="16"/>
              </w:rPr>
              <w:t>WI pp.1 and 7 identify machine families and label product reference but no operating duration/capacity or approved machine compatibility label requirements.</w:t>
            </w:r>
          </w:p>
        </w:tc>
        <w:tc>
          <w:tcPr>
            <w:tcW w:type="dxa" w:w="4032"/>
            <w:vAlign w:val="top"/>
          </w:tcPr>
          <w:p>
            <w:pPr>
              <w:spacing w:after="40" w:before="20" w:line="252" w:lineRule="auto"/>
            </w:pPr>
            <w:r/>
            <w:r>
              <w:rPr>
                <w:rFonts w:ascii="Aptos" w:hAnsi="Aptos"/>
                <w:b w:val="0"/>
                <w:color w:val="14253B"/>
                <w:sz w:val="16"/>
              </w:rPr>
              <w:t>Proposed §13.3 - For SKUs classified as concentrate generators, approved labelling shall identify the specific dialysis machine/proportioner compatibility and validated capacity/time/flow information (as appropriate), with any additional required precautions. Verify controlled artwork against functional qualification and link to manufacturing SKU. OPEN TECHNICAL INPUT REQUIRED: classification, validated capacity.</w:t>
            </w:r>
          </w:p>
        </w:tc>
        <w:tc>
          <w:tcPr>
            <w:tcW w:type="dxa" w:w="2736"/>
            <w:vAlign w:val="top"/>
          </w:tcPr>
          <w:p>
            <w:pPr>
              <w:spacing w:after="40" w:before="20" w:line="252" w:lineRule="auto"/>
            </w:pPr>
            <w:r/>
            <w:r>
              <w:rPr>
                <w:rFonts w:ascii="Aptos" w:hAnsi="Aptos"/>
                <w:b w:val="0"/>
                <w:color w:val="14253B"/>
                <w:sz w:val="16"/>
              </w:rPr>
              <w:t>Gambro F-823-i14-2 label row 20/22; Fresenius bag F-823-i14-5 row 23/24 only check UDI/print.</w:t>
            </w:r>
          </w:p>
        </w:tc>
        <w:tc>
          <w:tcPr>
            <w:tcW w:type="dxa" w:w="3888"/>
            <w:vAlign w:val="top"/>
          </w:tcPr>
          <w:p>
            <w:pPr>
              <w:spacing w:after="40" w:before="20" w:line="252" w:lineRule="auto"/>
            </w:pPr>
            <w:r/>
            <w:r>
              <w:rPr>
                <w:rFonts w:ascii="Aptos" w:hAnsi="Aptos"/>
                <w:b w:val="0"/>
                <w:color w:val="14253B"/>
                <w:sz w:val="16"/>
              </w:rPr>
              <w:t>Add conditional ISO 6.6 checklist and qualified machine compatibility/capacity study ID; routine record checks correct artwork and SKU only.</w:t>
            </w:r>
          </w:p>
        </w:tc>
        <w:tc>
          <w:tcPr>
            <w:tcW w:type="dxa" w:w="2880"/>
            <w:vAlign w:val="top"/>
          </w:tcPr>
          <w:p>
            <w:pPr>
              <w:spacing w:after="40" w:before="20" w:line="252" w:lineRule="auto"/>
            </w:pPr>
            <w:r/>
            <w:r>
              <w:rPr>
                <w:rFonts w:ascii="Aptos" w:hAnsi="Aptos"/>
                <w:b w:val="0"/>
                <w:color w:val="14253B"/>
                <w:sz w:val="16"/>
              </w:rPr>
              <w:t>Required: SKU classification, machine compatibility/flow/time study, actual approved label/IFU and authorisation. Route: Design qualification / Label master. Open - Technical Input and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GAP-012  [P1]</w:t>
              <w:br/>
              <w:t>A generic conductivity range of 13.5-14 mS/cm is used in several leak acceptance sections without identifying the solution, dilution, temperature, equipment or applicability; ISO does not prescribe this single global value for the powder products.</w:t>
            </w:r>
          </w:p>
        </w:tc>
        <w:tc>
          <w:tcPr>
            <w:tcW w:type="dxa" w:w="3240"/>
            <w:vAlign w:val="top"/>
            <w:shd w:fill="F1F5F8"/>
          </w:tcPr>
          <w:p>
            <w:pPr>
              <w:spacing w:after="40" w:before="20" w:line="252" w:lineRule="auto"/>
            </w:pPr>
            <w:r>
              <w:rPr>
                <w:color w:val="14253B"/>
              </w:rPr>
            </w:r>
            <w:r>
              <w:rPr>
                <w:rFonts w:ascii="Aptos" w:hAnsi="Aptos"/>
                <w:b w:val="0"/>
                <w:color w:val="14253B"/>
                <w:sz w:val="16"/>
              </w:rPr>
              <w:t>ISO 4.1.1.1/4.1.1.2 (PDF pp.8-9; printed pp.2-3) control composition of correctly prepared concentrate; 5.2.2.2 (PDF p.13; printed p.7) calls for testing properly mixed powder per the IFU. 6.2(n) (PDF p.17; printed p.11) addresses appropriate final-fluid verification information. No universal 13.5-14 mS/cm criterion in these clauses.</w:t>
            </w:r>
          </w:p>
        </w:tc>
        <w:tc>
          <w:tcPr>
            <w:tcW w:type="dxa" w:w="2664"/>
            <w:vAlign w:val="top"/>
            <w:shd w:fill="F1F5F8"/>
          </w:tcPr>
          <w:p>
            <w:pPr>
              <w:spacing w:after="40" w:before="20" w:line="252" w:lineRule="auto"/>
            </w:pPr>
            <w:r>
              <w:rPr>
                <w:color w:val="14253B"/>
              </w:rPr>
            </w:r>
            <w:r>
              <w:rPr>
                <w:rFonts w:ascii="Aptos" w:hAnsi="Aptos"/>
                <w:b w:val="0"/>
                <w:color w:val="14253B"/>
                <w:sz w:val="16"/>
              </w:rPr>
              <w:t>WI p.6 §8.2 acceptance: “Conductivity reaches reach between 13.5 – 14mS /cm”; comparable unqualified acceptance repeated in Fresenius/4008 sections (WI pp.9,12,16).</w:t>
            </w:r>
          </w:p>
        </w:tc>
        <w:tc>
          <w:tcPr>
            <w:tcW w:type="dxa" w:w="4032"/>
            <w:vAlign w:val="top"/>
            <w:shd w:fill="F1F5F8"/>
          </w:tcPr>
          <w:p>
            <w:pPr>
              <w:spacing w:after="40" w:before="20" w:line="252" w:lineRule="auto"/>
            </w:pPr>
            <w:r>
              <w:rPr>
                <w:color w:val="14253B"/>
              </w:rPr>
            </w:r>
            <w:r>
              <w:rPr>
                <w:rFonts w:ascii="Aptos" w:hAnsi="Aptos"/>
                <w:b w:val="0"/>
                <w:color w:val="14253B"/>
                <w:sz w:val="16"/>
              </w:rPr>
              <w:t>Proposed §12.3A - Use only the authorised product-specific conductivity/pH/solute criterion after identifying the correct prepared solution, mixing ratio, water quality, temperature compensation, validated method and instrument calibration. Record actual measurement/units and reference spec. Treat historical 13.5-14 mS/cm as an unapproved claim until reconciled; do not infer ISO setpoint. OPEN TECHNICAL INPUT REQUIRED.</w:t>
            </w:r>
          </w:p>
        </w:tc>
        <w:tc>
          <w:tcPr>
            <w:tcW w:type="dxa" w:w="2736"/>
            <w:vAlign w:val="top"/>
            <w:shd w:fill="F1F5F8"/>
          </w:tcPr>
          <w:p>
            <w:pPr>
              <w:spacing w:after="40" w:before="20" w:line="252" w:lineRule="auto"/>
            </w:pPr>
            <w:r>
              <w:rPr>
                <w:color w:val="14253B"/>
              </w:rPr>
            </w:r>
            <w:r>
              <w:rPr>
                <w:rFonts w:ascii="Aptos" w:hAnsi="Aptos"/>
                <w:b w:val="0"/>
                <w:color w:val="14253B"/>
                <w:sz w:val="16"/>
              </w:rPr>
              <w:t>No conductivity measurement/value fields in attached Gambro or 5008 bag sheets.</w:t>
            </w:r>
          </w:p>
        </w:tc>
        <w:tc>
          <w:tcPr>
            <w:tcW w:type="dxa" w:w="3888"/>
            <w:vAlign w:val="top"/>
            <w:shd w:fill="F1F5F8"/>
          </w:tcPr>
          <w:p>
            <w:pPr>
              <w:spacing w:after="40" w:before="20" w:line="252" w:lineRule="auto"/>
            </w:pPr>
            <w:r>
              <w:rPr>
                <w:color w:val="14253B"/>
              </w:rPr>
            </w:r>
            <w:r>
              <w:rPr>
                <w:rFonts w:ascii="Aptos" w:hAnsi="Aptos"/>
                <w:b w:val="0"/>
                <w:color w:val="14253B"/>
                <w:sz w:val="16"/>
              </w:rPr>
              <w:t>Conditional analytical worksheet link: method/solution conditions, approved specification ID, numeric measured value and P/F; only if the approved program applies to that production lot/qualification.</w:t>
            </w:r>
          </w:p>
        </w:tc>
        <w:tc>
          <w:tcPr>
            <w:tcW w:type="dxa" w:w="2880"/>
            <w:vAlign w:val="top"/>
            <w:shd w:fill="F1F5F8"/>
          </w:tcPr>
          <w:p>
            <w:pPr>
              <w:spacing w:after="40" w:before="20" w:line="252" w:lineRule="auto"/>
            </w:pPr>
            <w:r>
              <w:rPr>
                <w:color w:val="14253B"/>
              </w:rPr>
            </w:r>
            <w:r>
              <w:rPr>
                <w:rFonts w:ascii="Aptos" w:hAnsi="Aptos"/>
                <w:b w:val="0"/>
                <w:color w:val="14253B"/>
                <w:sz w:val="16"/>
              </w:rPr>
              <w:t>Required: approved method and product-specific specification, conductivity-composition correlation if used, executed results. Route: Lab qualification / defined monitoring.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GAP-013  [P1]</w:t>
              <w:br/>
              <w:t>Gambro machine sensor pressure entry uses inconsistent unit: 0.760 mbar (±0.2) versus 0.8 bar (±0.2), a potentially material three-order unit mismatch. Do not select the correct setting by inference.</w:t>
            </w:r>
          </w:p>
        </w:tc>
        <w:tc>
          <w:tcPr>
            <w:tcW w:type="dxa" w:w="3240"/>
            <w:vAlign w:val="top"/>
          </w:tcPr>
          <w:p>
            <w:pPr>
              <w:spacing w:after="40" w:before="20" w:line="252" w:lineRule="auto"/>
            </w:pPr>
            <w:r/>
            <w:r>
              <w:rPr>
                <w:rFonts w:ascii="Aptos" w:hAnsi="Aptos"/>
                <w:b w:val="0"/>
                <w:color w:val="14253B"/>
                <w:sz w:val="16"/>
              </w:rPr>
              <w:t>ISO 4.1.9 and 4.1.11 (PDF p.10; printed p.4) require integrity/function; they do NOT define these machine pressure setpoints. This is a verified company parameter consistency and document-control gap, not a numeric ISO limit.</w:t>
            </w:r>
          </w:p>
        </w:tc>
        <w:tc>
          <w:tcPr>
            <w:tcW w:type="dxa" w:w="2664"/>
            <w:vAlign w:val="top"/>
          </w:tcPr>
          <w:p>
            <w:pPr>
              <w:spacing w:after="40" w:before="20" w:line="252" w:lineRule="auto"/>
            </w:pPr>
            <w:r/>
            <w:r>
              <w:rPr>
                <w:rFonts w:ascii="Aptos" w:hAnsi="Aptos"/>
                <w:b w:val="0"/>
                <w:color w:val="14253B"/>
                <w:sz w:val="16"/>
              </w:rPr>
              <w:t>WI p.6 §8.1 sensor key AP32 “A = 0.760mbar (± 0.2)” while p.6 §8.2 requires 0.8 bar ±0.2 bar.</w:t>
            </w:r>
          </w:p>
        </w:tc>
        <w:tc>
          <w:tcPr>
            <w:tcW w:type="dxa" w:w="4032"/>
            <w:vAlign w:val="top"/>
          </w:tcPr>
          <w:p>
            <w:pPr>
              <w:spacing w:after="40" w:before="20" w:line="252" w:lineRule="auto"/>
            </w:pPr>
            <w:r/>
            <w:r>
              <w:rPr>
                <w:rFonts w:ascii="Aptos" w:hAnsi="Aptos"/>
                <w:b w:val="0"/>
                <w:color w:val="14253B"/>
                <w:sz w:val="16"/>
              </w:rPr>
              <w:t>Proposed §8.1B - Prior to production, obtain Engineering/QA approval of AP32 parameter name, physical unit, nominal value, tolerance and alarm acceptance per machine model/configuration. Put approved setting in controlled parameter master and compare to gauge calibration; suspend reliance on ambiguous legacy A=0.760 mbar. OPEN TECHNICAL INPUT REQUIRED.</w:t>
            </w:r>
          </w:p>
        </w:tc>
        <w:tc>
          <w:tcPr>
            <w:tcW w:type="dxa" w:w="2736"/>
            <w:vAlign w:val="top"/>
          </w:tcPr>
          <w:p>
            <w:pPr>
              <w:spacing w:after="40" w:before="20" w:line="252" w:lineRule="auto"/>
            </w:pPr>
            <w:r/>
            <w:r>
              <w:rPr>
                <w:rFonts w:ascii="Aptos" w:hAnsi="Aptos"/>
                <w:b w:val="0"/>
                <w:color w:val="14253B"/>
                <w:sz w:val="16"/>
              </w:rPr>
              <w:t>F-823-i14-2 p.1 rows 10-11 repeat “A=0.760 mbar(±.2)” but header also says station 5 pressure gauge 0.8 bar ±0.2.</w:t>
            </w:r>
          </w:p>
        </w:tc>
        <w:tc>
          <w:tcPr>
            <w:tcW w:type="dxa" w:w="3888"/>
            <w:vAlign w:val="top"/>
          </w:tcPr>
          <w:p>
            <w:pPr>
              <w:spacing w:after="40" w:before="20" w:line="252" w:lineRule="auto"/>
            </w:pPr>
            <w:r/>
            <w:r>
              <w:rPr>
                <w:rFonts w:ascii="Aptos" w:hAnsi="Aptos"/>
                <w:b w:val="0"/>
                <w:color w:val="14253B"/>
                <w:sz w:val="16"/>
              </w:rPr>
              <w:t>Replace AP32 line with Machine ID / sensor key / unit / authorised nominal ± tolerance / actual readout / alarm pass / record of QA parameter sheet; explicitly flag pending decision.</w:t>
            </w:r>
          </w:p>
        </w:tc>
        <w:tc>
          <w:tcPr>
            <w:tcW w:type="dxa" w:w="2880"/>
            <w:vAlign w:val="top"/>
          </w:tcPr>
          <w:p>
            <w:pPr>
              <w:spacing w:after="40" w:before="20" w:line="252" w:lineRule="auto"/>
            </w:pPr>
            <w:r/>
            <w:r>
              <w:rPr>
                <w:rFonts w:ascii="Aptos" w:hAnsi="Aptos"/>
                <w:b w:val="0"/>
                <w:color w:val="14253B"/>
                <w:sz w:val="16"/>
              </w:rPr>
              <w:t>Required: equipment manual, validated parameter master, reviewed deviation impact, qualified setup/pressure evidence. Route: Engineering / In-process. Open - Technical Input.</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GAP-014  [P1]</w:t>
              <w:br/>
              <w:t>Gambro welding setpoints differ between controlled sources and Fresenius bag welding table contains an incomplete lower temperature, preventing a reliable, approved parameter comparison.</w:t>
            </w:r>
          </w:p>
        </w:tc>
        <w:tc>
          <w:tcPr>
            <w:tcW w:type="dxa" w:w="3240"/>
            <w:vAlign w:val="top"/>
            <w:shd w:fill="F1F5F8"/>
          </w:tcPr>
          <w:p>
            <w:pPr>
              <w:spacing w:after="40" w:before="20" w:line="252" w:lineRule="auto"/>
            </w:pPr>
            <w:r>
              <w:rPr>
                <w:color w:val="14253B"/>
              </w:rPr>
            </w:r>
            <w:r>
              <w:rPr>
                <w:rFonts w:ascii="Aptos" w:hAnsi="Aptos"/>
                <w:b w:val="0"/>
                <w:color w:val="14253B"/>
                <w:sz w:val="16"/>
              </w:rPr>
              <w:t>ISO 4.1.9 (PDF p.10; printed p.4) requires container closures adequate to prevent content loss/contamination. ISO does not prescribe weld time or temperature for these machines.</w:t>
            </w:r>
          </w:p>
        </w:tc>
        <w:tc>
          <w:tcPr>
            <w:tcW w:type="dxa" w:w="2664"/>
            <w:vAlign w:val="top"/>
            <w:shd w:fill="F1F5F8"/>
          </w:tcPr>
          <w:p>
            <w:pPr>
              <w:spacing w:after="40" w:before="20" w:line="252" w:lineRule="auto"/>
            </w:pPr>
            <w:r>
              <w:rPr>
                <w:color w:val="14253B"/>
              </w:rPr>
            </w:r>
            <w:r>
              <w:rPr>
                <w:rFonts w:ascii="Aptos" w:hAnsi="Aptos"/>
                <w:b w:val="0"/>
                <w:color w:val="14253B"/>
                <w:sz w:val="16"/>
              </w:rPr>
              <w:t>WI p.5 §8.1 weld time 1.00-1.40 s; Gambro F-823-i14-2 row 9 1.0-1.50 s. WI p.11 (5008 bag holder sealing) downside “- 240 °C” missing the lower limit. Other historical parameter tables contain incomplete fields.</w:t>
            </w:r>
          </w:p>
        </w:tc>
        <w:tc>
          <w:tcPr>
            <w:tcW w:type="dxa" w:w="4032"/>
            <w:vAlign w:val="top"/>
            <w:shd w:fill="F1F5F8"/>
          </w:tcPr>
          <w:p>
            <w:pPr>
              <w:spacing w:after="40" w:before="20" w:line="252" w:lineRule="auto"/>
            </w:pPr>
            <w:r>
              <w:rPr>
                <w:color w:val="14253B"/>
              </w:rPr>
            </w:r>
            <w:r>
              <w:rPr>
                <w:rFonts w:ascii="Aptos" w:hAnsi="Aptos"/>
                <w:b w:val="0"/>
                <w:color w:val="14253B"/>
                <w:sz w:val="16"/>
              </w:rPr>
              <w:t>Proposed §8.1C / §10.6 - For each welding station, define approved machine/model/recipe ID, fully specified upper and lower setpoints with units (temperature, time, pressure, delay, hold), validated operating window, instrument monitoring, inspection and start-up/change verification. Discontinue using contradictory/blank legacy settings for accept/reject decisions until QA approves a parameter reconciliation. OPEN TECHNICAL INPUT REQUIRED.</w:t>
            </w:r>
          </w:p>
        </w:tc>
        <w:tc>
          <w:tcPr>
            <w:tcW w:type="dxa" w:w="2736"/>
            <w:vAlign w:val="top"/>
            <w:shd w:fill="F1F5F8"/>
          </w:tcPr>
          <w:p>
            <w:pPr>
              <w:spacing w:after="40" w:before="20" w:line="252" w:lineRule="auto"/>
            </w:pPr>
            <w:r>
              <w:rPr>
                <w:color w:val="14253B"/>
              </w:rPr>
            </w:r>
            <w:r>
              <w:rPr>
                <w:rFonts w:ascii="Aptos" w:hAnsi="Aptos"/>
                <w:b w:val="0"/>
                <w:color w:val="14253B"/>
                <w:sz w:val="16"/>
              </w:rPr>
              <w:t>Gambro F-823-i14-2 rows 7-9 state weld/hold/delay times incl. 1.0-1.50 s; Fresenius F-823-i14-5 records weld appearance and width but not actual machine-specific recipe/readings.</w:t>
            </w:r>
          </w:p>
        </w:tc>
        <w:tc>
          <w:tcPr>
            <w:tcW w:type="dxa" w:w="3888"/>
            <w:vAlign w:val="top"/>
            <w:shd w:fill="F1F5F8"/>
          </w:tcPr>
          <w:p>
            <w:pPr>
              <w:spacing w:after="40" w:before="20" w:line="252" w:lineRule="auto"/>
            </w:pPr>
            <w:r>
              <w:rPr>
                <w:color w:val="14253B"/>
              </w:rPr>
            </w:r>
            <w:r>
              <w:rPr>
                <w:rFonts w:ascii="Aptos" w:hAnsi="Aptos"/>
                <w:b w:val="0"/>
                <w:color w:val="14253B"/>
                <w:sz w:val="16"/>
              </w:rPr>
              <w:t>Add controlled recipe ID, tolerance source, actual start-up and periodic readings, calibrated machine ID, P/F and change/stop record. Unapproved source values marked HOLD pending resolution.</w:t>
            </w:r>
          </w:p>
        </w:tc>
        <w:tc>
          <w:tcPr>
            <w:tcW w:type="dxa" w:w="2880"/>
            <w:vAlign w:val="top"/>
            <w:shd w:fill="F1F5F8"/>
          </w:tcPr>
          <w:p>
            <w:pPr>
              <w:spacing w:after="40" w:before="20" w:line="252" w:lineRule="auto"/>
            </w:pPr>
            <w:r>
              <w:rPr>
                <w:color w:val="14253B"/>
              </w:rPr>
            </w:r>
            <w:r>
              <w:rPr>
                <w:rFonts w:ascii="Aptos" w:hAnsi="Aptos"/>
                <w:b w:val="0"/>
                <w:color w:val="14253B"/>
                <w:sz w:val="16"/>
              </w:rPr>
              <w:t>Required: equipment recipe sheets, OQ/process qualification, approved reconciliation, executed setup records. Route: Process validation / In-process.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GAP-015  [P2]</w:t>
              <w:br/>
              <w:t>Manual leak tests have qualitative remarks but incomplete raw readings, exposure time and sample trace for Fresenius 5008; pressure-duration fields are necessary to verify the WI procedure.</w:t>
            </w:r>
          </w:p>
        </w:tc>
        <w:tc>
          <w:tcPr>
            <w:tcW w:type="dxa" w:w="3240"/>
            <w:vAlign w:val="top"/>
          </w:tcPr>
          <w:p>
            <w:pPr>
              <w:spacing w:after="40" w:before="20" w:line="252" w:lineRule="auto"/>
            </w:pPr>
            <w:r/>
            <w:r>
              <w:rPr>
                <w:rFonts w:ascii="Aptos" w:hAnsi="Aptos"/>
                <w:b w:val="0"/>
                <w:color w:val="14253B"/>
                <w:sz w:val="16"/>
              </w:rPr>
              <w:t>ISO 4.1.9 (PDF p.10; printed p.4) requires leakage/contamination prevention; ISO does not mandate 0.6 bar or 8-15 seconds. The parameters are company WI §10 controls pending qualification.</w:t>
            </w:r>
          </w:p>
        </w:tc>
        <w:tc>
          <w:tcPr>
            <w:tcW w:type="dxa" w:w="2664"/>
            <w:vAlign w:val="top"/>
          </w:tcPr>
          <w:p>
            <w:pPr>
              <w:spacing w:after="40" w:before="20" w:line="252" w:lineRule="auto"/>
            </w:pPr>
            <w:r/>
            <w:r>
              <w:rPr>
                <w:rFonts w:ascii="Aptos" w:hAnsi="Aptos"/>
                <w:b w:val="0"/>
                <w:color w:val="14253B"/>
                <w:sz w:val="16"/>
              </w:rPr>
              <w:t>WI p.12 §10 Fresenius 5008 bag leak: 0.6±0.2 bar for 8-15 s and observation for bubbles; p.6 Gambro: 0.8±0.2 bar for 8-15 s.</w:t>
            </w:r>
          </w:p>
        </w:tc>
        <w:tc>
          <w:tcPr>
            <w:tcW w:type="dxa" w:w="4032"/>
            <w:vAlign w:val="top"/>
          </w:tcPr>
          <w:p>
            <w:pPr>
              <w:spacing w:after="40" w:before="20" w:line="252" w:lineRule="auto"/>
            </w:pPr>
            <w:r/>
            <w:r>
              <w:rPr>
                <w:rFonts w:ascii="Aptos" w:hAnsi="Aptos"/>
                <w:b w:val="0"/>
                <w:color w:val="14253B"/>
                <w:sz w:val="16"/>
              </w:rPr>
              <w:t>Proposed §10.8 / §8.2 - Conduct approved water-immersion leak test on selected identification-coded samples using calibrated setup at the SKU-specific pressure/time range. Record actual applied pressure, duration, test position (port, bag edge, holder interface), bubble observation and disposition. Confirm sample plan/retention.</w:t>
            </w:r>
          </w:p>
        </w:tc>
        <w:tc>
          <w:tcPr>
            <w:tcW w:type="dxa" w:w="2736"/>
            <w:vAlign w:val="top"/>
          </w:tcPr>
          <w:p>
            <w:pPr>
              <w:spacing w:after="40" w:before="20" w:line="252" w:lineRule="auto"/>
            </w:pPr>
            <w:r/>
            <w:r>
              <w:rPr>
                <w:rFonts w:ascii="Aptos" w:hAnsi="Aptos"/>
                <w:b w:val="0"/>
                <w:color w:val="14253B"/>
                <w:sz w:val="16"/>
              </w:rPr>
              <w:t>F-823-i14-5 p.2 row 18 says pressure 0.6 bar ±0.2; rows 19-21 say no leakage but no actual pressure/duration/individual location results. Gambro form row 15 lists 0.8 bar ±0.2 for 8-15 s, again lacks raw-result boxes.</w:t>
            </w:r>
          </w:p>
        </w:tc>
        <w:tc>
          <w:tcPr>
            <w:tcW w:type="dxa" w:w="3888"/>
            <w:vAlign w:val="top"/>
          </w:tcPr>
          <w:p>
            <w:pPr>
              <w:spacing w:after="40" w:before="20" w:line="252" w:lineRule="auto"/>
            </w:pPr>
            <w:r/>
            <w:r>
              <w:rPr>
                <w:rFonts w:ascii="Aptos" w:hAnsi="Aptos"/>
                <w:b w:val="0"/>
                <w:color w:val="14253B"/>
                <w:sz w:val="16"/>
              </w:rPr>
              <w:t>Per sampling event: actual pressure (bar), duration (s), unit/sample ID, fixture/balance/gauge ID, ports/edge/holder observations (Pass/Fail), QC reviewer and deviation number. Retain current visual items.</w:t>
            </w:r>
          </w:p>
        </w:tc>
        <w:tc>
          <w:tcPr>
            <w:tcW w:type="dxa" w:w="2880"/>
            <w:vAlign w:val="top"/>
          </w:tcPr>
          <w:p>
            <w:pPr>
              <w:spacing w:after="40" w:before="20" w:line="252" w:lineRule="auto"/>
            </w:pPr>
            <w:r/>
            <w:r>
              <w:rPr>
                <w:rFonts w:ascii="Aptos" w:hAnsi="Aptos"/>
                <w:b w:val="0"/>
                <w:color w:val="14253B"/>
                <w:sz w:val="16"/>
              </w:rPr>
              <w:t>Required: completed leak records and calibration; qualified method and approved sample plan. Route: In-process. Evidence absent. Closure: Documentary Covered - Operational Evidence Pending (once approved).</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GAP-016  [P2]</w:t>
              <w:br/>
              <w:t>Dimensional/product-part requirements are expressed as generic “per specification” in F-823-i15 and as unclear arithmetic in Gambro, preventing transparent measurement-based disposition.</w:t>
            </w:r>
          </w:p>
        </w:tc>
        <w:tc>
          <w:tcPr>
            <w:tcW w:type="dxa" w:w="3240"/>
            <w:vAlign w:val="top"/>
            <w:shd w:fill="F1F5F8"/>
          </w:tcPr>
          <w:p>
            <w:pPr>
              <w:spacing w:after="40" w:before="20" w:line="252" w:lineRule="auto"/>
            </w:pPr>
            <w:r>
              <w:rPr>
                <w:color w:val="14253B"/>
              </w:rPr>
            </w:r>
            <w:r>
              <w:rPr>
                <w:rFonts w:ascii="Aptos" w:hAnsi="Aptos"/>
                <w:b w:val="0"/>
                <w:color w:val="14253B"/>
                <w:sz w:val="16"/>
              </w:rPr>
              <w:t>ISO 4.1.11 / 4.1.9 (PDF p.10; printed p.4) require design performance and container function, but do not set cartridge OD/ID numbers. Company design specifications govern dimensions.</w:t>
            </w:r>
          </w:p>
        </w:tc>
        <w:tc>
          <w:tcPr>
            <w:tcW w:type="dxa" w:w="2664"/>
            <w:vAlign w:val="top"/>
            <w:shd w:fill="F1F5F8"/>
          </w:tcPr>
          <w:p>
            <w:pPr>
              <w:spacing w:after="40" w:before="20" w:line="252" w:lineRule="auto"/>
            </w:pPr>
            <w:r>
              <w:rPr>
                <w:color w:val="14253B"/>
              </w:rPr>
            </w:r>
            <w:r>
              <w:rPr>
                <w:rFonts w:ascii="Aptos" w:hAnsi="Aptos"/>
                <w:b w:val="0"/>
                <w:color w:val="14253B"/>
                <w:sz w:val="16"/>
              </w:rPr>
              <w:t>WI p.5 §7.1.1 tube ID/OD/length per specification; WI pp.3-4 moulded component visual fitting. Gambro F-823-i14-2 row 18 says “Maximum OD-10mm(±0.2mm)”; row 19 “Dia. ID - 6.0 - 7.5 mm(±0.01mm)” requiring technical clarification.</w:t>
            </w:r>
          </w:p>
        </w:tc>
        <w:tc>
          <w:tcPr>
            <w:tcW w:type="dxa" w:w="4032"/>
            <w:vAlign w:val="top"/>
            <w:shd w:fill="F1F5F8"/>
          </w:tcPr>
          <w:p>
            <w:pPr>
              <w:spacing w:after="40" w:before="20" w:line="252" w:lineRule="auto"/>
            </w:pPr>
            <w:r>
              <w:rPr>
                <w:color w:val="14253B"/>
              </w:rPr>
            </w:r>
            <w:r>
              <w:rPr>
                <w:rFonts w:ascii="Aptos" w:hAnsi="Aptos"/>
                <w:b w:val="0"/>
                <w:color w:val="14253B"/>
                <w:sz w:val="16"/>
              </w:rPr>
              <w:t>Proposed §6.2A / §7.1A - Control each critical dimension against product drawing/TF code with defined nominal, lower/upper limit and calibration/instrument capability. Record actual sample values, mould cavity/tube lot and review deviations. Preserve approved company dimensions once verified, do not invent revised size limits. OPEN TECHNICAL INPUT REQUIRED: drawing ranges and cavity plan.</w:t>
            </w:r>
          </w:p>
        </w:tc>
        <w:tc>
          <w:tcPr>
            <w:tcW w:type="dxa" w:w="2736"/>
            <w:vAlign w:val="top"/>
            <w:shd w:fill="F1F5F8"/>
          </w:tcPr>
          <w:p>
            <w:pPr>
              <w:spacing w:after="40" w:before="20" w:line="252" w:lineRule="auto"/>
            </w:pPr>
            <w:r>
              <w:rPr>
                <w:color w:val="14253B"/>
              </w:rPr>
            </w:r>
            <w:r>
              <w:rPr>
                <w:rFonts w:ascii="Aptos" w:hAnsi="Aptos"/>
                <w:b w:val="0"/>
                <w:color w:val="14253B"/>
                <w:sz w:val="16"/>
              </w:rPr>
              <w:t>F-823-i15 p.1 header leaves TF spec blanks and lists dimensions as per specification without actual-value rows; Gambro F-823-i14-2 rows 18-19 contain ambiguous limits.</w:t>
            </w:r>
          </w:p>
        </w:tc>
        <w:tc>
          <w:tcPr>
            <w:tcW w:type="dxa" w:w="3888"/>
            <w:vAlign w:val="top"/>
            <w:shd w:fill="F1F5F8"/>
          </w:tcPr>
          <w:p>
            <w:pPr>
              <w:spacing w:after="40" w:before="20" w:line="252" w:lineRule="auto"/>
            </w:pPr>
            <w:r>
              <w:rPr>
                <w:color w:val="14253B"/>
              </w:rPr>
            </w:r>
            <w:r>
              <w:rPr>
                <w:rFonts w:ascii="Aptos" w:hAnsi="Aptos"/>
                <w:b w:val="0"/>
                <w:color w:val="14253B"/>
                <w:sz w:val="16"/>
              </w:rPr>
              <w:t>Add measurement characteristics per component code/cavity and actual OD/ID/length/wall thickness, numeric spec min/max/unit, sample and instrument ID, P/F; pending approved drawing values remain flagged.</w:t>
            </w:r>
          </w:p>
        </w:tc>
        <w:tc>
          <w:tcPr>
            <w:tcW w:type="dxa" w:w="2880"/>
            <w:vAlign w:val="top"/>
            <w:shd w:fill="F1F5F8"/>
          </w:tcPr>
          <w:p>
            <w:pPr>
              <w:spacing w:after="40" w:before="20" w:line="252" w:lineRule="auto"/>
            </w:pPr>
            <w:r>
              <w:rPr>
                <w:color w:val="14253B"/>
              </w:rPr>
            </w:r>
            <w:r>
              <w:rPr>
                <w:rFonts w:ascii="Aptos" w:hAnsi="Aptos"/>
                <w:b w:val="0"/>
                <w:color w:val="14253B"/>
                <w:sz w:val="16"/>
              </w:rPr>
              <w:t>Required: controlled TF-40-PS/PDBM/drawings, calibration and real dimensional logs. Route: Component In-process / qualification. Open - Technical Input and Evidence.</w:t>
            </w:r>
          </w:p>
        </w:tc>
      </w:tr>
      <w:tr>
        <w:trPr>
          <w:cantSplit/>
        </w:trPr>
        <w:tc>
          <w:tcPr>
            <w:tcW w:type="dxa" w:w="2664"/>
            <w:vAlign w:val="top"/>
          </w:tcPr>
          <w:p>
            <w:pPr>
              <w:spacing w:after="40" w:before="20" w:line="252" w:lineRule="auto"/>
            </w:pPr>
            <w:r/>
            <w:r>
              <w:rPr>
                <w:rFonts w:ascii="Aptos" w:hAnsi="Aptos"/>
                <w:b w:val="0"/>
                <w:color w:val="14253B"/>
                <w:sz w:val="16"/>
              </w:rPr>
              <w:t>GAP-017  [P2]</w:t>
              <w:br/>
              <w:t>In-process sample frequency, inspection level and actual result notation are not consistently traceable to a controlled sampling plan and shift event.</w:t>
            </w:r>
          </w:p>
        </w:tc>
        <w:tc>
          <w:tcPr>
            <w:tcW w:type="dxa" w:w="3240"/>
            <w:vAlign w:val="top"/>
          </w:tcPr>
          <w:p>
            <w:pPr>
              <w:spacing w:after="40" w:before="20" w:line="252" w:lineRule="auto"/>
            </w:pPr>
            <w:r/>
            <w:r>
              <w:rPr>
                <w:rFonts w:ascii="Aptos" w:hAnsi="Aptos"/>
                <w:b w:val="0"/>
                <w:color w:val="14253B"/>
                <w:sz w:val="16"/>
              </w:rPr>
              <w:t>ISO 5.1 (PDF p.12; printed p.6) allows validated comparable methods; no universal AQL/frequency mandated in ISO 23500-4. This is a verified control-system design gap against existing WI sampling commitments.</w:t>
            </w:r>
          </w:p>
        </w:tc>
        <w:tc>
          <w:tcPr>
            <w:tcW w:type="dxa" w:w="2664"/>
            <w:vAlign w:val="top"/>
          </w:tcPr>
          <w:p>
            <w:pPr>
              <w:spacing w:after="40" w:before="20" w:line="252" w:lineRule="auto"/>
            </w:pPr>
            <w:r/>
            <w:r>
              <w:rPr>
                <w:rFonts w:ascii="Aptos" w:hAnsi="Aptos"/>
                <w:b w:val="0"/>
                <w:color w:val="14253B"/>
                <w:sz w:val="16"/>
              </w:rPr>
              <w:t>WI p.5 §7.1.1 states QC samples every 2 h; WI pp.3/6 and final release refer to AQL general/special without cited acceptance table or variant.</w:t>
            </w:r>
          </w:p>
        </w:tc>
        <w:tc>
          <w:tcPr>
            <w:tcW w:type="dxa" w:w="4032"/>
            <w:vAlign w:val="top"/>
          </w:tcPr>
          <w:p>
            <w:pPr>
              <w:spacing w:after="40" w:before="20" w:line="252" w:lineRule="auto"/>
            </w:pPr>
            <w:r/>
            <w:r>
              <w:rPr>
                <w:rFonts w:ascii="Aptos" w:hAnsi="Aptos"/>
                <w:b w:val="0"/>
                <w:color w:val="14253B"/>
                <w:sz w:val="16"/>
              </w:rPr>
              <w:t>Proposed §14 - Identify actual process stage, time/shift, machine/cavity/lot, approved sampling plan ID, inspection level/AQL (if applicable), quantity, sampling interval, defect class, observed result, P/F, and action after failed inspection. Preserve the WI 2-hour tube checks unless formally revised; do not apply that interval to all other tests by assumption.</w:t>
            </w:r>
          </w:p>
        </w:tc>
        <w:tc>
          <w:tcPr>
            <w:tcW w:type="dxa" w:w="2736"/>
            <w:vAlign w:val="top"/>
          </w:tcPr>
          <w:p>
            <w:pPr>
              <w:spacing w:after="40" w:before="20" w:line="252" w:lineRule="auto"/>
            </w:pPr>
            <w:r/>
            <w:r>
              <w:rPr>
                <w:rFonts w:ascii="Aptos" w:hAnsi="Aptos"/>
                <w:b w:val="0"/>
                <w:color w:val="14253B"/>
                <w:sz w:val="16"/>
              </w:rPr>
              <w:t>Gambro F-823-i14-2 has 7am-6am grid, Fresenius F-823-i14-5 7-6 hourly grid, F-823-i15 7/9/11/1...; result grids do not supply consistent numeric fields, inspection quantity or sample provenance.</w:t>
            </w:r>
          </w:p>
        </w:tc>
        <w:tc>
          <w:tcPr>
            <w:tcW w:type="dxa" w:w="3888"/>
            <w:vAlign w:val="top"/>
          </w:tcPr>
          <w:p>
            <w:pPr>
              <w:spacing w:after="40" w:before="20" w:line="252" w:lineRule="auto"/>
            </w:pPr>
            <w:r/>
            <w:r>
              <w:rPr>
                <w:rFonts w:ascii="Aptos" w:hAnsi="Aptos"/>
                <w:b w:val="0"/>
                <w:color w:val="14253B"/>
                <w:sz w:val="16"/>
              </w:rPr>
              <w:t>Record actual inspection timestamp and sampling-plan ID per event, samples accepted/failed, criteria, measured value or defect outcome, QC disposition and NC reference; distinguish setup, routine and changeover checks.</w:t>
            </w:r>
          </w:p>
        </w:tc>
        <w:tc>
          <w:tcPr>
            <w:tcW w:type="dxa" w:w="2880"/>
            <w:vAlign w:val="top"/>
          </w:tcPr>
          <w:p>
            <w:pPr>
              <w:spacing w:after="40" w:before="20" w:line="252" w:lineRule="auto"/>
            </w:pPr>
            <w:r/>
            <w:r>
              <w:rPr>
                <w:rFonts w:ascii="Aptos" w:hAnsi="Aptos"/>
                <w:b w:val="0"/>
                <w:color w:val="14253B"/>
                <w:sz w:val="16"/>
              </w:rPr>
              <w:t>Required: controlled sampling/inspection plan, sampled records and evidence of training. Route: In-process / QC. Open - Technical Input and Evidence.</w:t>
            </w:r>
          </w:p>
        </w:tc>
      </w:tr>
      <w:tr>
        <w:trPr>
          <w:cantSplit/>
        </w:trPr>
        <w:tc>
          <w:tcPr>
            <w:tcW w:type="dxa" w:w="2664"/>
            <w:vAlign w:val="top"/>
            <w:shd w:fill="F1F5F8"/>
          </w:tcPr>
          <w:p>
            <w:pPr>
              <w:spacing w:after="40" w:before="20" w:line="252" w:lineRule="auto"/>
            </w:pPr>
            <w:r>
              <w:rPr>
                <w:color w:val="14253B"/>
              </w:rPr>
            </w:r>
            <w:r>
              <w:rPr>
                <w:rFonts w:ascii="Aptos" w:hAnsi="Aptos"/>
                <w:b w:val="0"/>
                <w:color w:val="14253B"/>
                <w:sz w:val="16"/>
              </w:rPr>
              <w:t>GAP-018  [P2]</w:t>
              <w:br/>
              <w:t>Document identifiers and controlled revisions conflict between WI contents, filenames and attached in-process form headers, and referenced additional records were not provided.</w:t>
            </w:r>
          </w:p>
        </w:tc>
        <w:tc>
          <w:tcPr>
            <w:tcW w:type="dxa" w:w="3240"/>
            <w:vAlign w:val="top"/>
            <w:shd w:fill="F1F5F8"/>
          </w:tcPr>
          <w:p>
            <w:pPr>
              <w:spacing w:after="40" w:before="20" w:line="252" w:lineRule="auto"/>
            </w:pPr>
            <w:r>
              <w:rPr>
                <w:color w:val="14253B"/>
              </w:rPr>
            </w:r>
            <w:r>
              <w:rPr>
                <w:rFonts w:ascii="Aptos" w:hAnsi="Aptos"/>
                <w:b w:val="0"/>
                <w:color w:val="14253B"/>
                <w:sz w:val="16"/>
              </w:rPr>
              <w:t>ISO 23500-4 provides technical requirements, not the company form numbering system. This is a document-control/traceability finding; ensure traceable quality records for demonstrating clauses 4-6.</w:t>
            </w:r>
          </w:p>
        </w:tc>
        <w:tc>
          <w:tcPr>
            <w:tcW w:type="dxa" w:w="2664"/>
            <w:vAlign w:val="top"/>
            <w:shd w:fill="F1F5F8"/>
          </w:tcPr>
          <w:p>
            <w:pPr>
              <w:spacing w:after="40" w:before="20" w:line="252" w:lineRule="auto"/>
            </w:pPr>
            <w:r>
              <w:rPr>
                <w:color w:val="14253B"/>
              </w:rPr>
            </w:r>
            <w:r>
              <w:rPr>
                <w:rFonts w:ascii="Aptos" w:hAnsi="Aptos"/>
                <w:b w:val="0"/>
                <w:color w:val="14253B"/>
                <w:sz w:val="16"/>
              </w:rPr>
              <w:t>Uploaded filename says WI Rev.13; WI header consistently states Rev.14 (09.09.2025). WI p.17 references Gambro/Fresenius sheets as F-832-i14-2/3/5 and duplicates i14-5, while attached headers identify F-823-i14-2 Rev.14, F-823-i14-5 Rev.6, F-823-i15 Rev.16.</w:t>
            </w:r>
          </w:p>
        </w:tc>
        <w:tc>
          <w:tcPr>
            <w:tcW w:type="dxa" w:w="4032"/>
            <w:vAlign w:val="top"/>
            <w:shd w:fill="F1F5F8"/>
          </w:tcPr>
          <w:p>
            <w:pPr>
              <w:spacing w:after="40" w:before="20" w:line="252" w:lineRule="auto"/>
            </w:pPr>
            <w:r>
              <w:rPr>
                <w:color w:val="14253B"/>
              </w:rPr>
            </w:r>
            <w:r>
              <w:rPr>
                <w:rFonts w:ascii="Aptos" w:hAnsi="Aptos"/>
                <w:b w:val="0"/>
                <w:color w:val="14253B"/>
                <w:sz w:val="16"/>
              </w:rPr>
              <w:t>Proposed §17 - Document Control: treat this rebuilt WI as DRAFT - proposed revision TBD; QA shall reconcile master-document index, effective revisions, referenced form IDs, record ownership, retention and change history. Verify supersession; map F-832 vs F-823 only from authorised document-control evidence. Do not assert historic records changed.</w:t>
            </w:r>
          </w:p>
        </w:tc>
        <w:tc>
          <w:tcPr>
            <w:tcW w:type="dxa" w:w="2736"/>
            <w:vAlign w:val="top"/>
            <w:shd w:fill="F1F5F8"/>
          </w:tcPr>
          <w:p>
            <w:pPr>
              <w:spacing w:after="40" w:before="20" w:line="252" w:lineRule="auto"/>
            </w:pPr>
            <w:r>
              <w:rPr>
                <w:color w:val="14253B"/>
              </w:rPr>
            </w:r>
            <w:r>
              <w:rPr>
                <w:rFonts w:ascii="Aptos" w:hAnsi="Aptos"/>
                <w:b w:val="0"/>
                <w:color w:val="14253B"/>
                <w:sz w:val="16"/>
              </w:rPr>
              <w:t>Gambro sheet tab says Rev.13 but face says Rev.14; Fresenius sheet tab says Rev.5 but face says Rev.6; F-823-i15 tab says Rev.15 but face says Rev.16. Additional WI-listed forms unavailable.</w:t>
            </w:r>
          </w:p>
        </w:tc>
        <w:tc>
          <w:tcPr>
            <w:tcW w:type="dxa" w:w="3888"/>
            <w:vAlign w:val="top"/>
            <w:shd w:fill="F1F5F8"/>
          </w:tcPr>
          <w:p>
            <w:pPr>
              <w:spacing w:after="40" w:before="20" w:line="252" w:lineRule="auto"/>
            </w:pPr>
            <w:r>
              <w:rPr>
                <w:color w:val="14253B"/>
              </w:rPr>
            </w:r>
            <w:r>
              <w:rPr>
                <w:rFonts w:ascii="Aptos" w:hAnsi="Aptos"/>
                <w:b w:val="0"/>
                <w:color w:val="14253B"/>
                <w:sz w:val="16"/>
              </w:rPr>
              <w:t>Each in-process draft states Original controlled ID / Original header revision / Proposed Rev TBD / WI linkage / QA master-list verification pending. Correct IDs only after change approval.</w:t>
            </w:r>
          </w:p>
        </w:tc>
        <w:tc>
          <w:tcPr>
            <w:tcW w:type="dxa" w:w="2880"/>
            <w:vAlign w:val="top"/>
            <w:shd w:fill="F1F5F8"/>
          </w:tcPr>
          <w:p>
            <w:pPr>
              <w:spacing w:after="40" w:before="20" w:line="252" w:lineRule="auto"/>
            </w:pPr>
            <w:r>
              <w:rPr>
                <w:color w:val="14253B"/>
              </w:rPr>
            </w:r>
            <w:r>
              <w:rPr>
                <w:rFonts w:ascii="Aptos" w:hAnsi="Aptos"/>
                <w:b w:val="0"/>
                <w:color w:val="14253B"/>
                <w:sz w:val="16"/>
              </w:rPr>
              <w:t>Required: master document list, approved revision/supersession history, missing referenced forms incl. 4008/control records and reconciliation decision. Route: Document Control. Open - Approval and Evidence.</w:t>
            </w:r>
          </w:p>
        </w:tc>
      </w:tr>
      <w:tr>
        <w:trPr>
          <w:cantSplit/>
        </w:trPr>
        <w:tc>
          <w:tcPr>
            <w:tcW w:type="dxa" w:w="2664"/>
            <w:vAlign w:val="top"/>
          </w:tcPr>
          <w:p>
            <w:pPr>
              <w:spacing w:after="40" w:before="20" w:line="252" w:lineRule="auto"/>
            </w:pPr>
            <w:r/>
            <w:r>
              <w:rPr>
                <w:rFonts w:ascii="Aptos" w:hAnsi="Aptos"/>
                <w:b w:val="0"/>
                <w:color w:val="14253B"/>
                <w:sz w:val="16"/>
              </w:rPr>
              <w:t>GAP-019  [P2]</w:t>
              <w:br/>
              <w:t>Sealing/chemical conformity evidence is not systematically linked to batch disposition, change status and unresolved qualifications; blank in-process forms cannot close ISO findings.</w:t>
            </w:r>
          </w:p>
        </w:tc>
        <w:tc>
          <w:tcPr>
            <w:tcW w:type="dxa" w:w="3240"/>
            <w:vAlign w:val="top"/>
          </w:tcPr>
          <w:p>
            <w:pPr>
              <w:spacing w:after="40" w:before="20" w:line="252" w:lineRule="auto"/>
            </w:pPr>
            <w:r/>
            <w:r>
              <w:rPr>
                <w:rFonts w:ascii="Aptos" w:hAnsi="Aptos"/>
                <w:b w:val="0"/>
                <w:color w:val="14253B"/>
                <w:sz w:val="16"/>
              </w:rPr>
              <w:t>ISO 4.1.9, 4.1.11 and 6.1-6.6 (PDF pp.10,16-19; printed pp.4,10-13) require effective container function and conforming user information. Conformity needs actual verifiable approved records; there is no ISO requirement for a particular local QC signature format.</w:t>
            </w:r>
          </w:p>
        </w:tc>
        <w:tc>
          <w:tcPr>
            <w:tcW w:type="dxa" w:w="2664"/>
            <w:vAlign w:val="top"/>
          </w:tcPr>
          <w:p>
            <w:pPr>
              <w:spacing w:after="40" w:before="20" w:line="252" w:lineRule="auto"/>
            </w:pPr>
            <w:r/>
            <w:r>
              <w:rPr>
                <w:rFonts w:ascii="Aptos" w:hAnsi="Aptos"/>
                <w:b w:val="0"/>
                <w:color w:val="14253B"/>
                <w:sz w:val="16"/>
              </w:rPr>
              <w:t>WI p.17 final inspection/release describes reviews and transfer; supporting executed lots, deviation handling and evidence registers were not provided.</w:t>
            </w:r>
          </w:p>
        </w:tc>
        <w:tc>
          <w:tcPr>
            <w:tcW w:type="dxa" w:w="4032"/>
            <w:vAlign w:val="top"/>
          </w:tcPr>
          <w:p>
            <w:pPr>
              <w:spacing w:after="40" w:before="20" w:line="252" w:lineRule="auto"/>
            </w:pPr>
            <w:r/>
            <w:r>
              <w:rPr>
                <w:rFonts w:ascii="Aptos" w:hAnsi="Aptos"/>
                <w:b w:val="0"/>
                <w:color w:val="14253B"/>
                <w:sz w:val="16"/>
              </w:rPr>
              <w:t>Proposed §15 - Identify failed/out-of-spec samples, segregate affected interval/lot and refer to the controlled NC/deviation process; record containment and only disposition under authorised QA/QC procedure. Before QC/QA release, verify in-process completion, pending test/evidence status, qualification scope, artwork/IFU version and release decision. No draft or blank form is proof of product conformity.</w:t>
            </w:r>
          </w:p>
        </w:tc>
        <w:tc>
          <w:tcPr>
            <w:tcW w:type="dxa" w:w="2736"/>
            <w:vAlign w:val="top"/>
          </w:tcPr>
          <w:p>
            <w:pPr>
              <w:spacing w:after="40" w:before="20" w:line="252" w:lineRule="auto"/>
            </w:pPr>
            <w:r/>
            <w:r>
              <w:rPr>
                <w:rFonts w:ascii="Aptos" w:hAnsi="Aptos"/>
                <w:b w:val="0"/>
                <w:color w:val="14253B"/>
                <w:sz w:val="16"/>
              </w:rPr>
              <w:t>All three uploaded F-823 forms are unfilled templates; status, deviation, scope and external study IDs are not populated.</w:t>
            </w:r>
          </w:p>
        </w:tc>
        <w:tc>
          <w:tcPr>
            <w:tcW w:type="dxa" w:w="3888"/>
            <w:vAlign w:val="top"/>
          </w:tcPr>
          <w:p>
            <w:pPr>
              <w:spacing w:after="40" w:before="20" w:line="252" w:lineRule="auto"/>
            </w:pPr>
            <w:r/>
            <w:r>
              <w:rPr>
                <w:rFonts w:ascii="Aptos" w:hAnsi="Aptos"/>
                <w:b w:val="0"/>
                <w:color w:val="14253B"/>
                <w:sz w:val="16"/>
              </w:rPr>
              <w:t>Add exception/NCR ID, blocked/released status, escalation owner and verification references. In-process checks alone shall not act as final release approval or substitute F-823-F10.</w:t>
            </w:r>
          </w:p>
        </w:tc>
        <w:tc>
          <w:tcPr>
            <w:tcW w:type="dxa" w:w="2880"/>
            <w:vAlign w:val="top"/>
          </w:tcPr>
          <w:p>
            <w:pPr>
              <w:spacing w:after="40" w:before="20" w:line="252" w:lineRule="auto"/>
            </w:pPr>
            <w:r/>
            <w:r>
              <w:rPr>
                <w:rFonts w:ascii="Aptos" w:hAnsi="Aptos"/>
                <w:b w:val="0"/>
                <w:color w:val="14253B"/>
                <w:sz w:val="16"/>
              </w:rPr>
              <w:t>Required: executed lots, deviations, approved QC/QA release records and traceable evidence register. Route: In-process / Final release. Open - Evidence.</w:t>
            </w:r>
          </w:p>
        </w:tc>
      </w:tr>
    </w:tbl>
    <w:p>
      <w:pPr>
        <w:pStyle w:val="Heading1"/>
      </w:pPr>
      <w:r>
        <w:t>6. Required tests and verification strategy</w:t>
      </w:r>
    </w:p>
    <w:p>
      <w:r>
        <w:rPr>
          <w:rFonts w:ascii="Aptos" w:hAnsi="Aptos"/>
          <w:b w:val="0"/>
          <w:color w:val="14253B"/>
          <w:sz w:val="18"/>
        </w:rPr>
        <w:t>Routine in-process: correct material/configuration, actual filling masses where approved, weld recipe verification, cartridge/bag/component appearance, dimensional samples and pressure/time/bubble observations against SKU-specific controlled limits. Record individual actual data, not only tick marks.</w:t>
      </w:r>
    </w:p>
    <w:p>
      <w:r>
        <w:rPr>
          <w:rFonts w:ascii="Aptos" w:hAnsi="Aptos"/>
          <w:b w:val="0"/>
          <w:color w:val="14253B"/>
          <w:sz w:val="18"/>
        </w:rPr>
        <w:t>Incoming or qualified supplier: raw sodium bicarbonate identity/chemical grade/COA and component conformity. Qualification, validated laboratory or risk-approved periodic: reconstituted solutes, microbiology, endotoxin, material/closure compatibility, shelf-life and functional machine compatibility/powder retention. Approval of sampling/frequency is pending. Aqueous-only 1 µm filtration clause must NOT be transposed to these dry powder assemblies.</w:t>
      </w:r>
    </w:p>
    <w:p>
      <w:pPr>
        <w:pStyle w:val="Heading1"/>
      </w:pPr>
      <w:r>
        <w:t>7. Revised documents overview and closure</w:t>
      </w:r>
    </w:p>
    <w:p>
      <w:r>
        <w:rPr>
          <w:rFonts w:ascii="Aptos" w:hAnsi="Aptos"/>
          <w:b w:val="0"/>
          <w:color w:val="14253B"/>
          <w:sz w:val="18"/>
        </w:rPr>
        <w:t>The revised WI preserves the existing 17-page production baseline while adding in-line control sections, resolving misleading unconditional conductivity language and flagging conflicting machine setpoints. The proposed in-process report provides three separate controlled-record layouts for Gambro, Fresenius 5008 PE Bag and Injection/Extrusion. These records do not replace missing final release form F-823-F10.</w:t>
      </w:r>
    </w:p>
    <w:p>
      <w:r>
        <w:rPr>
          <w:rFonts w:ascii="Aptos" w:hAnsi="Aptos"/>
          <w:b w:val="0"/>
          <w:color w:val="14253B"/>
          <w:sz w:val="18"/>
        </w:rPr>
        <w:t>All findings remain open for approval, technical input and/or executed evidence. A draft is Documentary Covered only as a proposed document, never Verified Closed. See separate ISO Closure Register for each applicable/conditional ISO clause and all evidence gaps.</w:t>
      </w:r>
    </w:p>
    <w:p>
      <w:pPr>
        <w:pStyle w:val="Heading1"/>
      </w:pPr>
      <w:r>
        <w:t>8. QC Manager action plan</w:t>
      </w:r>
    </w:p>
    <w:tbl>
      <w:tblPr>
        <w:tblStyle w:val="TableGrid"/>
        <w:tblW w:type="auto" w:w="0"/>
        <w:jc w:val="center"/>
        <w:tblLayout w:type="fixed"/>
        <w:tblLook w:firstColumn="1" w:firstRow="1" w:lastColumn="0" w:lastRow="0" w:noHBand="0" w:noVBand="1" w:val="04A0"/>
      </w:tblPr>
      <w:tblGrid>
        <w:gridCol w:w="3734"/>
        <w:gridCol w:w="3734"/>
        <w:gridCol w:w="3734"/>
        <w:gridCol w:w="3734"/>
        <w:gridCol w:w="3734"/>
        <w:gridCol w:w="3734"/>
      </w:tblGrid>
      <w:tr>
        <w:trPr>
          <w:tblHeader w:val="true"/>
          <w:cantSplit/>
        </w:trPr>
        <w:tc>
          <w:tcPr>
            <w:tcW w:type="dxa" w:w="1296"/>
            <w:vAlign w:val="top"/>
            <w:shd w:fill="14253B"/>
          </w:tcPr>
          <w:p>
            <w:pPr>
              <w:spacing w:after="40" w:before="20" w:line="252" w:lineRule="auto"/>
            </w:pPr>
            <w:r/>
            <w:r>
              <w:rPr>
                <w:rFonts w:ascii="Aptos" w:hAnsi="Aptos"/>
                <w:b/>
                <w:color w:val="FFFFFF"/>
                <w:sz w:val="16"/>
              </w:rPr>
              <w:t>Gap</w:t>
            </w:r>
          </w:p>
        </w:tc>
        <w:tc>
          <w:tcPr>
            <w:tcW w:type="dxa" w:w="1080"/>
            <w:vAlign w:val="top"/>
            <w:shd w:fill="14253B"/>
          </w:tcPr>
          <w:p>
            <w:pPr>
              <w:spacing w:after="40" w:before="20" w:line="252" w:lineRule="auto"/>
            </w:pPr>
            <w:r/>
            <w:r>
              <w:rPr>
                <w:rFonts w:ascii="Aptos" w:hAnsi="Aptos"/>
                <w:b/>
                <w:color w:val="FFFFFF"/>
                <w:sz w:val="16"/>
              </w:rPr>
              <w:t>Priority</w:t>
            </w:r>
          </w:p>
        </w:tc>
        <w:tc>
          <w:tcPr>
            <w:tcW w:type="dxa" w:w="7488"/>
            <w:vAlign w:val="top"/>
            <w:shd w:fill="14253B"/>
          </w:tcPr>
          <w:p>
            <w:pPr>
              <w:spacing w:after="40" w:before="20" w:line="252" w:lineRule="auto"/>
            </w:pPr>
            <w:r/>
            <w:r>
              <w:rPr>
                <w:rFonts w:ascii="Aptos" w:hAnsi="Aptos"/>
                <w:b/>
                <w:color w:val="FFFFFF"/>
                <w:sz w:val="16"/>
              </w:rPr>
              <w:t>Required action</w:t>
            </w:r>
          </w:p>
        </w:tc>
        <w:tc>
          <w:tcPr>
            <w:tcW w:type="dxa" w:w="2088"/>
            <w:vAlign w:val="top"/>
            <w:shd w:fill="14253B"/>
          </w:tcPr>
          <w:p>
            <w:pPr>
              <w:spacing w:after="40" w:before="20" w:line="252" w:lineRule="auto"/>
            </w:pPr>
            <w:r/>
            <w:r>
              <w:rPr>
                <w:rFonts w:ascii="Aptos" w:hAnsi="Aptos"/>
                <w:b/>
                <w:color w:val="FFFFFF"/>
                <w:sz w:val="16"/>
              </w:rPr>
              <w:t>Responsible function</w:t>
            </w:r>
          </w:p>
        </w:tc>
        <w:tc>
          <w:tcPr>
            <w:tcW w:type="dxa" w:w="6192"/>
            <w:vAlign w:val="top"/>
            <w:shd w:fill="14253B"/>
          </w:tcPr>
          <w:p>
            <w:pPr>
              <w:spacing w:after="40" w:before="20" w:line="252" w:lineRule="auto"/>
            </w:pPr>
            <w:r/>
            <w:r>
              <w:rPr>
                <w:rFonts w:ascii="Aptos" w:hAnsi="Aptos"/>
                <w:b/>
                <w:color w:val="FFFFFF"/>
                <w:sz w:val="16"/>
              </w:rPr>
              <w:t>Required evidence</w:t>
            </w:r>
          </w:p>
        </w:tc>
        <w:tc>
          <w:tcPr>
            <w:tcW w:type="dxa" w:w="3312"/>
            <w:vAlign w:val="top"/>
            <w:shd w:fill="14253B"/>
          </w:tcPr>
          <w:p>
            <w:pPr>
              <w:spacing w:after="40" w:before="20" w:line="252" w:lineRule="auto"/>
            </w:pPr>
            <w:r/>
            <w:r>
              <w:rPr>
                <w:rFonts w:ascii="Aptos" w:hAnsi="Aptos"/>
                <w:b/>
                <w:color w:val="FFFFFF"/>
                <w:sz w:val="16"/>
              </w:rPr>
              <w:t>Current closure</w:t>
            </w:r>
          </w:p>
        </w:tc>
      </w:tr>
      <w:tr>
        <w:trPr>
          <w:cantSplit/>
        </w:trPr>
        <w:tc>
          <w:tcPr>
            <w:tcW w:type="dxa" w:w="1296"/>
            <w:vAlign w:val="top"/>
          </w:tcPr>
          <w:p>
            <w:pPr>
              <w:spacing w:after="40" w:before="20" w:line="252" w:lineRule="auto"/>
            </w:pPr>
            <w:r/>
            <w:r>
              <w:rPr>
                <w:rFonts w:ascii="Aptos" w:hAnsi="Aptos"/>
                <w:b w:val="0"/>
                <w:color w:val="14253B"/>
                <w:sz w:val="15"/>
              </w:rPr>
              <w:t>GAP-001</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§5.1A - Material release: identify the approved sodium bicarbonate pharmacopoeial monograph and edition per supplier/material code. Confirm the supplier lot COA against al ...</w:t>
            </w:r>
          </w:p>
        </w:tc>
        <w:tc>
          <w:tcPr>
            <w:tcW w:type="dxa" w:w="2088"/>
            <w:vAlign w:val="top"/>
          </w:tcPr>
          <w:p>
            <w:pPr>
              <w:spacing w:after="40" w:before="20" w:line="252" w:lineRule="auto"/>
            </w:pPr>
            <w:r/>
            <w:r>
              <w:rPr>
                <w:rFonts w:ascii="Aptos" w:hAnsi="Aptos"/>
                <w:b w:val="0"/>
                <w:color w:val="14253B"/>
                <w:sz w:val="15"/>
              </w:rPr>
              <w:t>Supplier Quality / QC Laboratory</w:t>
            </w:r>
          </w:p>
        </w:tc>
        <w:tc>
          <w:tcPr>
            <w:tcW w:type="dxa" w:w="6192"/>
            <w:vAlign w:val="top"/>
          </w:tcPr>
          <w:p>
            <w:pPr>
              <w:spacing w:after="40" w:before="20" w:line="252" w:lineRule="auto"/>
            </w:pPr>
            <w:r/>
            <w:r>
              <w:rPr>
                <w:rFonts w:ascii="Aptos" w:hAnsi="Aptos"/>
                <w:b w:val="0"/>
                <w:color w:val="14253B"/>
                <w:sz w:val="15"/>
              </w:rPr>
              <w:t xml:space="preserve">Required: approved material specification, monograph matrix, qualified COA/actual analytical tests, incoming release record. </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GAP-002</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§5.1B / §12.3 - For each approved powder configuration, establish an authorised IFU reconstitution procedure, water quality, machine/mixing conditions and concentration sp ...</w:t>
            </w:r>
          </w:p>
        </w:tc>
        <w:tc>
          <w:tcPr>
            <w:tcW w:type="dxa" w:w="2088"/>
            <w:vAlign w:val="top"/>
            <w:shd w:fill="F1F5F8"/>
          </w:tcPr>
          <w:p>
            <w:pPr>
              <w:spacing w:after="40" w:before="20" w:line="252" w:lineRule="auto"/>
            </w:pPr>
            <w:r>
              <w:rPr>
                <w:color w:val="14253B"/>
              </w:rPr>
            </w:r>
            <w:r>
              <w:rPr>
                <w:rFonts w:ascii="Aptos" w:hAnsi="Aptos"/>
                <w:b w:val="0"/>
                <w:color w:val="14253B"/>
                <w:sz w:val="15"/>
              </w:rPr>
              <w:t>R&amp;D / QC Laboratory / QA</w:t>
            </w:r>
          </w:p>
        </w:tc>
        <w:tc>
          <w:tcPr>
            <w:tcW w:type="dxa" w:w="6192"/>
            <w:vAlign w:val="top"/>
            <w:shd w:fill="F1F5F8"/>
          </w:tcPr>
          <w:p>
            <w:pPr>
              <w:spacing w:after="40" w:before="20" w:line="252" w:lineRule="auto"/>
            </w:pPr>
            <w:r>
              <w:rPr>
                <w:color w:val="14253B"/>
              </w:rPr>
            </w:r>
            <w:r>
              <w:rPr>
                <w:rFonts w:ascii="Aptos" w:hAnsi="Aptos"/>
                <w:b w:val="0"/>
                <w:color w:val="14253B"/>
                <w:sz w:val="15"/>
              </w:rPr>
              <w:t>Required: product composition specs, controlled IFU, analytical study/raw lab results, qualified methods and applicability ma</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GAP-003</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§12.4 - Establish and maintain an approved microbiological qualification and monitoring program for each applicable powder/packaging family under labelled use conditions.  ...</w:t>
            </w:r>
          </w:p>
        </w:tc>
        <w:tc>
          <w:tcPr>
            <w:tcW w:type="dxa" w:w="2088"/>
            <w:vAlign w:val="top"/>
          </w:tcPr>
          <w:p>
            <w:pPr>
              <w:spacing w:after="40" w:before="20" w:line="252" w:lineRule="auto"/>
            </w:pPr>
            <w:r/>
            <w:r>
              <w:rPr>
                <w:rFonts w:ascii="Aptos" w:hAnsi="Aptos"/>
                <w:b w:val="0"/>
                <w:color w:val="14253B"/>
                <w:sz w:val="15"/>
              </w:rPr>
              <w:t>Microbiology Laboratory / QA</w:t>
            </w:r>
          </w:p>
        </w:tc>
        <w:tc>
          <w:tcPr>
            <w:tcW w:type="dxa" w:w="6192"/>
            <w:vAlign w:val="top"/>
          </w:tcPr>
          <w:p>
            <w:pPr>
              <w:spacing w:after="40" w:before="20" w:line="252" w:lineRule="auto"/>
            </w:pPr>
            <w:r/>
            <w:r>
              <w:rPr>
                <w:rFonts w:ascii="Aptos" w:hAnsi="Aptos"/>
                <w:b w:val="0"/>
                <w:color w:val="14253B"/>
                <w:sz w:val="15"/>
              </w:rPr>
              <w:t>Required: qualified microbial test reports, validation/justified methods, acceptance criteria, labelled-use evidence and chan</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GAP-004</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§12.5 - Qualification of powder handling, filling, containers and labelled-use conditions shall demonstrate endotoxin performance under the approved specifications. Define ...</w:t>
            </w:r>
          </w:p>
        </w:tc>
        <w:tc>
          <w:tcPr>
            <w:tcW w:type="dxa" w:w="2088"/>
            <w:vAlign w:val="top"/>
            <w:shd w:fill="F1F5F8"/>
          </w:tcPr>
          <w:p>
            <w:pPr>
              <w:spacing w:after="40" w:before="20" w:line="252" w:lineRule="auto"/>
            </w:pPr>
            <w:r>
              <w:rPr>
                <w:color w:val="14253B"/>
              </w:rPr>
            </w:r>
            <w:r>
              <w:rPr>
                <w:rFonts w:ascii="Aptos" w:hAnsi="Aptos"/>
                <w:b w:val="0"/>
                <w:color w:val="14253B"/>
                <w:sz w:val="15"/>
              </w:rPr>
              <w:t>QA Validation / QC Laboratory</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validated endotoxin study, related laboratory records and process qualification, change control. </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GAP-005</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§12.6 - Maintain an approved compatibility matrix per SKU, machine model, filter design, flow path and applicable connection. Verify functional output, leakage/attachment, ...</w:t>
            </w:r>
          </w:p>
        </w:tc>
        <w:tc>
          <w:tcPr>
            <w:tcW w:type="dxa" w:w="2088"/>
            <w:vAlign w:val="top"/>
          </w:tcPr>
          <w:p>
            <w:pPr>
              <w:spacing w:after="40" w:before="20" w:line="252" w:lineRule="auto"/>
            </w:pPr>
            <w:r/>
            <w:r>
              <w:rPr>
                <w:rFonts w:ascii="Aptos" w:hAnsi="Aptos"/>
                <w:b w:val="0"/>
                <w:color w:val="14253B"/>
                <w:sz w:val="15"/>
              </w:rPr>
              <w:t>Engineering / QA Validation</w:t>
            </w:r>
          </w:p>
        </w:tc>
        <w:tc>
          <w:tcPr>
            <w:tcW w:type="dxa" w:w="6192"/>
            <w:vAlign w:val="top"/>
          </w:tcPr>
          <w:p>
            <w:pPr>
              <w:spacing w:after="40" w:before="20" w:line="252" w:lineRule="auto"/>
            </w:pPr>
            <w:r/>
            <w:r>
              <w:rPr>
                <w:rFonts w:ascii="Aptos" w:hAnsi="Aptos"/>
                <w:b w:val="0"/>
                <w:color w:val="14253B"/>
                <w:sz w:val="15"/>
              </w:rPr>
              <w:t xml:space="preserve">Required: design dossier, intended-device functional study, powder-retention results, matrix and approval. </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GAP-006</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§8.1A / §10A - Before line setup, choose authorised configuration, intended-use class and fill specification; measure net powder mass with calibrated balance using control ...</w:t>
            </w:r>
          </w:p>
        </w:tc>
        <w:tc>
          <w:tcPr>
            <w:tcW w:type="dxa" w:w="2088"/>
            <w:vAlign w:val="top"/>
            <w:shd w:fill="F1F5F8"/>
          </w:tcPr>
          <w:p>
            <w:pPr>
              <w:spacing w:after="40" w:before="20" w:line="252" w:lineRule="auto"/>
            </w:pPr>
            <w:r>
              <w:rPr>
                <w:color w:val="14253B"/>
              </w:rPr>
            </w:r>
            <w:r>
              <w:rPr>
                <w:rFonts w:ascii="Aptos" w:hAnsi="Aptos"/>
                <w:b w:val="0"/>
                <w:color w:val="14253B"/>
                <w:sz w:val="15"/>
              </w:rPr>
              <w:t>Process Engineering / QC / QA</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qualified fill tolerances by application, calibration, approved setup specs and executed mass records. </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GAP-007</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§12.7 - Approved packaging configuration shall be qualified for material/content interaction, closure integrity, transport/storage conditions and shelf-life where applicab ...</w:t>
            </w:r>
          </w:p>
        </w:tc>
        <w:tc>
          <w:tcPr>
            <w:tcW w:type="dxa" w:w="2088"/>
            <w:vAlign w:val="top"/>
          </w:tcPr>
          <w:p>
            <w:pPr>
              <w:spacing w:after="40" w:before="20" w:line="252" w:lineRule="auto"/>
            </w:pPr>
            <w:r/>
            <w:r>
              <w:rPr>
                <w:rFonts w:ascii="Aptos" w:hAnsi="Aptos"/>
                <w:b w:val="0"/>
                <w:color w:val="14253B"/>
                <w:sz w:val="15"/>
              </w:rPr>
              <w:t>Engineering / QA Validation</w:t>
            </w:r>
          </w:p>
        </w:tc>
        <w:tc>
          <w:tcPr>
            <w:tcW w:type="dxa" w:w="6192"/>
            <w:vAlign w:val="top"/>
          </w:tcPr>
          <w:p>
            <w:pPr>
              <w:spacing w:after="40" w:before="20" w:line="252" w:lineRule="auto"/>
            </w:pPr>
            <w:r/>
            <w:r>
              <w:rPr>
                <w:rFonts w:ascii="Aptos" w:hAnsi="Aptos"/>
                <w:b w:val="0"/>
                <w:color w:val="14253B"/>
                <w:sz w:val="15"/>
              </w:rPr>
              <w:t>Required: materials compatibility/biocompatibility rationale, closure integrity/transport/shelf-life study where applicable a</w:t>
            </w:r>
          </w:p>
        </w:tc>
        <w:tc>
          <w:tcPr>
            <w:tcW w:type="dxa" w:w="3312"/>
            <w:vAlign w:val="top"/>
          </w:tcPr>
          <w:p>
            <w:pPr>
              <w:spacing w:after="40" w:before="20" w:line="252" w:lineRule="auto"/>
            </w:pPr>
            <w:r/>
            <w:r>
              <w:rPr>
                <w:rFonts w:ascii="Aptos" w:hAnsi="Aptos"/>
                <w:b w:val="0"/>
                <w:color w:val="14253B"/>
                <w:sz w:val="15"/>
              </w:rPr>
              <w:t>Open - Evidence / Approval</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GAP-008</w:t>
            </w:r>
          </w:p>
        </w:tc>
        <w:tc>
          <w:tcPr>
            <w:tcW w:type="dxa" w:w="1080"/>
            <w:vAlign w:val="top"/>
            <w:shd w:fill="F1F5F8"/>
          </w:tcPr>
          <w:p>
            <w:pPr>
              <w:spacing w:after="40" w:before="20" w:line="252" w:lineRule="auto"/>
            </w:pPr>
            <w:r>
              <w:rPr>
                <w:color w:val="14253B"/>
              </w:rPr>
            </w:r>
            <w:r>
              <w:rPr>
                <w:rFonts w:ascii="Aptos" w:hAnsi="Aptos"/>
                <w:b w:val="0"/>
                <w:color w:val="14253B"/>
                <w:sz w:val="15"/>
              </w:rPr>
              <w:t>P2</w:t>
            </w:r>
          </w:p>
        </w:tc>
        <w:tc>
          <w:tcPr>
            <w:tcW w:type="dxa" w:w="7488"/>
            <w:vAlign w:val="top"/>
            <w:shd w:fill="F1F5F8"/>
          </w:tcPr>
          <w:p>
            <w:pPr>
              <w:spacing w:after="40" w:before="20" w:line="252" w:lineRule="auto"/>
            </w:pPr>
            <w:r>
              <w:rPr>
                <w:color w:val="14253B"/>
              </w:rPr>
            </w:r>
            <w:r>
              <w:rPr>
                <w:rFonts w:ascii="Aptos" w:hAnsi="Aptos"/>
                <w:b w:val="0"/>
                <w:color w:val="14253B"/>
                <w:sz w:val="15"/>
              </w:rPr>
              <w:t>Proposed §6.0A - List and approve product-contact surfaces for granules, hoppers, filling, tubing/adaptors and tools. Check relevant materials and cleaning controls against approve ...</w:t>
            </w:r>
          </w:p>
        </w:tc>
        <w:tc>
          <w:tcPr>
            <w:tcW w:type="dxa" w:w="2088"/>
            <w:vAlign w:val="top"/>
            <w:shd w:fill="F1F5F8"/>
          </w:tcPr>
          <w:p>
            <w:pPr>
              <w:spacing w:after="40" w:before="20" w:line="252" w:lineRule="auto"/>
            </w:pPr>
            <w:r>
              <w:rPr>
                <w:color w:val="14253B"/>
              </w:rPr>
            </w:r>
            <w:r>
              <w:rPr>
                <w:rFonts w:ascii="Aptos" w:hAnsi="Aptos"/>
                <w:b w:val="0"/>
                <w:color w:val="14253B"/>
                <w:sz w:val="15"/>
              </w:rPr>
              <w:t>Engineering / Production / QA</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equipment BOM/contact-material declarations, risk assessment, cleaning qualification and change records. </w:t>
            </w:r>
          </w:p>
        </w:tc>
        <w:tc>
          <w:tcPr>
            <w:tcW w:type="dxa" w:w="3312"/>
            <w:vAlign w:val="top"/>
            <w:shd w:fill="F1F5F8"/>
          </w:tcPr>
          <w:p>
            <w:pPr>
              <w:spacing w:after="40" w:before="20" w:line="252" w:lineRule="auto"/>
            </w:pPr>
            <w:r>
              <w:rPr>
                <w:color w:val="14253B"/>
              </w:rPr>
            </w:r>
            <w:r>
              <w:rPr>
                <w:rFonts w:ascii="Aptos" w:hAnsi="Aptos"/>
                <w:b w:val="0"/>
                <w:color w:val="14253B"/>
                <w:sz w:val="15"/>
              </w:rPr>
              <w:t>Open - Evidence / Approval</w:t>
            </w:r>
          </w:p>
        </w:tc>
      </w:tr>
      <w:tr>
        <w:trPr>
          <w:cantSplit/>
        </w:trPr>
        <w:tc>
          <w:tcPr>
            <w:tcW w:type="dxa" w:w="1296"/>
            <w:vAlign w:val="top"/>
          </w:tcPr>
          <w:p>
            <w:pPr>
              <w:spacing w:after="40" w:before="20" w:line="252" w:lineRule="auto"/>
            </w:pPr>
            <w:r/>
            <w:r>
              <w:rPr>
                <w:rFonts w:ascii="Aptos" w:hAnsi="Aptos"/>
                <w:b w:val="0"/>
                <w:color w:val="14253B"/>
                <w:sz w:val="15"/>
              </w:rPr>
              <w:t>GAP-009</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§13.1 - Before approval of each label/IFU master, QA shall approve an ISO 6.2 item-by-item applicability matrix and verify the actual unit label, outer carton and inserts  ...</w:t>
            </w:r>
          </w:p>
        </w:tc>
        <w:tc>
          <w:tcPr>
            <w:tcW w:type="dxa" w:w="2088"/>
            <w:vAlign w:val="top"/>
          </w:tcPr>
          <w:p>
            <w:pPr>
              <w:spacing w:after="40" w:before="20" w:line="252" w:lineRule="auto"/>
            </w:pPr>
            <w:r/>
            <w:r>
              <w:rPr>
                <w:rFonts w:ascii="Aptos" w:hAnsi="Aptos"/>
                <w:b w:val="0"/>
                <w:color w:val="14253B"/>
                <w:sz w:val="15"/>
              </w:rPr>
              <w:t>Regulatory / QA / QC</w:t>
            </w:r>
          </w:p>
        </w:tc>
        <w:tc>
          <w:tcPr>
            <w:tcW w:type="dxa" w:w="6192"/>
            <w:vAlign w:val="top"/>
          </w:tcPr>
          <w:p>
            <w:pPr>
              <w:spacing w:after="40" w:before="20" w:line="252" w:lineRule="auto"/>
            </w:pPr>
            <w:r/>
            <w:r>
              <w:rPr>
                <w:rFonts w:ascii="Aptos" w:hAnsi="Aptos"/>
                <w:b w:val="0"/>
                <w:color w:val="14253B"/>
                <w:sz w:val="15"/>
              </w:rPr>
              <w:t>Required: physical or controlled artwork/IFU, completed ISO label matrix, approved changes and in-process sample label check.</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GAP-010</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§13.2 - Maintain QA-approved IFU/label by SKU addressing the applicable ISO 6.4 powder requirements, including machine-automated mixing instructions when appropriate, vali ...</w:t>
            </w:r>
          </w:p>
        </w:tc>
        <w:tc>
          <w:tcPr>
            <w:tcW w:type="dxa" w:w="2088"/>
            <w:vAlign w:val="top"/>
            <w:shd w:fill="F1F5F8"/>
          </w:tcPr>
          <w:p>
            <w:pPr>
              <w:spacing w:after="40" w:before="20" w:line="252" w:lineRule="auto"/>
            </w:pPr>
            <w:r>
              <w:rPr>
                <w:color w:val="14253B"/>
              </w:rPr>
            </w:r>
            <w:r>
              <w:rPr>
                <w:rFonts w:ascii="Aptos" w:hAnsi="Aptos"/>
                <w:b w:val="0"/>
                <w:color w:val="14253B"/>
                <w:sz w:val="15"/>
              </w:rPr>
              <w:t>Regulatory / QA</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approved IFU/powder artwork, storage/stability studies, use-condition evidence and label reconciliation. </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GAP-011</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§13.3 - For SKUs classified as concentrate generators, approved labelling shall identify the specific dialysis machine/proportioner compatibility and validated capacity/ti ...</w:t>
            </w:r>
          </w:p>
        </w:tc>
        <w:tc>
          <w:tcPr>
            <w:tcW w:type="dxa" w:w="2088"/>
            <w:vAlign w:val="top"/>
          </w:tcPr>
          <w:p>
            <w:pPr>
              <w:spacing w:after="40" w:before="20" w:line="252" w:lineRule="auto"/>
            </w:pPr>
            <w:r/>
            <w:r>
              <w:rPr>
                <w:rFonts w:ascii="Aptos" w:hAnsi="Aptos"/>
                <w:b w:val="0"/>
                <w:color w:val="14253B"/>
                <w:sz w:val="15"/>
              </w:rPr>
              <w:t>Engineering / Regulatory</w:t>
            </w:r>
          </w:p>
        </w:tc>
        <w:tc>
          <w:tcPr>
            <w:tcW w:type="dxa" w:w="6192"/>
            <w:vAlign w:val="top"/>
          </w:tcPr>
          <w:p>
            <w:pPr>
              <w:spacing w:after="40" w:before="20" w:line="252" w:lineRule="auto"/>
            </w:pPr>
            <w:r/>
            <w:r>
              <w:rPr>
                <w:rFonts w:ascii="Aptos" w:hAnsi="Aptos"/>
                <w:b w:val="0"/>
                <w:color w:val="14253B"/>
                <w:sz w:val="15"/>
              </w:rPr>
              <w:t xml:space="preserve">Required: SKU classification, machine compatibility/flow/time study, actual approved label/IFU and authorisation. </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GAP-012</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§12.3A - Use only the authorised product-specific conductivity/pH/solute criterion after identifying the correct prepared solution, mixing ratio, water quality, temperatur ...</w:t>
            </w:r>
          </w:p>
        </w:tc>
        <w:tc>
          <w:tcPr>
            <w:tcW w:type="dxa" w:w="2088"/>
            <w:vAlign w:val="top"/>
            <w:shd w:fill="F1F5F8"/>
          </w:tcPr>
          <w:p>
            <w:pPr>
              <w:spacing w:after="40" w:before="20" w:line="252" w:lineRule="auto"/>
            </w:pPr>
            <w:r>
              <w:rPr>
                <w:color w:val="14253B"/>
              </w:rPr>
            </w:r>
            <w:r>
              <w:rPr>
                <w:rFonts w:ascii="Aptos" w:hAnsi="Aptos"/>
                <w:b w:val="0"/>
                <w:color w:val="14253B"/>
                <w:sz w:val="15"/>
              </w:rPr>
              <w:t>QC Laboratory / QA</w:t>
            </w:r>
          </w:p>
        </w:tc>
        <w:tc>
          <w:tcPr>
            <w:tcW w:type="dxa" w:w="6192"/>
            <w:vAlign w:val="top"/>
            <w:shd w:fill="F1F5F8"/>
          </w:tcPr>
          <w:p>
            <w:pPr>
              <w:spacing w:after="40" w:before="20" w:line="252" w:lineRule="auto"/>
            </w:pPr>
            <w:r>
              <w:rPr>
                <w:color w:val="14253B"/>
              </w:rPr>
            </w:r>
            <w:r>
              <w:rPr>
                <w:rFonts w:ascii="Aptos" w:hAnsi="Aptos"/>
                <w:b w:val="0"/>
                <w:color w:val="14253B"/>
                <w:sz w:val="15"/>
              </w:rPr>
              <w:t>Required: approved method and product-specific specification, conductivity-composition correlation if used, executed results.</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GAP-013</w:t>
            </w:r>
          </w:p>
        </w:tc>
        <w:tc>
          <w:tcPr>
            <w:tcW w:type="dxa" w:w="1080"/>
            <w:vAlign w:val="top"/>
          </w:tcPr>
          <w:p>
            <w:pPr>
              <w:spacing w:after="40" w:before="20" w:line="252" w:lineRule="auto"/>
            </w:pPr>
            <w:r/>
            <w:r>
              <w:rPr>
                <w:rFonts w:ascii="Aptos" w:hAnsi="Aptos"/>
                <w:b w:val="0"/>
                <w:color w:val="14253B"/>
                <w:sz w:val="15"/>
              </w:rPr>
              <w:t>P1</w:t>
            </w:r>
          </w:p>
        </w:tc>
        <w:tc>
          <w:tcPr>
            <w:tcW w:type="dxa" w:w="7488"/>
            <w:vAlign w:val="top"/>
          </w:tcPr>
          <w:p>
            <w:pPr>
              <w:spacing w:after="40" w:before="20" w:line="252" w:lineRule="auto"/>
            </w:pPr>
            <w:r/>
            <w:r>
              <w:rPr>
                <w:rFonts w:ascii="Aptos" w:hAnsi="Aptos"/>
                <w:b w:val="0"/>
                <w:color w:val="14253B"/>
                <w:sz w:val="15"/>
              </w:rPr>
              <w:t>Proposed §8.1B - Prior to production, obtain Engineering/QA approval of AP32 parameter name, physical unit, nominal value, tolerance and alarm acceptance per machine model/configur ...</w:t>
            </w:r>
          </w:p>
        </w:tc>
        <w:tc>
          <w:tcPr>
            <w:tcW w:type="dxa" w:w="2088"/>
            <w:vAlign w:val="top"/>
          </w:tcPr>
          <w:p>
            <w:pPr>
              <w:spacing w:after="40" w:before="20" w:line="252" w:lineRule="auto"/>
            </w:pPr>
            <w:r/>
            <w:r>
              <w:rPr>
                <w:rFonts w:ascii="Aptos" w:hAnsi="Aptos"/>
                <w:b w:val="0"/>
                <w:color w:val="14253B"/>
                <w:sz w:val="15"/>
              </w:rPr>
              <w:t>Process Engineering / QA</w:t>
            </w:r>
          </w:p>
        </w:tc>
        <w:tc>
          <w:tcPr>
            <w:tcW w:type="dxa" w:w="6192"/>
            <w:vAlign w:val="top"/>
          </w:tcPr>
          <w:p>
            <w:pPr>
              <w:spacing w:after="40" w:before="20" w:line="252" w:lineRule="auto"/>
            </w:pPr>
            <w:r/>
            <w:r>
              <w:rPr>
                <w:rFonts w:ascii="Aptos" w:hAnsi="Aptos"/>
                <w:b w:val="0"/>
                <w:color w:val="14253B"/>
                <w:sz w:val="15"/>
              </w:rPr>
              <w:t xml:space="preserve">Required: equipment manual, validated parameter master, reviewed deviation impact, qualified setup/pressure evidence. </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GAP-014</w:t>
            </w:r>
          </w:p>
        </w:tc>
        <w:tc>
          <w:tcPr>
            <w:tcW w:type="dxa" w:w="1080"/>
            <w:vAlign w:val="top"/>
            <w:shd w:fill="F1F5F8"/>
          </w:tcPr>
          <w:p>
            <w:pPr>
              <w:spacing w:after="40" w:before="20" w:line="252" w:lineRule="auto"/>
            </w:pPr>
            <w:r>
              <w:rPr>
                <w:color w:val="14253B"/>
              </w:rPr>
            </w:r>
            <w:r>
              <w:rPr>
                <w:rFonts w:ascii="Aptos" w:hAnsi="Aptos"/>
                <w:b w:val="0"/>
                <w:color w:val="14253B"/>
                <w:sz w:val="15"/>
              </w:rPr>
              <w:t>P1</w:t>
            </w:r>
          </w:p>
        </w:tc>
        <w:tc>
          <w:tcPr>
            <w:tcW w:type="dxa" w:w="7488"/>
            <w:vAlign w:val="top"/>
            <w:shd w:fill="F1F5F8"/>
          </w:tcPr>
          <w:p>
            <w:pPr>
              <w:spacing w:after="40" w:before="20" w:line="252" w:lineRule="auto"/>
            </w:pPr>
            <w:r>
              <w:rPr>
                <w:color w:val="14253B"/>
              </w:rPr>
            </w:r>
            <w:r>
              <w:rPr>
                <w:rFonts w:ascii="Aptos" w:hAnsi="Aptos"/>
                <w:b w:val="0"/>
                <w:color w:val="14253B"/>
                <w:sz w:val="15"/>
              </w:rPr>
              <w:t>Proposed §8.1C / §10.6 - For each welding station, define approved machine/model/recipe ID, fully specified upper and lower setpoints with units (temperature, time, pressure, delay ...</w:t>
            </w:r>
          </w:p>
        </w:tc>
        <w:tc>
          <w:tcPr>
            <w:tcW w:type="dxa" w:w="2088"/>
            <w:vAlign w:val="top"/>
            <w:shd w:fill="F1F5F8"/>
          </w:tcPr>
          <w:p>
            <w:pPr>
              <w:spacing w:after="40" w:before="20" w:line="252" w:lineRule="auto"/>
            </w:pPr>
            <w:r>
              <w:rPr>
                <w:color w:val="14253B"/>
              </w:rPr>
            </w:r>
            <w:r>
              <w:rPr>
                <w:rFonts w:ascii="Aptos" w:hAnsi="Aptos"/>
                <w:b w:val="0"/>
                <w:color w:val="14253B"/>
                <w:sz w:val="15"/>
              </w:rPr>
              <w:t>Production Engineering / QA Validation</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equipment recipe sheets, OQ/process qualification, approved reconciliation, executed setup records. </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GAP-015</w:t>
            </w:r>
          </w:p>
        </w:tc>
        <w:tc>
          <w:tcPr>
            <w:tcW w:type="dxa" w:w="1080"/>
            <w:vAlign w:val="top"/>
          </w:tcPr>
          <w:p>
            <w:pPr>
              <w:spacing w:after="40" w:before="20" w:line="252" w:lineRule="auto"/>
            </w:pPr>
            <w:r/>
            <w:r>
              <w:rPr>
                <w:rFonts w:ascii="Aptos" w:hAnsi="Aptos"/>
                <w:b w:val="0"/>
                <w:color w:val="14253B"/>
                <w:sz w:val="15"/>
              </w:rPr>
              <w:t>P2</w:t>
            </w:r>
          </w:p>
        </w:tc>
        <w:tc>
          <w:tcPr>
            <w:tcW w:type="dxa" w:w="7488"/>
            <w:vAlign w:val="top"/>
          </w:tcPr>
          <w:p>
            <w:pPr>
              <w:spacing w:after="40" w:before="20" w:line="252" w:lineRule="auto"/>
            </w:pPr>
            <w:r/>
            <w:r>
              <w:rPr>
                <w:rFonts w:ascii="Aptos" w:hAnsi="Aptos"/>
                <w:b w:val="0"/>
                <w:color w:val="14253B"/>
                <w:sz w:val="15"/>
              </w:rPr>
              <w:t>Proposed §10.8 / §8.2 - Conduct approved water-immersion leak test on selected identification-coded samples using calibrated setup at the SKU-specific pressure/time range. Record a ...</w:t>
            </w:r>
          </w:p>
        </w:tc>
        <w:tc>
          <w:tcPr>
            <w:tcW w:type="dxa" w:w="2088"/>
            <w:vAlign w:val="top"/>
          </w:tcPr>
          <w:p>
            <w:pPr>
              <w:spacing w:after="40" w:before="20" w:line="252" w:lineRule="auto"/>
            </w:pPr>
            <w:r/>
            <w:r>
              <w:rPr>
                <w:rFonts w:ascii="Aptos" w:hAnsi="Aptos"/>
                <w:b w:val="0"/>
                <w:color w:val="14253B"/>
                <w:sz w:val="15"/>
              </w:rPr>
              <w:t>QC / Production</w:t>
            </w:r>
          </w:p>
        </w:tc>
        <w:tc>
          <w:tcPr>
            <w:tcW w:type="dxa" w:w="6192"/>
            <w:vAlign w:val="top"/>
          </w:tcPr>
          <w:p>
            <w:pPr>
              <w:spacing w:after="40" w:before="20" w:line="252" w:lineRule="auto"/>
            </w:pPr>
            <w:r/>
            <w:r>
              <w:rPr>
                <w:rFonts w:ascii="Aptos" w:hAnsi="Aptos"/>
                <w:b w:val="0"/>
                <w:color w:val="14253B"/>
                <w:sz w:val="15"/>
              </w:rPr>
              <w:t xml:space="preserve">Required: completed leak records and calibration; qualified method and approved sample plan. </w:t>
            </w:r>
          </w:p>
        </w:tc>
        <w:tc>
          <w:tcPr>
            <w:tcW w:type="dxa" w:w="3312"/>
            <w:vAlign w:val="top"/>
          </w:tcPr>
          <w:p>
            <w:pPr>
              <w:spacing w:after="40" w:before="20" w:line="252" w:lineRule="auto"/>
            </w:pPr>
            <w:r/>
            <w:r>
              <w:rPr>
                <w:rFonts w:ascii="Aptos" w:hAnsi="Aptos"/>
                <w:b w:val="0"/>
                <w:color w:val="14253B"/>
                <w:sz w:val="15"/>
              </w:rPr>
              <w:t>Open - Evidence / Approval</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GAP-016</w:t>
            </w:r>
          </w:p>
        </w:tc>
        <w:tc>
          <w:tcPr>
            <w:tcW w:type="dxa" w:w="1080"/>
            <w:vAlign w:val="top"/>
            <w:shd w:fill="F1F5F8"/>
          </w:tcPr>
          <w:p>
            <w:pPr>
              <w:spacing w:after="40" w:before="20" w:line="252" w:lineRule="auto"/>
            </w:pPr>
            <w:r>
              <w:rPr>
                <w:color w:val="14253B"/>
              </w:rPr>
            </w:r>
            <w:r>
              <w:rPr>
                <w:rFonts w:ascii="Aptos" w:hAnsi="Aptos"/>
                <w:b w:val="0"/>
                <w:color w:val="14253B"/>
                <w:sz w:val="15"/>
              </w:rPr>
              <w:t>P2</w:t>
            </w:r>
          </w:p>
        </w:tc>
        <w:tc>
          <w:tcPr>
            <w:tcW w:type="dxa" w:w="7488"/>
            <w:vAlign w:val="top"/>
            <w:shd w:fill="F1F5F8"/>
          </w:tcPr>
          <w:p>
            <w:pPr>
              <w:spacing w:after="40" w:before="20" w:line="252" w:lineRule="auto"/>
            </w:pPr>
            <w:r>
              <w:rPr>
                <w:color w:val="14253B"/>
              </w:rPr>
            </w:r>
            <w:r>
              <w:rPr>
                <w:rFonts w:ascii="Aptos" w:hAnsi="Aptos"/>
                <w:b w:val="0"/>
                <w:color w:val="14253B"/>
                <w:sz w:val="15"/>
              </w:rPr>
              <w:t>Proposed §6.2A / §7.1A - Control each critical dimension against product drawing/TF code with defined nominal, lower/upper limit and calibration/instrument capability. Record actua ...</w:t>
            </w:r>
          </w:p>
        </w:tc>
        <w:tc>
          <w:tcPr>
            <w:tcW w:type="dxa" w:w="2088"/>
            <w:vAlign w:val="top"/>
            <w:shd w:fill="F1F5F8"/>
          </w:tcPr>
          <w:p>
            <w:pPr>
              <w:spacing w:after="40" w:before="20" w:line="252" w:lineRule="auto"/>
            </w:pPr>
            <w:r>
              <w:rPr>
                <w:color w:val="14253B"/>
              </w:rPr>
            </w:r>
            <w:r>
              <w:rPr>
                <w:rFonts w:ascii="Aptos" w:hAnsi="Aptos"/>
                <w:b w:val="0"/>
                <w:color w:val="14253B"/>
                <w:sz w:val="15"/>
              </w:rPr>
              <w:t>Engineering / QC</w:t>
            </w:r>
          </w:p>
        </w:tc>
        <w:tc>
          <w:tcPr>
            <w:tcW w:type="dxa" w:w="6192"/>
            <w:vAlign w:val="top"/>
            <w:shd w:fill="F1F5F8"/>
          </w:tcPr>
          <w:p>
            <w:pPr>
              <w:spacing w:after="40" w:before="20" w:line="252" w:lineRule="auto"/>
            </w:pPr>
            <w:r>
              <w:rPr>
                <w:color w:val="14253B"/>
              </w:rPr>
            </w:r>
            <w:r>
              <w:rPr>
                <w:rFonts w:ascii="Aptos" w:hAnsi="Aptos"/>
                <w:b w:val="0"/>
                <w:color w:val="14253B"/>
                <w:sz w:val="15"/>
              </w:rPr>
              <w:t xml:space="preserve">Required: controlled TF-40-PS/PDBM/drawings, calibration and real dimensional logs. </w:t>
            </w:r>
          </w:p>
        </w:tc>
        <w:tc>
          <w:tcPr>
            <w:tcW w:type="dxa" w:w="3312"/>
            <w:vAlign w:val="top"/>
            <w:shd w:fill="F1F5F8"/>
          </w:tcPr>
          <w:p>
            <w:pPr>
              <w:spacing w:after="40" w:before="20" w:line="252" w:lineRule="auto"/>
            </w:pPr>
            <w:r>
              <w:rPr>
                <w:color w:val="14253B"/>
              </w:rPr>
            </w:r>
            <w:r>
              <w:rPr>
                <w:rFonts w:ascii="Aptos" w:hAnsi="Aptos"/>
                <w:b w:val="0"/>
                <w:color w:val="14253B"/>
                <w:sz w:val="15"/>
              </w:rPr>
              <w:t>Open - Technical Input / Evidence</w:t>
            </w:r>
          </w:p>
        </w:tc>
      </w:tr>
      <w:tr>
        <w:trPr>
          <w:cantSplit/>
        </w:trPr>
        <w:tc>
          <w:tcPr>
            <w:tcW w:type="dxa" w:w="1296"/>
            <w:vAlign w:val="top"/>
          </w:tcPr>
          <w:p>
            <w:pPr>
              <w:spacing w:after="40" w:before="20" w:line="252" w:lineRule="auto"/>
            </w:pPr>
            <w:r/>
            <w:r>
              <w:rPr>
                <w:rFonts w:ascii="Aptos" w:hAnsi="Aptos"/>
                <w:b w:val="0"/>
                <w:color w:val="14253B"/>
                <w:sz w:val="15"/>
              </w:rPr>
              <w:t>GAP-017</w:t>
            </w:r>
          </w:p>
        </w:tc>
        <w:tc>
          <w:tcPr>
            <w:tcW w:type="dxa" w:w="1080"/>
            <w:vAlign w:val="top"/>
          </w:tcPr>
          <w:p>
            <w:pPr>
              <w:spacing w:after="40" w:before="20" w:line="252" w:lineRule="auto"/>
            </w:pPr>
            <w:r/>
            <w:r>
              <w:rPr>
                <w:rFonts w:ascii="Aptos" w:hAnsi="Aptos"/>
                <w:b w:val="0"/>
                <w:color w:val="14253B"/>
                <w:sz w:val="15"/>
              </w:rPr>
              <w:t>P2</w:t>
            </w:r>
          </w:p>
        </w:tc>
        <w:tc>
          <w:tcPr>
            <w:tcW w:type="dxa" w:w="7488"/>
            <w:vAlign w:val="top"/>
          </w:tcPr>
          <w:p>
            <w:pPr>
              <w:spacing w:after="40" w:before="20" w:line="252" w:lineRule="auto"/>
            </w:pPr>
            <w:r/>
            <w:r>
              <w:rPr>
                <w:rFonts w:ascii="Aptos" w:hAnsi="Aptos"/>
                <w:b w:val="0"/>
                <w:color w:val="14253B"/>
                <w:sz w:val="15"/>
              </w:rPr>
              <w:t>Proposed §14 - Identify actual process stage, time/shift, machine/cavity/lot, approved sampling plan ID, inspection level/AQL (if applicable), quantity, sampling interval, defect c ...</w:t>
            </w:r>
          </w:p>
        </w:tc>
        <w:tc>
          <w:tcPr>
            <w:tcW w:type="dxa" w:w="2088"/>
            <w:vAlign w:val="top"/>
          </w:tcPr>
          <w:p>
            <w:pPr>
              <w:spacing w:after="40" w:before="20" w:line="252" w:lineRule="auto"/>
            </w:pPr>
            <w:r/>
            <w:r>
              <w:rPr>
                <w:rFonts w:ascii="Aptos" w:hAnsi="Aptos"/>
                <w:b w:val="0"/>
                <w:color w:val="14253B"/>
                <w:sz w:val="15"/>
              </w:rPr>
              <w:t>QC / QA</w:t>
            </w:r>
          </w:p>
        </w:tc>
        <w:tc>
          <w:tcPr>
            <w:tcW w:type="dxa" w:w="6192"/>
            <w:vAlign w:val="top"/>
          </w:tcPr>
          <w:p>
            <w:pPr>
              <w:spacing w:after="40" w:before="20" w:line="252" w:lineRule="auto"/>
            </w:pPr>
            <w:r/>
            <w:r>
              <w:rPr>
                <w:rFonts w:ascii="Aptos" w:hAnsi="Aptos"/>
                <w:b w:val="0"/>
                <w:color w:val="14253B"/>
                <w:sz w:val="15"/>
              </w:rPr>
              <w:t xml:space="preserve">Required: controlled sampling/inspection plan, sampled records and evidence of training. </w:t>
            </w:r>
          </w:p>
        </w:tc>
        <w:tc>
          <w:tcPr>
            <w:tcW w:type="dxa" w:w="3312"/>
            <w:vAlign w:val="top"/>
          </w:tcPr>
          <w:p>
            <w:pPr>
              <w:spacing w:after="40" w:before="20" w:line="252" w:lineRule="auto"/>
            </w:pPr>
            <w:r/>
            <w:r>
              <w:rPr>
                <w:rFonts w:ascii="Aptos" w:hAnsi="Aptos"/>
                <w:b w:val="0"/>
                <w:color w:val="14253B"/>
                <w:sz w:val="15"/>
              </w:rPr>
              <w:t>Open - Technical Input / Evidence</w:t>
            </w:r>
          </w:p>
        </w:tc>
      </w:tr>
      <w:tr>
        <w:trPr>
          <w:cantSplit/>
        </w:trPr>
        <w:tc>
          <w:tcPr>
            <w:tcW w:type="dxa" w:w="1296"/>
            <w:vAlign w:val="top"/>
            <w:shd w:fill="F1F5F8"/>
          </w:tcPr>
          <w:p>
            <w:pPr>
              <w:spacing w:after="40" w:before="20" w:line="252" w:lineRule="auto"/>
            </w:pPr>
            <w:r>
              <w:rPr>
                <w:color w:val="14253B"/>
              </w:rPr>
            </w:r>
            <w:r>
              <w:rPr>
                <w:rFonts w:ascii="Aptos" w:hAnsi="Aptos"/>
                <w:b w:val="0"/>
                <w:color w:val="14253B"/>
                <w:sz w:val="15"/>
              </w:rPr>
              <w:t>GAP-018</w:t>
            </w:r>
          </w:p>
        </w:tc>
        <w:tc>
          <w:tcPr>
            <w:tcW w:type="dxa" w:w="1080"/>
            <w:vAlign w:val="top"/>
            <w:shd w:fill="F1F5F8"/>
          </w:tcPr>
          <w:p>
            <w:pPr>
              <w:spacing w:after="40" w:before="20" w:line="252" w:lineRule="auto"/>
            </w:pPr>
            <w:r>
              <w:rPr>
                <w:color w:val="14253B"/>
              </w:rPr>
            </w:r>
            <w:r>
              <w:rPr>
                <w:rFonts w:ascii="Aptos" w:hAnsi="Aptos"/>
                <w:b w:val="0"/>
                <w:color w:val="14253B"/>
                <w:sz w:val="15"/>
              </w:rPr>
              <w:t>P2</w:t>
            </w:r>
          </w:p>
        </w:tc>
        <w:tc>
          <w:tcPr>
            <w:tcW w:type="dxa" w:w="7488"/>
            <w:vAlign w:val="top"/>
            <w:shd w:fill="F1F5F8"/>
          </w:tcPr>
          <w:p>
            <w:pPr>
              <w:spacing w:after="40" w:before="20" w:line="252" w:lineRule="auto"/>
            </w:pPr>
            <w:r>
              <w:rPr>
                <w:color w:val="14253B"/>
              </w:rPr>
            </w:r>
            <w:r>
              <w:rPr>
                <w:rFonts w:ascii="Aptos" w:hAnsi="Aptos"/>
                <w:b w:val="0"/>
                <w:color w:val="14253B"/>
                <w:sz w:val="15"/>
              </w:rPr>
              <w:t>Proposed §17 - Document Control: treat this rebuilt WI as DRAFT - proposed revision TBD; QA shall reconcile master-document index, effective revisions, referenced form IDs, record  ...</w:t>
            </w:r>
          </w:p>
        </w:tc>
        <w:tc>
          <w:tcPr>
            <w:tcW w:type="dxa" w:w="2088"/>
            <w:vAlign w:val="top"/>
            <w:shd w:fill="F1F5F8"/>
          </w:tcPr>
          <w:p>
            <w:pPr>
              <w:spacing w:after="40" w:before="20" w:line="252" w:lineRule="auto"/>
            </w:pPr>
            <w:r>
              <w:rPr>
                <w:color w:val="14253B"/>
              </w:rPr>
            </w:r>
            <w:r>
              <w:rPr>
                <w:rFonts w:ascii="Aptos" w:hAnsi="Aptos"/>
                <w:b w:val="0"/>
                <w:color w:val="14253B"/>
                <w:sz w:val="15"/>
              </w:rPr>
              <w:t>Document Control / QA</w:t>
            </w:r>
          </w:p>
        </w:tc>
        <w:tc>
          <w:tcPr>
            <w:tcW w:type="dxa" w:w="6192"/>
            <w:vAlign w:val="top"/>
            <w:shd w:fill="F1F5F8"/>
          </w:tcPr>
          <w:p>
            <w:pPr>
              <w:spacing w:after="40" w:before="20" w:line="252" w:lineRule="auto"/>
            </w:pPr>
            <w:r>
              <w:rPr>
                <w:color w:val="14253B"/>
              </w:rPr>
            </w:r>
            <w:r>
              <w:rPr>
                <w:rFonts w:ascii="Aptos" w:hAnsi="Aptos"/>
                <w:b w:val="0"/>
                <w:color w:val="14253B"/>
                <w:sz w:val="15"/>
              </w:rPr>
              <w:t>Required: master document list, approved revision/supersession history, missing referenced forms incl. 4008/control records a</w:t>
            </w:r>
          </w:p>
        </w:tc>
        <w:tc>
          <w:tcPr>
            <w:tcW w:type="dxa" w:w="3312"/>
            <w:vAlign w:val="top"/>
            <w:shd w:fill="F1F5F8"/>
          </w:tcPr>
          <w:p>
            <w:pPr>
              <w:spacing w:after="40" w:before="20" w:line="252" w:lineRule="auto"/>
            </w:pPr>
            <w:r>
              <w:rPr>
                <w:color w:val="14253B"/>
              </w:rPr>
            </w:r>
            <w:r>
              <w:rPr>
                <w:rFonts w:ascii="Aptos" w:hAnsi="Aptos"/>
                <w:b w:val="0"/>
                <w:color w:val="14253B"/>
                <w:sz w:val="15"/>
              </w:rPr>
              <w:t>Open - Evidence / Approval</w:t>
            </w:r>
          </w:p>
        </w:tc>
      </w:tr>
      <w:tr>
        <w:trPr>
          <w:cantSplit/>
        </w:trPr>
        <w:tc>
          <w:tcPr>
            <w:tcW w:type="dxa" w:w="1296"/>
            <w:vAlign w:val="top"/>
          </w:tcPr>
          <w:p>
            <w:pPr>
              <w:spacing w:after="40" w:before="20" w:line="252" w:lineRule="auto"/>
            </w:pPr>
            <w:r/>
            <w:r>
              <w:rPr>
                <w:rFonts w:ascii="Aptos" w:hAnsi="Aptos"/>
                <w:b w:val="0"/>
                <w:color w:val="14253B"/>
                <w:sz w:val="15"/>
              </w:rPr>
              <w:t>GAP-019</w:t>
            </w:r>
          </w:p>
        </w:tc>
        <w:tc>
          <w:tcPr>
            <w:tcW w:type="dxa" w:w="1080"/>
            <w:vAlign w:val="top"/>
          </w:tcPr>
          <w:p>
            <w:pPr>
              <w:spacing w:after="40" w:before="20" w:line="252" w:lineRule="auto"/>
            </w:pPr>
            <w:r/>
            <w:r>
              <w:rPr>
                <w:rFonts w:ascii="Aptos" w:hAnsi="Aptos"/>
                <w:b w:val="0"/>
                <w:color w:val="14253B"/>
                <w:sz w:val="15"/>
              </w:rPr>
              <w:t>P2</w:t>
            </w:r>
          </w:p>
        </w:tc>
        <w:tc>
          <w:tcPr>
            <w:tcW w:type="dxa" w:w="7488"/>
            <w:vAlign w:val="top"/>
          </w:tcPr>
          <w:p>
            <w:pPr>
              <w:spacing w:after="40" w:before="20" w:line="252" w:lineRule="auto"/>
            </w:pPr>
            <w:r/>
            <w:r>
              <w:rPr>
                <w:rFonts w:ascii="Aptos" w:hAnsi="Aptos"/>
                <w:b w:val="0"/>
                <w:color w:val="14253B"/>
                <w:sz w:val="15"/>
              </w:rPr>
              <w:t>Proposed §15 - Identify failed/out-of-spec samples, segregate affected interval/lot and refer to the controlled NC/deviation process; record containment and only disposition under  ...</w:t>
            </w:r>
          </w:p>
        </w:tc>
        <w:tc>
          <w:tcPr>
            <w:tcW w:type="dxa" w:w="2088"/>
            <w:vAlign w:val="top"/>
          </w:tcPr>
          <w:p>
            <w:pPr>
              <w:spacing w:after="40" w:before="20" w:line="252" w:lineRule="auto"/>
            </w:pPr>
            <w:r/>
            <w:r>
              <w:rPr>
                <w:rFonts w:ascii="Aptos" w:hAnsi="Aptos"/>
                <w:b w:val="0"/>
                <w:color w:val="14253B"/>
                <w:sz w:val="15"/>
              </w:rPr>
              <w:t>QA / QC Manager</w:t>
            </w:r>
          </w:p>
        </w:tc>
        <w:tc>
          <w:tcPr>
            <w:tcW w:type="dxa" w:w="6192"/>
            <w:vAlign w:val="top"/>
          </w:tcPr>
          <w:p>
            <w:pPr>
              <w:spacing w:after="40" w:before="20" w:line="252" w:lineRule="auto"/>
            </w:pPr>
            <w:r/>
            <w:r>
              <w:rPr>
                <w:rFonts w:ascii="Aptos" w:hAnsi="Aptos"/>
                <w:b w:val="0"/>
                <w:color w:val="14253B"/>
                <w:sz w:val="15"/>
              </w:rPr>
              <w:t xml:space="preserve">Required: executed lots, deviations, approved QC/QA release records and traceable evidence register. </w:t>
            </w:r>
          </w:p>
        </w:tc>
        <w:tc>
          <w:tcPr>
            <w:tcW w:type="dxa" w:w="3312"/>
            <w:vAlign w:val="top"/>
          </w:tcPr>
          <w:p>
            <w:pPr>
              <w:spacing w:after="40" w:before="20" w:line="252" w:lineRule="auto"/>
            </w:pPr>
            <w:r/>
            <w:r>
              <w:rPr>
                <w:rFonts w:ascii="Aptos" w:hAnsi="Aptos"/>
                <w:b w:val="0"/>
                <w:color w:val="14253B"/>
                <w:sz w:val="15"/>
              </w:rPr>
              <w:t>Open - Evidence / Approval</w:t>
            </w:r>
          </w:p>
        </w:tc>
      </w:tr>
    </w:tbl>
    <w:p>
      <w:pPr>
        <w:pStyle w:val="Heading1"/>
      </w:pPr>
      <w:r>
        <w:t>9. Final conclusion and source traceability</w:t>
      </w:r>
    </w:p>
    <w:p>
      <w:r>
        <w:rPr>
          <w:rFonts w:ascii="Aptos" w:hAnsi="Aptos"/>
          <w:b w:val="0"/>
          <w:color w:val="14253B"/>
          <w:sz w:val="18"/>
        </w:rPr>
        <w:t>The existing WI and attached F-823 forms partially control manufacturing activities, but evidence-based compliance with ISO 23500-4:2019 cannot be confirmed. Resolve P1 source/specification conflicts and validate product safety/performance controls before controlled implementation. Every production process record requires the approved revision, unit/sample-specific actual entries and corresponding objective evidence. No ISO test or operational closure is presumed from documentation alone.</w:t>
      </w:r>
    </w:p>
    <w:p>
      <w:r>
        <w:rPr>
          <w:rFonts w:ascii="Aptos" w:hAnsi="Aptos"/>
          <w:b w:val="0"/>
          <w:color w:val="14253B"/>
          <w:sz w:val="18"/>
        </w:rPr>
        <w:t>Source conventions: ISO citation PDF p.X / ISO printed p.Y; WI citation refers to its 17-page original rendered document; F-823 form citations refer to original visible pages and characteristic rows; non-provided files are never treated as evidence. All source-file paths remain unchanged.</w:t>
      </w:r>
    </w:p>
    <w:sectPr w:rsidR="00FC693F" w:rsidRPr="0006063C" w:rsidSect="00034616">
      <w:headerReference w:type="default" r:id="rId9"/>
      <w:footerReference w:type="default" r:id="rId10"/>
      <w:pgSz w:w="23818" w:h="16834" w:orient="landscape"/>
      <w:pgMar w:top="1037" w:right="706" w:bottom="907" w:left="7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4B5664"/>
        <w:sz w:val="14"/>
      </w:rPr>
      <w:t xml:space="preserve">Internal technical review only  •  Not approved for release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664"/>
        <w:sz w:val="16"/>
      </w:rPr>
      <w:t>SAUDI MAIS  |  QUALITY CONTROL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425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677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77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67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