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5778A"/>
        </w:rPr>
        <w:t>TECHNICAL QUALITY REVIEW  /  MEDICAL DEVICES</w:t>
      </w:r>
    </w:p>
    <w:p>
      <w:pPr>
        <w:pStyle w:val="Title"/>
      </w:pPr>
      <w:r>
        <w:t>Suture Removal Set</w:t>
        <w:br/>
        <w:t>ISO Gap Analysis &amp; In-Process Alignment</w:t>
      </w:r>
    </w:p>
    <w:p>
      <w:r>
        <w:rPr>
          <w:color w:val="15778A"/>
          <w:sz w:val="26"/>
        </w:rPr>
        <w:t>QC Manager Master Gap &amp; Revision Report</w:t>
      </w:r>
    </w:p>
    <w:p>
      <w:r>
        <w:t>————————————————————————————————————————————————————————————————</w:t>
      </w:r>
    </w:p>
    <w:p>
      <w:pPr>
        <w:spacing w:after="60"/>
      </w:pPr>
      <w:r>
        <w:rPr>
          <w:b/>
          <w:color w:val="12223C"/>
        </w:rPr>
        <w:t xml:space="preserve">Product  </w:t>
      </w:r>
      <w:r>
        <w:t>Suture Removal Set — all variants subject to approved configuration confirmation</w:t>
      </w:r>
    </w:p>
    <w:p>
      <w:pPr>
        <w:spacing w:after="60"/>
      </w:pPr>
      <w:r>
        <w:rPr>
          <w:b/>
          <w:color w:val="12223C"/>
        </w:rPr>
        <w:t xml:space="preserve">WI baseline  </w:t>
      </w:r>
      <w:r>
        <w:t>WI-8-2-2-89-1 Rev.1 • 19.10.2025 • three pages</w:t>
      </w:r>
    </w:p>
    <w:p>
      <w:pPr>
        <w:spacing w:after="60"/>
      </w:pPr>
      <w:r>
        <w:rPr>
          <w:b/>
          <w:color w:val="12223C"/>
        </w:rPr>
        <w:t xml:space="preserve">In-process record  </w:t>
      </w:r>
      <w:r>
        <w:t>F-823-i178 Rev.2 • 19.10.2025 • one sheet / one page</w:t>
      </w:r>
    </w:p>
    <w:p>
      <w:pPr>
        <w:spacing w:after="60"/>
      </w:pPr>
      <w:r>
        <w:rPr>
          <w:b/>
          <w:color w:val="12223C"/>
        </w:rPr>
        <w:t xml:space="preserve">Normative baseline  </w:t>
      </w:r>
      <w:r>
        <w:t>Primary product ISO: NOT PROVIDED / APPLICABILITY OPEN</w:t>
      </w:r>
    </w:p>
    <w:p>
      <w:pPr>
        <w:spacing w:after="60"/>
      </w:pPr>
      <w:r>
        <w:rPr>
          <w:b/>
          <w:color w:val="12223C"/>
        </w:rPr>
        <w:t xml:space="preserve">Scope  </w:t>
      </w:r>
      <w:r>
        <w:t>IN-PROCESS ONLY. Incoming and final inspection excluded from reconstruction.</w:t>
      </w:r>
    </w:p>
    <w:p>
      <w:r>
        <w:rPr>
          <w:b/>
          <w:color w:val="AF3E49"/>
        </w:rPr>
        <w:t>DRAFT • NOT APPROVED • NO ISO CLOSURE CLAIM</w:t>
      </w:r>
    </w:p>
    <w:p>
      <w:r>
        <w:t>Prepared for QC Manager | 27 October 2026 | Evidence-based reconstruction from supplied records.</w:t>
      </w:r>
    </w:p>
    <w:p>
      <w:pPr>
        <w:pStyle w:val="Heading1"/>
      </w:pPr>
      <w:r>
        <w:t>1  Executive summary</w:t>
      </w:r>
    </w:p>
    <w:p>
      <w:r>
        <w:t>13 source-based gaps / open verification items: P1 = 3; P2 = 9; P3 = 1. These are document-control and process-alignment priorities, not verified counts of ISO nonconformities.</w:t>
      </w:r>
    </w:p>
    <w:p>
      <w:r>
        <w:t>Management conclusion: the source WI and existing form do not yet align sufficiently for a traceable in-process operation. The proposed WI and form are review-ready controlled DRAFTS, but cannot be implemented as approved records or used to claim ISO conformity until listed inputs and evidence are verified.</w:t>
      </w:r>
    </w:p>
    <w:tbl>
      <w:tblPr>
        <w:tblStyle w:val="TableGrid"/>
        <w:tblW w:type="auto" w:w="0"/>
        <w:jc w:val="center"/>
        <w:tblLayout w:type="fixed"/>
        <w:tblLook w:firstColumn="1" w:firstRow="1" w:lastColumn="0" w:lastRow="0" w:noHBand="0" w:noVBand="1" w:val="04A0"/>
      </w:tblPr>
      <w:tblGrid>
        <w:gridCol w:w="7315"/>
        <w:gridCol w:w="7315"/>
        <w:gridCol w:w="7315"/>
      </w:tblGrid>
      <w:tr>
        <w:trPr>
          <w:tblHeader w:val="true"/>
        </w:trPr>
        <w:tc>
          <w:tcPr>
            <w:tcW w:type="dxa" w:w="7315"/>
            <w:vAlign w:val="top"/>
            <w:tcMar>
              <w:top w:w="90" w:type="dxa"/>
              <w:start w:w="95" w:type="dxa"/>
              <w:bottom w:w="90" w:type="dxa"/>
              <w:end w:w="95" w:type="dxa"/>
            </w:tcMar>
            <w:shd w:fill="12223C"/>
          </w:tcPr>
          <w:p>
            <w:pPr>
              <w:spacing w:after="0" w:line="254" w:lineRule="auto"/>
            </w:pPr>
            <w:r/>
            <w:r>
              <w:rPr>
                <w:rFonts w:ascii="Aptos" w:hAnsi="Aptos"/>
                <w:b/>
                <w:color w:val="FFFFFF"/>
                <w:sz w:val="18"/>
              </w:rPr>
              <w:t>Decision needed</w:t>
            </w:r>
          </w:p>
        </w:tc>
        <w:tc>
          <w:tcPr>
            <w:tcW w:type="dxa" w:w="7315"/>
            <w:vAlign w:val="top"/>
            <w:tcMar>
              <w:top w:w="90" w:type="dxa"/>
              <w:start w:w="95" w:type="dxa"/>
              <w:bottom w:w="90" w:type="dxa"/>
              <w:end w:w="95" w:type="dxa"/>
            </w:tcMar>
            <w:shd w:fill="12223C"/>
          </w:tcPr>
          <w:p>
            <w:pPr>
              <w:spacing w:after="0" w:line="254" w:lineRule="auto"/>
            </w:pPr>
            <w:r/>
            <w:r>
              <w:rPr>
                <w:rFonts w:ascii="Aptos" w:hAnsi="Aptos"/>
                <w:b/>
                <w:color w:val="FFFFFF"/>
                <w:sz w:val="18"/>
              </w:rPr>
              <w:t>Current recommendation</w:t>
            </w:r>
          </w:p>
        </w:tc>
        <w:tc>
          <w:tcPr>
            <w:tcW w:type="dxa" w:w="7315"/>
            <w:vAlign w:val="top"/>
            <w:tcMar>
              <w:top w:w="90" w:type="dxa"/>
              <w:start w:w="95" w:type="dxa"/>
              <w:bottom w:w="90" w:type="dxa"/>
              <w:end w:w="95" w:type="dxa"/>
            </w:tcMar>
            <w:shd w:fill="12223C"/>
          </w:tcPr>
          <w:p>
            <w:pPr>
              <w:spacing w:after="0" w:line="254" w:lineRule="auto"/>
            </w:pPr>
            <w:r/>
            <w:r>
              <w:rPr>
                <w:rFonts w:ascii="Aptos" w:hAnsi="Aptos"/>
                <w:b/>
                <w:color w:val="FFFFFF"/>
                <w:sz w:val="18"/>
              </w:rPr>
              <w:t>Reason / source</w:t>
            </w:r>
          </w:p>
        </w:tc>
      </w:tr>
      <w:tr>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Approve in-process scope and responsibility boundary</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Retain existing incoming/final inspection routes separately</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Current WI §§5.1 and 8 cover stages outside this assignment</w:t>
            </w:r>
          </w:p>
        </w:tc>
      </w:tr>
      <w:tr>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Validate product specification / component identity</w:t>
            </w:r>
          </w:p>
        </w:tc>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Obtain TF-89-PS and TF-89-PDBM plus BOM</w:t>
            </w:r>
          </w:p>
        </w:tc>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Historical dimension/color/material terms cannot be independently confirmed</w:t>
            </w:r>
          </w:p>
        </w:tc>
      </w:tr>
      <w:tr>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Approve sampling / checkpoint format</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Preserve existing 2-hour WI interval pending approval; define sample size by controlled plan</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WI §7 versus F-823-i178 time layout</w:t>
            </w:r>
          </w:p>
        </w:tc>
      </w:tr>
      <w:tr>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Confirm escalation / record approval path</w:t>
            </w:r>
          </w:p>
        </w:tc>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Align to approved NC/Hold procedure and authority matrix</w:t>
            </w:r>
          </w:p>
        </w:tc>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Existing form has only QC and QCM fields</w:t>
            </w:r>
          </w:p>
        </w:tc>
      </w:tr>
      <w:tr>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Confirm primary ISO, amendments and applicable clauses</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Open normative review; no 100% coverage score or verified closure</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No official controlled ISO text supplied</w:t>
            </w:r>
          </w:p>
        </w:tc>
      </w:tr>
    </w:tbl>
    <w:p>
      <w:pPr>
        <w:pStyle w:val="Heading1"/>
      </w:pPr>
      <w:r>
        <w:t>2  Documents reviewed and missing evidence</w:t>
      </w:r>
    </w:p>
    <w:tbl>
      <w:tblPr>
        <w:tblStyle w:val="TableGrid"/>
        <w:tblW w:type="auto" w:w="0"/>
        <w:jc w:val="center"/>
        <w:tblLayout w:type="fixed"/>
        <w:tblLook w:firstColumn="1" w:firstRow="1" w:lastColumn="0" w:lastRow="0" w:noHBand="0" w:noVBand="1" w:val="04A0"/>
      </w:tblPr>
      <w:tblGrid>
        <w:gridCol w:w="7315"/>
        <w:gridCol w:w="7315"/>
        <w:gridCol w:w="7315"/>
      </w:tblGrid>
      <w:tr>
        <w:trPr>
          <w:tblHeader w:val="true"/>
        </w:trPr>
        <w:tc>
          <w:tcPr>
            <w:tcW w:type="dxa" w:w="7315"/>
            <w:vAlign w:val="top"/>
            <w:tcMar>
              <w:top w:w="90" w:type="dxa"/>
              <w:start w:w="95" w:type="dxa"/>
              <w:bottom w:w="90" w:type="dxa"/>
              <w:end w:w="95" w:type="dxa"/>
            </w:tcMar>
            <w:shd w:fill="12223C"/>
          </w:tcPr>
          <w:p>
            <w:pPr>
              <w:spacing w:after="0" w:line="254" w:lineRule="auto"/>
            </w:pPr>
            <w:r/>
            <w:r>
              <w:rPr>
                <w:rFonts w:ascii="Aptos" w:hAnsi="Aptos"/>
                <w:b/>
                <w:color w:val="FFFFFF"/>
                <w:sz w:val="18"/>
              </w:rPr>
              <w:t>Document / source</w:t>
            </w:r>
          </w:p>
        </w:tc>
        <w:tc>
          <w:tcPr>
            <w:tcW w:type="dxa" w:w="7315"/>
            <w:vAlign w:val="top"/>
            <w:tcMar>
              <w:top w:w="90" w:type="dxa"/>
              <w:start w:w="95" w:type="dxa"/>
              <w:bottom w:w="90" w:type="dxa"/>
              <w:end w:w="95" w:type="dxa"/>
            </w:tcMar>
            <w:shd w:fill="12223C"/>
          </w:tcPr>
          <w:p>
            <w:pPr>
              <w:spacing w:after="0" w:line="254" w:lineRule="auto"/>
            </w:pPr>
            <w:r/>
            <w:r>
              <w:rPr>
                <w:rFonts w:ascii="Aptos" w:hAnsi="Aptos"/>
                <w:b/>
                <w:color w:val="FFFFFF"/>
                <w:sz w:val="18"/>
              </w:rPr>
              <w:t>Identity</w:t>
            </w:r>
          </w:p>
        </w:tc>
        <w:tc>
          <w:tcPr>
            <w:tcW w:type="dxa" w:w="7315"/>
            <w:vAlign w:val="top"/>
            <w:tcMar>
              <w:top w:w="90" w:type="dxa"/>
              <w:start w:w="95" w:type="dxa"/>
              <w:bottom w:w="90" w:type="dxa"/>
              <w:end w:w="95" w:type="dxa"/>
            </w:tcMar>
            <w:shd w:fill="12223C"/>
          </w:tcPr>
          <w:p>
            <w:pPr>
              <w:spacing w:after="0" w:line="254" w:lineRule="auto"/>
            </w:pPr>
            <w:r/>
            <w:r>
              <w:rPr>
                <w:rFonts w:ascii="Aptos" w:hAnsi="Aptos"/>
                <w:b/>
                <w:color w:val="FFFFFF"/>
                <w:sz w:val="18"/>
              </w:rPr>
              <w:t>Verification status</w:t>
            </w:r>
          </w:p>
        </w:tc>
      </w:tr>
      <w:tr>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Work Instruction</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WI-8-2-2-89-1 Rev.1 / 19.10.2025 / pp.1–3</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Reviewed actual uploaded source</w:t>
            </w:r>
          </w:p>
        </w:tc>
      </w:tr>
      <w:tr>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In-Process Quality Record</w:t>
            </w:r>
          </w:p>
        </w:tc>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F-823-i178 Rev.2 / 19.10.2025 / header + rows 1–5</w:t>
            </w:r>
          </w:p>
        </w:tc>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Reviewed workbook contents and visual layout; √/X/R/N/A legend verified</w:t>
            </w:r>
          </w:p>
        </w:tc>
      </w:tr>
      <w:tr>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Specification references</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TF-89-PS; TF-89-PDBM</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Referenced, NOT supplied</w:t>
            </w:r>
          </w:p>
        </w:tc>
      </w:tr>
      <w:tr>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Other QC forms</w:t>
            </w:r>
          </w:p>
        </w:tc>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F-823-i4; F-823-T90; F-823-F75</w:t>
            </w:r>
          </w:p>
        </w:tc>
        <w:tc>
          <w:tcPr>
            <w:tcW w:type="dxa" w:w="7315"/>
            <w:vAlign w:val="top"/>
            <w:tcMar>
              <w:top w:w="90" w:type="dxa"/>
              <w:start w:w="95" w:type="dxa"/>
              <w:bottom w:w="90" w:type="dxa"/>
              <w:end w:w="95" w:type="dxa"/>
            </w:tcMar>
            <w:shd w:fill="F2F6F8"/>
          </w:tcPr>
          <w:p>
            <w:pPr>
              <w:spacing w:after="0" w:line="254" w:lineRule="auto"/>
            </w:pPr>
            <w:r/>
            <w:r>
              <w:rPr>
                <w:rFonts w:ascii="Aptos" w:hAnsi="Aptos"/>
                <w:b w:val="0"/>
                <w:color w:val="566275"/>
                <w:sz w:val="18"/>
              </w:rPr>
              <w:t>Referenced, NOT supplied; no gap conclusion from absent fields alone</w:t>
            </w:r>
          </w:p>
        </w:tc>
      </w:tr>
      <w:tr>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Official ISO standard(s)</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Specific required standard and edition unassigned</w:t>
            </w:r>
          </w:p>
        </w:tc>
        <w:tc>
          <w:tcPr>
            <w:tcW w:type="dxa" w:w="7315"/>
            <w:vAlign w:val="top"/>
            <w:tcMar>
              <w:top w:w="90" w:type="dxa"/>
              <w:start w:w="95" w:type="dxa"/>
              <w:bottom w:w="90" w:type="dxa"/>
              <w:end w:w="95" w:type="dxa"/>
            </w:tcMar>
          </w:tcPr>
          <w:p>
            <w:pPr>
              <w:spacing w:after="0" w:line="254" w:lineRule="auto"/>
            </w:pPr>
            <w:r/>
            <w:r>
              <w:rPr>
                <w:rFonts w:ascii="Aptos" w:hAnsi="Aptos"/>
                <w:b w:val="0"/>
                <w:color w:val="566275"/>
                <w:sz w:val="18"/>
              </w:rPr>
              <w:t>Full normative text, clause/page mapping NOT available</w:t>
            </w:r>
          </w:p>
        </w:tc>
      </w:tr>
    </w:tbl>
    <w:p>
      <w:pPr>
        <w:pStyle w:val="Heading1"/>
      </w:pPr>
      <w:r>
        <w:t>3  Scope, methodology and normative boundaries</w:t>
      </w:r>
    </w:p>
    <w:p>
      <w:r>
        <w:t>Method: extracted the current document content by WI page/section and form row; traced differences, proposed practical in-process wording and distinguished missing control information from unverified compliance. We did not treat the empty sample-record template as proof of executed QC checks.</w:t>
      </w:r>
    </w:p>
    <w:p>
      <w:r>
        <w:t>Official ISO catalog descriptions confirm ISO 13485:2016 as an active medical-device QMS standard; ISO 11607-1/-2:2019 (including 2023 amendments) concern sterile-barrier packaging and packaging-process validation; ISO 20417:2026 concerns manufacturer-supplied information. THESE ARE CANDIDATE CONTEXT ONLY. Their applicability and clause/page requirements must be approved and verified using the controlled normative text and risk assessment before any clause-level finding is issued.</w:t>
      </w:r>
    </w:p>
    <w:p>
      <w:r>
        <w:t>Source URLs: https://www.iso.org/standard/59752.html | https://www.iso.org/standard/70799.html | https://www.iso.org/standard/70800.html | https://www.iso.org/standard/20417</w:t>
      </w:r>
    </w:p>
    <w:p>
      <w:pPr>
        <w:pStyle w:val="Heading1"/>
      </w:pPr>
      <w:r>
        <w:t>4  Initial findings — in-process scope</w:t>
      </w:r>
    </w:p>
    <w:tbl>
      <w:tblPr>
        <w:tblStyle w:val="TableGrid"/>
        <w:tblW w:type="auto" w:w="0"/>
        <w:jc w:val="center"/>
        <w:tblLayout w:type="fixed"/>
        <w:tblLook w:firstColumn="1" w:firstRow="1" w:lastColumn="0" w:lastRow="0" w:noHBand="0" w:noVBand="1" w:val="04A0"/>
      </w:tblPr>
      <w:tblGrid>
        <w:gridCol w:w="5486"/>
        <w:gridCol w:w="5486"/>
        <w:gridCol w:w="5486"/>
        <w:gridCol w:w="5486"/>
      </w:tblGrid>
      <w:tr>
        <w:trPr>
          <w:tblHeader w:val="true"/>
        </w:trPr>
        <w:tc>
          <w:tcPr>
            <w:tcW w:type="dxa" w:w="5486"/>
            <w:vAlign w:val="top"/>
            <w:tcMar>
              <w:top w:w="90" w:type="dxa"/>
              <w:start w:w="95" w:type="dxa"/>
              <w:bottom w:w="90" w:type="dxa"/>
              <w:end w:w="95" w:type="dxa"/>
            </w:tcMar>
            <w:shd w:fill="12223C"/>
          </w:tcPr>
          <w:p>
            <w:pPr>
              <w:spacing w:after="0" w:line="254" w:lineRule="auto"/>
            </w:pPr>
            <w:r/>
            <w:r>
              <w:rPr>
                <w:rFonts w:ascii="Aptos" w:hAnsi="Aptos"/>
                <w:b/>
                <w:color w:val="FFFFFF"/>
                <w:sz w:val="17"/>
              </w:rPr>
              <w:t>ID</w:t>
            </w:r>
          </w:p>
        </w:tc>
        <w:tc>
          <w:tcPr>
            <w:tcW w:type="dxa" w:w="5486"/>
            <w:vAlign w:val="top"/>
            <w:tcMar>
              <w:top w:w="90" w:type="dxa"/>
              <w:start w:w="95" w:type="dxa"/>
              <w:bottom w:w="90" w:type="dxa"/>
              <w:end w:w="95" w:type="dxa"/>
            </w:tcMar>
            <w:shd w:fill="12223C"/>
          </w:tcPr>
          <w:p>
            <w:pPr>
              <w:spacing w:after="0" w:line="254" w:lineRule="auto"/>
            </w:pPr>
            <w:r/>
            <w:r>
              <w:rPr>
                <w:rFonts w:ascii="Aptos" w:hAnsi="Aptos"/>
                <w:b/>
                <w:color w:val="FFFFFF"/>
                <w:sz w:val="17"/>
              </w:rPr>
              <w:t>Priority</w:t>
            </w:r>
          </w:p>
        </w:tc>
        <w:tc>
          <w:tcPr>
            <w:tcW w:type="dxa" w:w="5486"/>
            <w:vAlign w:val="top"/>
            <w:tcMar>
              <w:top w:w="90" w:type="dxa"/>
              <w:start w:w="95" w:type="dxa"/>
              <w:bottom w:w="90" w:type="dxa"/>
              <w:end w:w="95" w:type="dxa"/>
            </w:tcMar>
            <w:shd w:fill="12223C"/>
          </w:tcPr>
          <w:p>
            <w:pPr>
              <w:spacing w:after="0" w:line="254" w:lineRule="auto"/>
            </w:pPr>
            <w:r/>
            <w:r>
              <w:rPr>
                <w:rFonts w:ascii="Aptos" w:hAnsi="Aptos"/>
                <w:b/>
                <w:color w:val="FFFFFF"/>
                <w:sz w:val="17"/>
              </w:rPr>
              <w:t>Short finding</w:t>
            </w:r>
          </w:p>
        </w:tc>
        <w:tc>
          <w:tcPr>
            <w:tcW w:type="dxa" w:w="5486"/>
            <w:vAlign w:val="top"/>
            <w:tcMar>
              <w:top w:w="90" w:type="dxa"/>
              <w:start w:w="95" w:type="dxa"/>
              <w:bottom w:w="90" w:type="dxa"/>
              <w:end w:w="95" w:type="dxa"/>
            </w:tcMar>
            <w:shd w:fill="12223C"/>
          </w:tcPr>
          <w:p>
            <w:pPr>
              <w:spacing w:after="0" w:line="254" w:lineRule="auto"/>
            </w:pPr>
            <w:r/>
            <w:r>
              <w:rPr>
                <w:rFonts w:ascii="Aptos" w:hAnsi="Aptos"/>
                <w:b/>
                <w:color w:val="FFFFFF"/>
                <w:sz w:val="17"/>
              </w:rPr>
              <w:t>Status</w:t>
            </w:r>
          </w:p>
        </w:tc>
      </w:tr>
      <w:tr>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GAP-001</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In-process frequency and checkpoint timing</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Open — Approval / Evidence</w:t>
            </w:r>
          </w:p>
        </w:tc>
      </w:tr>
      <w:tr>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GAP-002</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P1</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Complete set content and quantity at point of packing</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Open — Technical Input / Evidence</w:t>
            </w:r>
          </w:p>
        </w:tc>
      </w:tr>
      <w:tr>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GAP-003</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Dimensional limits cannot be corroborated to controlled specification</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Open — Technical Input</w:t>
            </w:r>
          </w:p>
        </w:tc>
      </w:tr>
      <w:tr>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GAP-004</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P1</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Stitch cutter / blade identity and pouch requirements</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Open — Technical Input / Evidence</w:t>
            </w:r>
          </w:p>
        </w:tc>
      </w:tr>
      <w:tr>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GAP-005</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Forceps defect definition differs between WI and form</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Open — Technical Input / Evidence</w:t>
            </w:r>
          </w:p>
        </w:tc>
      </w:tr>
      <w:tr>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GAP-006</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Drape and gauze visual/material criteria not fully synchronized</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Open — Technical Input / Evidence</w:t>
            </w:r>
          </w:p>
        </w:tc>
      </w:tr>
      <w:tr>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GAP-007</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Actual measurements and unambiguous results</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Open — Evidence</w:t>
            </w:r>
          </w:p>
        </w:tc>
      </w:tr>
      <w:tr>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GAP-008</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Sampling quantity and AQL application are not defined for in-process records</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Open — Technical Input</w:t>
            </w:r>
          </w:p>
        </w:tc>
      </w:tr>
      <w:tr>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GAP-009</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P1</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Handling of an unacceptable in-process finding</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Open — Approval / Evidence</w:t>
            </w:r>
          </w:p>
        </w:tc>
      </w:tr>
      <w:tr>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GAP-010</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Packaging/seal/label control route not evidenced</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Open — Evidence</w:t>
            </w:r>
          </w:p>
        </w:tc>
      </w:tr>
      <w:tr>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GAP-011</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QC review / approval responsibilities and traceability</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Open — Approval</w:t>
            </w:r>
          </w:p>
        </w:tc>
      </w:tr>
      <w:tr>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GAP-012</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P3</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Form revision identity and referenced controlled documents</w:t>
            </w:r>
          </w:p>
        </w:tc>
        <w:tc>
          <w:tcPr>
            <w:tcW w:type="dxa" w:w="5486"/>
            <w:vAlign w:val="top"/>
            <w:tcMar>
              <w:top w:w="90" w:type="dxa"/>
              <w:start w:w="95" w:type="dxa"/>
              <w:bottom w:w="90" w:type="dxa"/>
              <w:end w:w="95" w:type="dxa"/>
            </w:tcMar>
            <w:shd w:fill="F2F6F8"/>
          </w:tcPr>
          <w:p>
            <w:pPr>
              <w:spacing w:after="0" w:line="254" w:lineRule="auto"/>
            </w:pPr>
            <w:r/>
            <w:r>
              <w:rPr>
                <w:rFonts w:ascii="Aptos" w:hAnsi="Aptos"/>
                <w:b w:val="0"/>
                <w:color w:val="566275"/>
                <w:sz w:val="17"/>
              </w:rPr>
              <w:t>Open — Approval</w:t>
            </w:r>
          </w:p>
        </w:tc>
      </w:tr>
      <w:tr>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GAP-013</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P2</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ISO applicability and full requirement verification remain open</w:t>
            </w:r>
          </w:p>
        </w:tc>
        <w:tc>
          <w:tcPr>
            <w:tcW w:type="dxa" w:w="5486"/>
            <w:vAlign w:val="top"/>
            <w:tcMar>
              <w:top w:w="90" w:type="dxa"/>
              <w:start w:w="95" w:type="dxa"/>
              <w:bottom w:w="90" w:type="dxa"/>
              <w:end w:w="95" w:type="dxa"/>
            </w:tcMar>
          </w:tcPr>
          <w:p>
            <w:pPr>
              <w:spacing w:after="0" w:line="254" w:lineRule="auto"/>
            </w:pPr>
            <w:r/>
            <w:r>
              <w:rPr>
                <w:rFonts w:ascii="Aptos" w:hAnsi="Aptos"/>
                <w:b w:val="0"/>
                <w:color w:val="566275"/>
                <w:sz w:val="17"/>
              </w:rPr>
              <w:t>Open — Technical Input / Evidence</w:t>
            </w:r>
          </w:p>
        </w:tc>
      </w:tr>
    </w:tbl>
    <w:p>
      <w:r>
        <w:br w:type="page"/>
      </w:r>
    </w:p>
    <w:p>
      <w:pPr>
        <w:pStyle w:val="Heading1"/>
      </w:pPr>
      <w:r>
        <w:t>5  MASTER GAP &amp; REVISION TABLE</w:t>
      </w:r>
    </w:p>
    <w:p>
      <w:r>
        <w:t>Mandatory seven-column comparative structure. “Existing Inspection Text” and “Revised Inspection Text” refer here ONLY to the in-process record F-823-i178. There is no new receiving/final Inspection &amp; Test Report in this assignment.</w:t>
      </w:r>
    </w:p>
    <w:tbl>
      <w:tblPr>
        <w:tblStyle w:val="TableGrid"/>
        <w:tblW w:type="auto" w:w="0"/>
        <w:tblLayout w:type="fixed"/>
        <w:tblLook w:firstColumn="1" w:firstRow="1" w:lastColumn="0" w:lastRow="0" w:noHBand="0" w:noVBand="1" w:val="04A0"/>
      </w:tblPr>
      <w:tblGrid>
        <w:gridCol w:w="2232"/>
        <w:gridCol w:w="2880"/>
        <w:gridCol w:w="2592"/>
        <w:gridCol w:w="4320"/>
        <w:gridCol w:w="2520"/>
        <w:gridCol w:w="4176"/>
        <w:gridCol w:w="3240"/>
      </w:tblGrid>
      <w:tr>
        <w:trPr>
          <w:tblHeader w:val="true"/>
        </w:trPr>
        <w:tc>
          <w:tcPr>
            <w:tcW w:type="dxa" w:w="3135"/>
            <w:vAlign w:val="top"/>
            <w:tcMar>
              <w:top w:w="90" w:type="dxa"/>
              <w:start w:w="95" w:type="dxa"/>
              <w:bottom w:w="90" w:type="dxa"/>
              <w:end w:w="95" w:type="dxa"/>
            </w:tcMar>
            <w:shd w:fill="12223C"/>
          </w:tcPr>
          <w:p>
            <w:pPr>
              <w:spacing w:after="0" w:line="254" w:lineRule="auto"/>
            </w:pPr>
            <w:r/>
            <w:r>
              <w:rPr>
                <w:rFonts w:ascii="Aptos" w:hAnsi="Aptos"/>
                <w:b/>
                <w:color w:val="FFFFFF"/>
                <w:sz w:val="17"/>
              </w:rPr>
              <w:t>Gap / Our Problem</w:t>
            </w:r>
          </w:p>
        </w:tc>
        <w:tc>
          <w:tcPr>
            <w:tcW w:type="dxa" w:w="3135"/>
            <w:vAlign w:val="top"/>
            <w:tcMar>
              <w:top w:w="90" w:type="dxa"/>
              <w:start w:w="95" w:type="dxa"/>
              <w:bottom w:w="90" w:type="dxa"/>
              <w:end w:w="95" w:type="dxa"/>
            </w:tcMar>
            <w:shd w:fill="12223C"/>
          </w:tcPr>
          <w:p>
            <w:pPr>
              <w:spacing w:after="0" w:line="254" w:lineRule="auto"/>
            </w:pPr>
            <w:r/>
            <w:r>
              <w:rPr>
                <w:rFonts w:ascii="Aptos" w:hAnsi="Aptos"/>
                <w:b/>
                <w:color w:val="FFFFFF"/>
                <w:sz w:val="17"/>
              </w:rPr>
              <w:t>ISO Says</w:t>
            </w:r>
          </w:p>
        </w:tc>
        <w:tc>
          <w:tcPr>
            <w:tcW w:type="dxa" w:w="3135"/>
            <w:vAlign w:val="top"/>
            <w:tcMar>
              <w:top w:w="90" w:type="dxa"/>
              <w:start w:w="95" w:type="dxa"/>
              <w:bottom w:w="90" w:type="dxa"/>
              <w:end w:w="95" w:type="dxa"/>
            </w:tcMar>
            <w:shd w:fill="12223C"/>
          </w:tcPr>
          <w:p>
            <w:pPr>
              <w:spacing w:after="0" w:line="254" w:lineRule="auto"/>
            </w:pPr>
            <w:r/>
            <w:r>
              <w:rPr>
                <w:rFonts w:ascii="Aptos" w:hAnsi="Aptos"/>
                <w:b/>
                <w:color w:val="FFFFFF"/>
                <w:sz w:val="17"/>
              </w:rPr>
              <w:t>Existing WI Text</w:t>
            </w:r>
          </w:p>
        </w:tc>
        <w:tc>
          <w:tcPr>
            <w:tcW w:type="dxa" w:w="3135"/>
            <w:vAlign w:val="top"/>
            <w:tcMar>
              <w:top w:w="90" w:type="dxa"/>
              <w:start w:w="95" w:type="dxa"/>
              <w:bottom w:w="90" w:type="dxa"/>
              <w:end w:w="95" w:type="dxa"/>
            </w:tcMar>
            <w:shd w:fill="12223C"/>
          </w:tcPr>
          <w:p>
            <w:pPr>
              <w:spacing w:after="0" w:line="254" w:lineRule="auto"/>
            </w:pPr>
            <w:r/>
            <w:r>
              <w:rPr>
                <w:rFonts w:ascii="Aptos" w:hAnsi="Aptos"/>
                <w:b/>
                <w:color w:val="FFFFFF"/>
                <w:sz w:val="17"/>
              </w:rPr>
              <w:t>Revised WI Text</w:t>
            </w:r>
          </w:p>
        </w:tc>
        <w:tc>
          <w:tcPr>
            <w:tcW w:type="dxa" w:w="3135"/>
            <w:vAlign w:val="top"/>
            <w:tcMar>
              <w:top w:w="90" w:type="dxa"/>
              <w:start w:w="95" w:type="dxa"/>
              <w:bottom w:w="90" w:type="dxa"/>
              <w:end w:w="95" w:type="dxa"/>
            </w:tcMar>
            <w:shd w:fill="12223C"/>
          </w:tcPr>
          <w:p>
            <w:pPr>
              <w:spacing w:after="0" w:line="254" w:lineRule="auto"/>
            </w:pPr>
            <w:r/>
            <w:r>
              <w:rPr>
                <w:rFonts w:ascii="Aptos" w:hAnsi="Aptos"/>
                <w:b/>
                <w:color w:val="FFFFFF"/>
                <w:sz w:val="17"/>
              </w:rPr>
              <w:t>Existing Inspection Text</w:t>
            </w:r>
          </w:p>
        </w:tc>
        <w:tc>
          <w:tcPr>
            <w:tcW w:type="dxa" w:w="3135"/>
            <w:vAlign w:val="top"/>
            <w:tcMar>
              <w:top w:w="90" w:type="dxa"/>
              <w:start w:w="95" w:type="dxa"/>
              <w:bottom w:w="90" w:type="dxa"/>
              <w:end w:w="95" w:type="dxa"/>
            </w:tcMar>
            <w:shd w:fill="12223C"/>
          </w:tcPr>
          <w:p>
            <w:pPr>
              <w:spacing w:after="0" w:line="254" w:lineRule="auto"/>
            </w:pPr>
            <w:r/>
            <w:r>
              <w:rPr>
                <w:rFonts w:ascii="Aptos" w:hAnsi="Aptos"/>
                <w:b/>
                <w:color w:val="FFFFFF"/>
                <w:sz w:val="17"/>
              </w:rPr>
              <w:t>Revised Inspection Text</w:t>
            </w:r>
          </w:p>
        </w:tc>
        <w:tc>
          <w:tcPr>
            <w:tcW w:type="dxa" w:w="3135"/>
            <w:vAlign w:val="top"/>
            <w:tcMar>
              <w:top w:w="90" w:type="dxa"/>
              <w:start w:w="95" w:type="dxa"/>
              <w:bottom w:w="90" w:type="dxa"/>
              <w:end w:w="95" w:type="dxa"/>
            </w:tcMar>
            <w:shd w:fill="12223C"/>
          </w:tcPr>
          <w:p>
            <w:pPr>
              <w:spacing w:after="0" w:line="254" w:lineRule="auto"/>
            </w:pPr>
            <w:r/>
            <w:r>
              <w:rPr>
                <w:rFonts w:ascii="Aptos" w:hAnsi="Aptos"/>
                <w:b/>
                <w:color w:val="FFFFFF"/>
                <w:sz w:val="17"/>
              </w:rPr>
              <w:t>Evidence (ISO Closure)</w:t>
            </w:r>
          </w:p>
        </w:tc>
      </w:tr>
      <w:tr>
        <w:trPr>
          <w:cantSplit/>
        </w:trPr>
        <w:tc>
          <w:tcPr>
            <w:tcW w:type="dxa" w:w="2232"/>
            <w:vAlign w:val="top"/>
            <w:tcMar>
              <w:top w:w="90" w:type="dxa"/>
              <w:start w:w="95" w:type="dxa"/>
              <w:bottom w:w="90" w:type="dxa"/>
              <w:end w:w="95" w:type="dxa"/>
            </w:tcMar>
          </w:tcPr>
          <w:p>
            <w:pPr>
              <w:spacing w:after="0" w:line="254" w:lineRule="auto"/>
            </w:pPr>
            <w:r/>
            <w:r>
              <w:rPr>
                <w:rFonts w:ascii="Aptos" w:hAnsi="Aptos"/>
                <w:b/>
                <w:color w:val="12223C"/>
                <w:sz w:val="16"/>
              </w:rPr>
              <w:t>GAP-001 | P2</w:t>
              <w:br/>
              <w:t>In-process frequency and checkpoint timing</w:t>
              <w:br/>
              <w:br/>
              <w:t>WI §7 prescribes sampling every two hours, whereas F-823-i178 presents twelve hourly slots (7 through 6). No method explains how sampled checkpoints map to the printed slots or how an interruption is documented.</w:t>
            </w:r>
          </w:p>
        </w:tc>
        <w:tc>
          <w:tcPr>
            <w:tcW w:type="dxa" w:w="2880"/>
            <w:vAlign w:val="top"/>
            <w:tcMar>
              <w:top w:w="90" w:type="dxa"/>
              <w:start w:w="95" w:type="dxa"/>
              <w:bottom w:w="90" w:type="dxa"/>
              <w:end w:w="95" w:type="dxa"/>
            </w:tcMar>
          </w:tcPr>
          <w:p>
            <w:pPr>
              <w:spacing w:after="0" w:line="254" w:lineRule="auto"/>
            </w:pPr>
            <w:r/>
            <w:r>
              <w:rPr>
                <w:rFonts w:ascii="Aptos" w:hAnsi="Aptos"/>
                <w:b w:val="0"/>
                <w:color w:val="566275"/>
                <w:sz w:val="16"/>
              </w:rPr>
              <w:t>No ISO sampling interval established from the available sources. The two-hour frequency is a current WI company control; the primary ISO clause/page remains OPEN.</w:t>
            </w:r>
          </w:p>
        </w:tc>
        <w:tc>
          <w:tcPr>
            <w:tcW w:type="dxa" w:w="2592"/>
            <w:vAlign w:val="top"/>
            <w:tcMar>
              <w:top w:w="90" w:type="dxa"/>
              <w:start w:w="95" w:type="dxa"/>
              <w:bottom w:w="90" w:type="dxa"/>
              <w:end w:w="95" w:type="dxa"/>
            </w:tcMar>
          </w:tcPr>
          <w:p>
            <w:pPr>
              <w:spacing w:after="0" w:line="254" w:lineRule="auto"/>
            </w:pPr>
            <w:r/>
            <w:r>
              <w:rPr>
                <w:rFonts w:ascii="Aptos" w:hAnsi="Aptos"/>
                <w:b w:val="0"/>
                <w:color w:val="566275"/>
                <w:sz w:val="16"/>
              </w:rPr>
              <w:t>WI p.2 §7: “Every 2 hours QC will take samples from packed quantity based on AQL and record the results in specified Inprocess control form.”</w:t>
            </w:r>
          </w:p>
        </w:tc>
        <w:tc>
          <w:tcPr>
            <w:tcW w:type="dxa" w:w="4320"/>
            <w:vAlign w:val="top"/>
            <w:tcMar>
              <w:top w:w="90" w:type="dxa"/>
              <w:start w:w="95" w:type="dxa"/>
              <w:bottom w:w="90" w:type="dxa"/>
              <w:end w:w="95" w:type="dxa"/>
            </w:tcMar>
          </w:tcPr>
          <w:p>
            <w:pPr>
              <w:spacing w:after="0" w:line="254" w:lineRule="auto"/>
            </w:pPr>
            <w:r/>
            <w:r>
              <w:rPr>
                <w:rFonts w:ascii="Aptos" w:hAnsi="Aptos"/>
                <w:b w:val="0"/>
                <w:color w:val="566275"/>
                <w:sz w:val="16"/>
              </w:rPr>
              <w:t>Proposed §8.1: “During packing, QC shall perform documented in-process checkpoints at intervals not exceeding two hours while the operation is active, in accordance with the approved sampling plan. Record the actual sample time and shift for each checkpoint in F-823-i178. If a checkpoint is delayed or missed, document the reason and apply the approved deviation/nonconformity procedure before resuming normal verification. This is the existing company interval, subject to QC Manager review.”</w:t>
            </w:r>
          </w:p>
        </w:tc>
        <w:tc>
          <w:tcPr>
            <w:tcW w:type="dxa" w:w="2520"/>
            <w:vAlign w:val="top"/>
            <w:tcMar>
              <w:top w:w="90" w:type="dxa"/>
              <w:start w:w="95" w:type="dxa"/>
              <w:bottom w:w="90" w:type="dxa"/>
              <w:end w:w="95" w:type="dxa"/>
            </w:tcMar>
          </w:tcPr>
          <w:p>
            <w:pPr>
              <w:spacing w:after="0" w:line="254" w:lineRule="auto"/>
            </w:pPr>
            <w:r/>
            <w:r>
              <w:rPr>
                <w:rFonts w:ascii="Aptos" w:hAnsi="Aptos"/>
                <w:b w:val="0"/>
                <w:color w:val="566275"/>
                <w:sz w:val="16"/>
              </w:rPr>
              <w:t>F-823-i178 p.1 rows 7–13, columns E–P: 12 time columns labelled 7, 8, 9, 10, 11, 12, 1, 2, 3, 4, 5, 6; the legend uses √, X, R and N/A.</w:t>
            </w:r>
          </w:p>
        </w:tc>
        <w:tc>
          <w:tcPr>
            <w:tcW w:type="dxa" w:w="4176"/>
            <w:vAlign w:val="top"/>
            <w:tcMar>
              <w:top w:w="90" w:type="dxa"/>
              <w:start w:w="95" w:type="dxa"/>
              <w:bottom w:w="90" w:type="dxa"/>
              <w:end w:w="95" w:type="dxa"/>
            </w:tcMar>
          </w:tcPr>
          <w:p>
            <w:pPr>
              <w:spacing w:after="0" w:line="254" w:lineRule="auto"/>
            </w:pPr>
            <w:r/>
            <w:r>
              <w:rPr>
                <w:rFonts w:ascii="Aptos" w:hAnsi="Aptos"/>
                <w:b w:val="0"/>
                <w:color w:val="566275"/>
                <w:sz w:val="16"/>
              </w:rPr>
              <w:t>Checkpoint Log: “No. | Actual time | Shift | Lot | Sample identification | Sample quantity | Results/reference | QC initials.” Provide six configurable checkpoints per shift as a working layout; add continuation pages whenever needed. Mark missed checkpoints explicitly; never enter a result for a sample not taken.</w:t>
            </w:r>
          </w:p>
        </w:tc>
        <w:tc>
          <w:tcPr>
            <w:tcW w:type="dxa" w:w="3240"/>
            <w:vAlign w:val="top"/>
            <w:tcMar>
              <w:top w:w="90" w:type="dxa"/>
              <w:start w:w="95" w:type="dxa"/>
              <w:bottom w:w="90" w:type="dxa"/>
              <w:end w:w="95" w:type="dxa"/>
            </w:tcMar>
          </w:tcPr>
          <w:p>
            <w:pPr>
              <w:spacing w:after="0" w:line="254" w:lineRule="auto"/>
            </w:pPr>
            <w:r/>
            <w:r>
              <w:rPr>
                <w:rFonts w:ascii="Aptos" w:hAnsi="Aptos"/>
                <w:b w:val="0"/>
                <w:color w:val="566275"/>
                <w:sz w:val="16"/>
              </w:rPr>
              <w:t>Approved sampling/frequency decision; blank revised form; completed actual-time logs for representative run; deviations if any. Route: routine in-process. Status: Open — approval and execution evidence.</w:t>
            </w:r>
          </w:p>
        </w:tc>
      </w:tr>
      <w:tr>
        <w:trPr>
          <w:cantSplit/>
        </w:trPr>
        <w:tc>
          <w:tcPr>
            <w:tcW w:type="dxa" w:w="2232"/>
            <w:vAlign w:val="top"/>
            <w:tcMar>
              <w:top w:w="90" w:type="dxa"/>
              <w:start w:w="95" w:type="dxa"/>
              <w:bottom w:w="90" w:type="dxa"/>
              <w:end w:w="95" w:type="dxa"/>
            </w:tcMar>
            <w:shd w:fill="F2F6F8"/>
          </w:tcPr>
          <w:p>
            <w:pPr>
              <w:spacing w:after="0" w:line="254" w:lineRule="auto"/>
            </w:pPr>
            <w:r/>
            <w:r>
              <w:rPr>
                <w:rFonts w:ascii="Aptos" w:hAnsi="Aptos"/>
                <w:b/>
                <w:color w:val="12223C"/>
                <w:sz w:val="16"/>
              </w:rPr>
              <w:t>GAP-002 | P1</w:t>
              <w:br/>
              <w:t>Complete set content and quantity at point of packing</w:t>
              <w:br/>
              <w:br/>
              <w:t>The WI requires exactly 1 forceps, 1 stitch cutter, 3 swab gauzes and 1 drape, but F-823-i178 has only descriptive component-condition rows. It has no explicit count/completeness decision per sampled assembled pack.</w:t>
            </w:r>
          </w:p>
        </w:tc>
        <w:tc>
          <w:tcPr>
            <w:tcW w:type="dxa" w:w="2880"/>
            <w:vAlign w:val="top"/>
            <w:tcMar>
              <w:top w:w="90" w:type="dxa"/>
              <w:start w:w="95" w:type="dxa"/>
              <w:bottom w:w="90" w:type="dxa"/>
              <w:end w:w="95" w:type="dxa"/>
            </w:tcMar>
            <w:shd w:fill="F2F6F8"/>
          </w:tcPr>
          <w:p>
            <w:pPr>
              <w:spacing w:after="0" w:line="254" w:lineRule="auto"/>
            </w:pPr>
            <w:r/>
            <w:r>
              <w:rPr>
                <w:rFonts w:ascii="Aptos" w:hAnsi="Aptos"/>
                <w:b w:val="0"/>
                <w:color w:val="566275"/>
                <w:sz w:val="16"/>
              </w:rPr>
              <w:t>The product-specific ISO assembly-count acceptance is unverified. Component counts are explicit company WI §5.1.1 requirements; not assumed to be ISO numerical requirements.</w:t>
            </w:r>
          </w:p>
        </w:tc>
        <w:tc>
          <w:tcPr>
            <w:tcW w:type="dxa" w:w="2592"/>
            <w:vAlign w:val="top"/>
            <w:tcMar>
              <w:top w:w="90" w:type="dxa"/>
              <w:start w:w="95" w:type="dxa"/>
              <w:bottom w:w="90" w:type="dxa"/>
              <w:end w:w="95" w:type="dxa"/>
            </w:tcMar>
            <w:shd w:fill="F2F6F8"/>
          </w:tcPr>
          <w:p>
            <w:pPr>
              <w:spacing w:after="0" w:line="254" w:lineRule="auto"/>
            </w:pPr>
            <w:r/>
            <w:r>
              <w:rPr>
                <w:rFonts w:ascii="Aptos" w:hAnsi="Aptos"/>
                <w:b w:val="0"/>
                <w:color w:val="566275"/>
                <w:sz w:val="16"/>
              </w:rPr>
              <w:t>WI p.1 §5.1.1: “Forceps (1pc); Stitch Cutter (1pc); Swab Gauze (3pcs); Drape (1pc).” WI p.2 §7 requires accurate component quantity.</w:t>
            </w:r>
          </w:p>
        </w:tc>
        <w:tc>
          <w:tcPr>
            <w:tcW w:type="dxa" w:w="4320"/>
            <w:vAlign w:val="top"/>
            <w:tcMar>
              <w:top w:w="90" w:type="dxa"/>
              <w:start w:w="95" w:type="dxa"/>
              <w:bottom w:w="90" w:type="dxa"/>
              <w:end w:w="95" w:type="dxa"/>
            </w:tcMar>
            <w:shd w:fill="F2F6F8"/>
          </w:tcPr>
          <w:p>
            <w:pPr>
              <w:spacing w:after="0" w:line="254" w:lineRule="auto"/>
            </w:pPr>
            <w:r/>
            <w:r>
              <w:rPr>
                <w:rFonts w:ascii="Aptos" w:hAnsi="Aptos"/>
                <w:b w:val="0"/>
                <w:color w:val="566275"/>
                <w:sz w:val="16"/>
              </w:rPr>
              <w:t>Proposed §9.2: “At each scheduled checkpoint, QC shall verify the contents of the selected packed set against the approved product bill of materials and the established baseline of one forceps, one stitch cutter, three swab gauzes and one drape. Record actual counted quantities by component. Treat a missing, substituted, extra or damaged component as a nonconformity unless an approved controlled product variant explicitly authorizes the difference. Do not release affected product based only on an appearance check.”</w:t>
            </w:r>
          </w:p>
        </w:tc>
        <w:tc>
          <w:tcPr>
            <w:tcW w:type="dxa" w:w="2520"/>
            <w:vAlign w:val="top"/>
            <w:tcMar>
              <w:top w:w="90" w:type="dxa"/>
              <w:start w:w="95" w:type="dxa"/>
              <w:bottom w:w="90" w:type="dxa"/>
              <w:end w:w="95" w:type="dxa"/>
            </w:tcMar>
            <w:shd w:fill="F2F6F8"/>
          </w:tcPr>
          <w:p>
            <w:pPr>
              <w:spacing w:after="0" w:line="254" w:lineRule="auto"/>
            </w:pPr>
            <w:r/>
            <w:r>
              <w:rPr>
                <w:rFonts w:ascii="Aptos" w:hAnsi="Aptos"/>
                <w:b w:val="0"/>
                <w:color w:val="566275"/>
                <w:sz w:val="16"/>
              </w:rPr>
              <w:t>F-823-i178 p.1 rows 10–13 name four component groups, but there are no actual-count boxes or completed-set result fields.</w:t>
            </w:r>
          </w:p>
        </w:tc>
        <w:tc>
          <w:tcPr>
            <w:tcW w:type="dxa" w:w="4176"/>
            <w:vAlign w:val="top"/>
            <w:tcMar>
              <w:top w:w="90" w:type="dxa"/>
              <w:start w:w="95" w:type="dxa"/>
              <w:bottom w:w="90" w:type="dxa"/>
              <w:end w:w="95" w:type="dxa"/>
            </w:tcMar>
            <w:shd w:fill="F2F6F8"/>
          </w:tcPr>
          <w:p>
            <w:pPr>
              <w:spacing w:after="0" w:line="254" w:lineRule="auto"/>
            </w:pPr>
            <w:r/>
            <w:r>
              <w:rPr>
                <w:rFonts w:ascii="Aptos" w:hAnsi="Aptos"/>
                <w:b w:val="0"/>
                <w:color w:val="566275"/>
                <w:sz w:val="16"/>
              </w:rPr>
              <w:t>“Pack contents — Actual count: Forceps __ / required 1; Stitch cutter __ / required 1; Swab gauze __ / required 3; Drape __ / required 1; Product/variant specification __; Pack completeness: Pass / Fail; Sample ID __.”</w:t>
            </w:r>
          </w:p>
        </w:tc>
        <w:tc>
          <w:tcPr>
            <w:tcW w:type="dxa" w:w="3240"/>
            <w:vAlign w:val="top"/>
            <w:tcMar>
              <w:top w:w="90" w:type="dxa"/>
              <w:start w:w="95" w:type="dxa"/>
              <w:bottom w:w="90" w:type="dxa"/>
              <w:end w:w="95" w:type="dxa"/>
            </w:tcMar>
            <w:shd w:fill="F2F6F8"/>
          </w:tcPr>
          <w:p>
            <w:pPr>
              <w:spacing w:after="0" w:line="254" w:lineRule="auto"/>
            </w:pPr>
            <w:r/>
            <w:r>
              <w:rPr>
                <w:rFonts w:ascii="Aptos" w:hAnsi="Aptos"/>
                <w:b w:val="0"/>
                <w:color w:val="566275"/>
                <w:sz w:val="16"/>
              </w:rPr>
              <w:t>Approved bill of materials/product configuration; representative completed count record linked to lot and sample; nonconformity records for failures. Route: routine packing in-process. Status: Open — technical input / operational evidence.</w:t>
            </w:r>
          </w:p>
        </w:tc>
      </w:tr>
      <w:tr>
        <w:trPr>
          <w:cantSplit/>
        </w:trPr>
        <w:tc>
          <w:tcPr>
            <w:tcW w:type="dxa" w:w="2232"/>
            <w:vAlign w:val="top"/>
            <w:tcMar>
              <w:top w:w="90" w:type="dxa"/>
              <w:start w:w="95" w:type="dxa"/>
              <w:bottom w:w="90" w:type="dxa"/>
              <w:end w:w="95" w:type="dxa"/>
            </w:tcMar>
          </w:tcPr>
          <w:p>
            <w:pPr>
              <w:spacing w:after="0" w:line="254" w:lineRule="auto"/>
            </w:pPr>
            <w:r/>
            <w:r>
              <w:rPr>
                <w:rFonts w:ascii="Aptos" w:hAnsi="Aptos"/>
                <w:b/>
                <w:color w:val="12223C"/>
                <w:sz w:val="16"/>
              </w:rPr>
              <w:t>GAP-003 | P2</w:t>
              <w:br/>
              <w:t>Dimensional limits cannot be corroborated to controlled specification</w:t>
              <w:br/>
              <w:br/>
              <w:t>The form states wrap 30 × 30 cm ±1 cm and gauze 5 × 5 cm ±0.5 cm, while the WI refers to TF-89-PS but supplies no figures in the audited text. The controlling TF and variant applicability were not supplied.</w:t>
            </w:r>
          </w:p>
        </w:tc>
        <w:tc>
          <w:tcPr>
            <w:tcW w:type="dxa" w:w="2880"/>
            <w:vAlign w:val="top"/>
            <w:tcMar>
              <w:top w:w="90" w:type="dxa"/>
              <w:start w:w="95" w:type="dxa"/>
              <w:bottom w:w="90" w:type="dxa"/>
              <w:end w:w="95" w:type="dxa"/>
            </w:tcMar>
          </w:tcPr>
          <w:p>
            <w:pPr>
              <w:spacing w:after="0" w:line="254" w:lineRule="auto"/>
            </w:pPr>
            <w:r/>
            <w:r>
              <w:rPr>
                <w:rFonts w:ascii="Aptos" w:hAnsi="Aptos"/>
                <w:b w:val="0"/>
                <w:color w:val="566275"/>
                <w:sz w:val="16"/>
              </w:rPr>
              <w:t>Exact ISO dimensional criteria, if any, are not verified. Do not attribute the form values to ISO. These existing numbers are provisional pending comparison with the approved TF-89-PS.</w:t>
            </w:r>
          </w:p>
        </w:tc>
        <w:tc>
          <w:tcPr>
            <w:tcW w:type="dxa" w:w="2592"/>
            <w:vAlign w:val="top"/>
            <w:tcMar>
              <w:top w:w="90" w:type="dxa"/>
              <w:start w:w="95" w:type="dxa"/>
              <w:bottom w:w="90" w:type="dxa"/>
              <w:end w:w="95" w:type="dxa"/>
            </w:tcMar>
          </w:tcPr>
          <w:p>
            <w:pPr>
              <w:spacing w:after="0" w:line="254" w:lineRule="auto"/>
            </w:pPr>
            <w:r/>
            <w:r>
              <w:rPr>
                <w:rFonts w:ascii="Aptos" w:hAnsi="Aptos"/>
                <w:b w:val="0"/>
                <w:color w:val="566275"/>
                <w:sz w:val="16"/>
              </w:rPr>
              <w:t>WI p.2 §§5.2.3, 5.2.5 and 6 require correct gauze/drape dimensions and refer drawings/material specifications to TF-89-PS; no numeric limits are written in those WI sections.</w:t>
            </w:r>
          </w:p>
        </w:tc>
        <w:tc>
          <w:tcPr>
            <w:tcW w:type="dxa" w:w="4320"/>
            <w:vAlign w:val="top"/>
            <w:tcMar>
              <w:top w:w="90" w:type="dxa"/>
              <w:start w:w="95" w:type="dxa"/>
              <w:bottom w:w="90" w:type="dxa"/>
              <w:end w:w="95" w:type="dxa"/>
            </w:tcMar>
          </w:tcPr>
          <w:p>
            <w:pPr>
              <w:spacing w:after="0" w:line="254" w:lineRule="auto"/>
            </w:pPr>
            <w:r/>
            <w:r>
              <w:rPr>
                <w:rFonts w:ascii="Aptos" w:hAnsi="Aptos"/>
                <w:b w:val="0"/>
                <w:color w:val="566275"/>
                <w:sz w:val="16"/>
              </w:rPr>
              <w:t>Proposed §9.3: “Measure the length and width of drape and swab gauze using the calibrated instrument and test method identified in approved TF-89-PS and the applicable product variant. Record both actual dimensions and their unit. Use only the verified approved drawing/specification tolerances for disposition. The historical form lists drape 30 × 30 cm ±1 cm and gauze 5 × 5 cm ±0.5 cm; these values SHALL NOT be transferred into an approved revision until reconciled with TF-89-PS. OPEN TECHNICAL INPUT REQUIRED: approved dimensions/tolerances and measuring method.”</w:t>
            </w:r>
          </w:p>
        </w:tc>
        <w:tc>
          <w:tcPr>
            <w:tcW w:type="dxa" w:w="2520"/>
            <w:vAlign w:val="top"/>
            <w:tcMar>
              <w:top w:w="90" w:type="dxa"/>
              <w:start w:w="95" w:type="dxa"/>
              <w:bottom w:w="90" w:type="dxa"/>
              <w:end w:w="95" w:type="dxa"/>
            </w:tcMar>
          </w:tcPr>
          <w:p>
            <w:pPr>
              <w:spacing w:after="0" w:line="254" w:lineRule="auto"/>
            </w:pPr>
            <w:r/>
            <w:r>
              <w:rPr>
                <w:rFonts w:ascii="Aptos" w:hAnsi="Aptos"/>
                <w:b w:val="0"/>
                <w:color w:val="566275"/>
                <w:sz w:val="16"/>
              </w:rPr>
              <w:t>F-823-i178 p.1 row 10: “Hospital Wrap (Blue) (30 * 30cm) ± 1cm”; row 11: “White Gauze (5x5cm) ± 0.5cm”.</w:t>
            </w:r>
          </w:p>
        </w:tc>
        <w:tc>
          <w:tcPr>
            <w:tcW w:type="dxa" w:w="4176"/>
            <w:vAlign w:val="top"/>
            <w:tcMar>
              <w:top w:w="90" w:type="dxa"/>
              <w:start w:w="95" w:type="dxa"/>
              <w:bottom w:w="90" w:type="dxa"/>
              <w:end w:w="95" w:type="dxa"/>
            </w:tcMar>
          </w:tcPr>
          <w:p>
            <w:pPr>
              <w:spacing w:after="0" w:line="254" w:lineRule="auto"/>
            </w:pPr>
            <w:r/>
            <w:r>
              <w:rPr>
                <w:rFonts w:ascii="Aptos" w:hAnsi="Aptos"/>
                <w:b w:val="0"/>
                <w:color w:val="566275"/>
                <w:sz w:val="16"/>
              </w:rPr>
              <w:t>“Drape L __ cm / W __ cm; Gauze L __ cm / W __ cm; specification/drawing and revision __; instrument ID __; criteria: OPEN TF-89-PS VERIFICATION; result: Pending until approved limits confirmed.”</w:t>
            </w:r>
          </w:p>
        </w:tc>
        <w:tc>
          <w:tcPr>
            <w:tcW w:type="dxa" w:w="3240"/>
            <w:vAlign w:val="top"/>
            <w:tcMar>
              <w:top w:w="90" w:type="dxa"/>
              <w:start w:w="95" w:type="dxa"/>
              <w:bottom w:w="90" w:type="dxa"/>
              <w:end w:w="95" w:type="dxa"/>
            </w:tcMar>
          </w:tcPr>
          <w:p>
            <w:pPr>
              <w:spacing w:after="0" w:line="254" w:lineRule="auto"/>
            </w:pPr>
            <w:r/>
            <w:r>
              <w:rPr>
                <w:rFonts w:ascii="Aptos" w:hAnsi="Aptos"/>
                <w:b w:val="0"/>
                <w:color w:val="566275"/>
                <w:sz w:val="16"/>
              </w:rPr>
              <w:t>Controlled TF-89-PS and relevant drawing/variant; approved measured limits and equipment details; completed dimensional observations. Route: routine only if approved control plan requires. Status: Open — technical input.</w:t>
            </w:r>
          </w:p>
        </w:tc>
      </w:tr>
      <w:tr>
        <w:trPr>
          <w:cantSplit/>
        </w:trPr>
        <w:tc>
          <w:tcPr>
            <w:tcW w:type="dxa" w:w="2232"/>
            <w:vAlign w:val="top"/>
            <w:tcMar>
              <w:top w:w="90" w:type="dxa"/>
              <w:start w:w="95" w:type="dxa"/>
              <w:bottom w:w="90" w:type="dxa"/>
              <w:end w:w="95" w:type="dxa"/>
            </w:tcMar>
            <w:shd w:fill="F2F6F8"/>
          </w:tcPr>
          <w:p>
            <w:pPr>
              <w:spacing w:after="0" w:line="254" w:lineRule="auto"/>
            </w:pPr>
            <w:r/>
            <w:r>
              <w:rPr>
                <w:rFonts w:ascii="Aptos" w:hAnsi="Aptos"/>
                <w:b/>
                <w:color w:val="12223C"/>
                <w:sz w:val="16"/>
              </w:rPr>
              <w:t>GAP-004 | P1</w:t>
              <w:br/>
              <w:t>Stitch cutter / blade identity and pouch requirements</w:t>
              <w:br/>
              <w:br/>
              <w:t>The WI calls the item “Stitch Cutter” and lists 1 pc, while the form calls it “Blade (6cm)”, requires “Pure Stainless Steel Blade”, a sealed aluminium pouch and valid expiry. Identification and length are not reconciled to a verified component specification.</w:t>
            </w:r>
          </w:p>
        </w:tc>
        <w:tc>
          <w:tcPr>
            <w:tcW w:type="dxa" w:w="2880"/>
            <w:vAlign w:val="top"/>
            <w:tcMar>
              <w:top w:w="90" w:type="dxa"/>
              <w:start w:w="95" w:type="dxa"/>
              <w:bottom w:w="90" w:type="dxa"/>
              <w:end w:w="95" w:type="dxa"/>
            </w:tcMar>
            <w:shd w:fill="F2F6F8"/>
          </w:tcPr>
          <w:p>
            <w:pPr>
              <w:spacing w:after="0" w:line="254" w:lineRule="auto"/>
            </w:pPr>
            <w:r/>
            <w:r>
              <w:rPr>
                <w:rFonts w:ascii="Aptos" w:hAnsi="Aptos"/>
                <w:b w:val="0"/>
                <w:color w:val="566275"/>
                <w:sz w:val="16"/>
              </w:rPr>
              <w:t>No exact ISO specification for cutter size, material or expiry is available for verification. Historical form language is company criteria only.</w:t>
            </w:r>
          </w:p>
        </w:tc>
        <w:tc>
          <w:tcPr>
            <w:tcW w:type="dxa" w:w="2592"/>
            <w:vAlign w:val="top"/>
            <w:tcMar>
              <w:top w:w="90" w:type="dxa"/>
              <w:start w:w="95" w:type="dxa"/>
              <w:bottom w:w="90" w:type="dxa"/>
              <w:end w:w="95" w:type="dxa"/>
            </w:tcMar>
            <w:shd w:fill="F2F6F8"/>
          </w:tcPr>
          <w:p>
            <w:pPr>
              <w:spacing w:after="0" w:line="254" w:lineRule="auto"/>
            </w:pPr>
            <w:r/>
            <w:r>
              <w:rPr>
                <w:rFonts w:ascii="Aptos" w:hAnsi="Aptos"/>
                <w:b w:val="0"/>
                <w:color w:val="566275"/>
                <w:sz w:val="16"/>
              </w:rPr>
              <w:t>WI p.1 §§5.1.1 and 5.2.2: stitch cutter 1 pc; packed in aluminium pouch; smooth-surface stainless steel, sharp, free from damage, hooks and irregularities.</w:t>
            </w:r>
          </w:p>
        </w:tc>
        <w:tc>
          <w:tcPr>
            <w:tcW w:type="dxa" w:w="4320"/>
            <w:vAlign w:val="top"/>
            <w:tcMar>
              <w:top w:w="90" w:type="dxa"/>
              <w:start w:w="95" w:type="dxa"/>
              <w:bottom w:w="90" w:type="dxa"/>
              <w:end w:w="95" w:type="dxa"/>
            </w:tcMar>
            <w:shd w:fill="F2F6F8"/>
          </w:tcPr>
          <w:p>
            <w:pPr>
              <w:spacing w:after="0" w:line="254" w:lineRule="auto"/>
            </w:pPr>
            <w:r/>
            <w:r>
              <w:rPr>
                <w:rFonts w:ascii="Aptos" w:hAnsi="Aptos"/>
                <w:b w:val="0"/>
                <w:color w:val="566275"/>
                <w:sz w:val="16"/>
              </w:rPr>
              <w:t>Proposed §9.4: “Confirm that the stitch cutter/blade identity, approved component code, material grade, size, and pouch construction match the approved product component specification before evaluating the lot. Visually examine the cutter or its validated inspection presentation for damage and the approved blade-edge condition, without unsafe handling. Verify pouch identification, intact seal and any applicable component expiry requirement. Record the result and component batch/expiry when applicable. OPEN TECHNICAL INPUT REQUIRED: equivalence of ‘Stitch Cutter’ and ‘Blade (6 cm)’, final grade/length, and approved expiry rule.”</w:t>
            </w:r>
          </w:p>
        </w:tc>
        <w:tc>
          <w:tcPr>
            <w:tcW w:type="dxa" w:w="2520"/>
            <w:vAlign w:val="top"/>
            <w:tcMar>
              <w:top w:w="90" w:type="dxa"/>
              <w:start w:w="95" w:type="dxa"/>
              <w:bottom w:w="90" w:type="dxa"/>
              <w:end w:w="95" w:type="dxa"/>
            </w:tcMar>
            <w:shd w:fill="F2F6F8"/>
          </w:tcPr>
          <w:p>
            <w:pPr>
              <w:spacing w:after="0" w:line="254" w:lineRule="auto"/>
            </w:pPr>
            <w:r/>
            <w:r>
              <w:rPr>
                <w:rFonts w:ascii="Aptos" w:hAnsi="Aptos"/>
                <w:b w:val="0"/>
                <w:color w:val="566275"/>
                <w:sz w:val="16"/>
              </w:rPr>
              <w:t>F-823-i178 p.1 row 12: “Blade (6cm)” and “Pure Stainless Steel Blade, with sharp edge, packed in aluminium sealed pouch, with valid expiry Date.”</w:t>
            </w:r>
          </w:p>
        </w:tc>
        <w:tc>
          <w:tcPr>
            <w:tcW w:type="dxa" w:w="4176"/>
            <w:vAlign w:val="top"/>
            <w:tcMar>
              <w:top w:w="90" w:type="dxa"/>
              <w:start w:w="95" w:type="dxa"/>
              <w:bottom w:w="90" w:type="dxa"/>
              <w:end w:w="95" w:type="dxa"/>
            </w:tcMar>
            <w:shd w:fill="F2F6F8"/>
          </w:tcPr>
          <w:p>
            <w:pPr>
              <w:spacing w:after="0" w:line="254" w:lineRule="auto"/>
            </w:pPr>
            <w:r/>
            <w:r>
              <w:rPr>
                <w:rFonts w:ascii="Aptos" w:hAnsi="Aptos"/>
                <w:b w:val="0"/>
                <w:color w:val="566275"/>
                <w:sz w:val="16"/>
              </w:rPr>
              <w:t>“Cutter component code __; description/size per approved BOM __; pouch visual intact Y/N; expiry checked if applicable Y/N/NA; component lot __; cutter visual result Pass/Fail/Pending; approved spec reference __.”</w:t>
            </w:r>
          </w:p>
        </w:tc>
        <w:tc>
          <w:tcPr>
            <w:tcW w:type="dxa" w:w="3240"/>
            <w:vAlign w:val="top"/>
            <w:tcMar>
              <w:top w:w="90" w:type="dxa"/>
              <w:start w:w="95" w:type="dxa"/>
              <w:bottom w:w="90" w:type="dxa"/>
              <w:end w:w="95" w:type="dxa"/>
            </w:tcMar>
            <w:shd w:fill="F2F6F8"/>
          </w:tcPr>
          <w:p>
            <w:pPr>
              <w:spacing w:after="0" w:line="254" w:lineRule="auto"/>
            </w:pPr>
            <w:r/>
            <w:r>
              <w:rPr>
                <w:rFonts w:ascii="Aptos" w:hAnsi="Aptos"/>
                <w:b w:val="0"/>
                <w:color w:val="566275"/>
                <w:sz w:val="16"/>
              </w:rPr>
              <w:t>Approved component BOM/TF, supplier or component specification, expiry policy, sample records and pouch checks; nonconforming item record when applicable. Route: in-process + supplier evidence. Status: Open — technical input.</w:t>
            </w:r>
          </w:p>
        </w:tc>
      </w:tr>
      <w:tr>
        <w:trPr>
          <w:cantSplit/>
        </w:trPr>
        <w:tc>
          <w:tcPr>
            <w:tcW w:type="dxa" w:w="2232"/>
            <w:vAlign w:val="top"/>
            <w:tcMar>
              <w:top w:w="90" w:type="dxa"/>
              <w:start w:w="95" w:type="dxa"/>
              <w:bottom w:w="90" w:type="dxa"/>
              <w:end w:w="95" w:type="dxa"/>
            </w:tcMar>
          </w:tcPr>
          <w:p>
            <w:pPr>
              <w:spacing w:after="0" w:line="254" w:lineRule="auto"/>
            </w:pPr>
            <w:r/>
            <w:r>
              <w:rPr>
                <w:rFonts w:ascii="Aptos" w:hAnsi="Aptos"/>
                <w:b/>
                <w:color w:val="12223C"/>
                <w:sz w:val="16"/>
              </w:rPr>
              <w:t>GAP-005 | P2</w:t>
              <w:br/>
              <w:t>Forceps defect definition differs between WI and form</w:t>
              <w:br/>
              <w:br/>
              <w:t>The WI checks smooth surface, appropriate gripping features, flashing and irregularities; the in-process form stresses cracks/breakage and gripping features without explicitly identifying flashing or sharp burrs. The approved defect boundary is unverified.</w:t>
            </w:r>
          </w:p>
        </w:tc>
        <w:tc>
          <w:tcPr>
            <w:tcW w:type="dxa" w:w="2880"/>
            <w:vAlign w:val="top"/>
            <w:tcMar>
              <w:top w:w="90" w:type="dxa"/>
              <w:start w:w="95" w:type="dxa"/>
              <w:bottom w:w="90" w:type="dxa"/>
              <w:end w:w="95" w:type="dxa"/>
            </w:tcMar>
          </w:tcPr>
          <w:p>
            <w:pPr>
              <w:spacing w:after="0" w:line="254" w:lineRule="auto"/>
            </w:pPr>
            <w:r/>
            <w:r>
              <w:rPr>
                <w:rFonts w:ascii="Aptos" w:hAnsi="Aptos"/>
                <w:b w:val="0"/>
                <w:color w:val="566275"/>
                <w:sz w:val="16"/>
              </w:rPr>
              <w:t>No numerical ISO acceptance limit is available. This is a traceable alignment issue between current company records.</w:t>
            </w:r>
          </w:p>
        </w:tc>
        <w:tc>
          <w:tcPr>
            <w:tcW w:type="dxa" w:w="2592"/>
            <w:vAlign w:val="top"/>
            <w:tcMar>
              <w:top w:w="90" w:type="dxa"/>
              <w:start w:w="95" w:type="dxa"/>
              <w:bottom w:w="90" w:type="dxa"/>
              <w:end w:w="95" w:type="dxa"/>
            </w:tcMar>
          </w:tcPr>
          <w:p>
            <w:pPr>
              <w:spacing w:after="0" w:line="254" w:lineRule="auto"/>
            </w:pPr>
            <w:r/>
            <w:r>
              <w:rPr>
                <w:rFonts w:ascii="Aptos" w:hAnsi="Aptos"/>
                <w:b w:val="0"/>
                <w:color w:val="566275"/>
                <w:sz w:val="16"/>
              </w:rPr>
              <w:t>WI p.1 §5.2.1: “smooth surface, proper gripping threads, and free from damage, crack, flashing and irregularities.”</w:t>
            </w:r>
          </w:p>
        </w:tc>
        <w:tc>
          <w:tcPr>
            <w:tcW w:type="dxa" w:w="4320"/>
            <w:vAlign w:val="top"/>
            <w:tcMar>
              <w:top w:w="90" w:type="dxa"/>
              <w:start w:w="95" w:type="dxa"/>
              <w:bottom w:w="90" w:type="dxa"/>
              <w:end w:w="95" w:type="dxa"/>
            </w:tcMar>
          </w:tcPr>
          <w:p>
            <w:pPr>
              <w:spacing w:after="0" w:line="254" w:lineRule="auto"/>
            </w:pPr>
            <w:r/>
            <w:r>
              <w:rPr>
                <w:rFonts w:ascii="Aptos" w:hAnsi="Aptos"/>
                <w:b w:val="0"/>
                <w:color w:val="566275"/>
                <w:sz w:val="16"/>
              </w:rPr>
              <w:t>Proposed §9.5: “Examine sampled forceps under the approved visual conditions. Accept only a clean, undamaged forceps with properly formed grip features and no cracks, breaks, flashing, sharp burrs or other defects prohibited by the controlled component specification. Record the finding by sample and classify any defect using the approved defect catalogue. OPEN TECHNICAL INPUT REQUIRED if the defect catalogue/visual acceptance boundary is not approved.”</w:t>
            </w:r>
          </w:p>
        </w:tc>
        <w:tc>
          <w:tcPr>
            <w:tcW w:type="dxa" w:w="2520"/>
            <w:vAlign w:val="top"/>
            <w:tcMar>
              <w:top w:w="90" w:type="dxa"/>
              <w:start w:w="95" w:type="dxa"/>
              <w:bottom w:w="90" w:type="dxa"/>
              <w:end w:w="95" w:type="dxa"/>
            </w:tcMar>
          </w:tcPr>
          <w:p>
            <w:pPr>
              <w:spacing w:after="0" w:line="254" w:lineRule="auto"/>
            </w:pPr>
            <w:r/>
            <w:r>
              <w:rPr>
                <w:rFonts w:ascii="Aptos" w:hAnsi="Aptos"/>
                <w:b w:val="0"/>
                <w:color w:val="566275"/>
                <w:sz w:val="16"/>
              </w:rPr>
              <w:t>F-823-i178 p.1 row 13: “Forcep plastic”; clear/good plastic, no damage, crack or break; clear holding grip threads.</w:t>
            </w:r>
          </w:p>
        </w:tc>
        <w:tc>
          <w:tcPr>
            <w:tcW w:type="dxa" w:w="4176"/>
            <w:vAlign w:val="top"/>
            <w:tcMar>
              <w:top w:w="90" w:type="dxa"/>
              <w:start w:w="95" w:type="dxa"/>
              <w:bottom w:w="90" w:type="dxa"/>
              <w:end w:w="95" w:type="dxa"/>
            </w:tcMar>
          </w:tcPr>
          <w:p>
            <w:pPr>
              <w:spacing w:after="0" w:line="254" w:lineRule="auto"/>
            </w:pPr>
            <w:r/>
            <w:r>
              <w:rPr>
                <w:rFonts w:ascii="Aptos" w:hAnsi="Aptos"/>
                <w:b w:val="0"/>
                <w:color w:val="566275"/>
                <w:sz w:val="16"/>
              </w:rPr>
              <w:t>“Forceps — clean/intact; gripping features present; no cracks; no breakage; no flashing/burrs (per approved defect reference); observation/defect code __; Result √/X/R/N/A.”</w:t>
            </w:r>
          </w:p>
        </w:tc>
        <w:tc>
          <w:tcPr>
            <w:tcW w:type="dxa" w:w="3240"/>
            <w:vAlign w:val="top"/>
            <w:tcMar>
              <w:top w:w="90" w:type="dxa"/>
              <w:start w:w="95" w:type="dxa"/>
              <w:bottom w:w="90" w:type="dxa"/>
              <w:end w:w="95" w:type="dxa"/>
            </w:tcMar>
          </w:tcPr>
          <w:p>
            <w:pPr>
              <w:spacing w:after="0" w:line="254" w:lineRule="auto"/>
            </w:pPr>
            <w:r/>
            <w:r>
              <w:rPr>
                <w:rFonts w:ascii="Aptos" w:hAnsi="Aptos"/>
                <w:b w:val="0"/>
                <w:color w:val="566275"/>
                <w:sz w:val="16"/>
              </w:rPr>
              <w:t>Approved visual-defect acceptance guide, completed in-process observations, NCR for failures. Route: routine in-process. Status: Open — approved defect catalogue / evidence.</w:t>
            </w:r>
          </w:p>
        </w:tc>
      </w:tr>
      <w:tr>
        <w:trPr>
          <w:cantSplit/>
        </w:trPr>
        <w:tc>
          <w:tcPr>
            <w:tcW w:type="dxa" w:w="2232"/>
            <w:vAlign w:val="top"/>
            <w:tcMar>
              <w:top w:w="90" w:type="dxa"/>
              <w:start w:w="95" w:type="dxa"/>
              <w:bottom w:w="90" w:type="dxa"/>
              <w:end w:w="95" w:type="dxa"/>
            </w:tcMar>
            <w:shd w:fill="F2F6F8"/>
          </w:tcPr>
          <w:p>
            <w:pPr>
              <w:spacing w:after="0" w:line="254" w:lineRule="auto"/>
            </w:pPr>
            <w:r/>
            <w:r>
              <w:rPr>
                <w:rFonts w:ascii="Aptos" w:hAnsi="Aptos"/>
                <w:b/>
                <w:color w:val="12223C"/>
                <w:sz w:val="16"/>
              </w:rPr>
              <w:t>GAP-006 | P2</w:t>
              <w:br/>
              <w:t>Drape and gauze visual/material criteria not fully synchronized</w:t>
              <w:br/>
              <w:br/>
              <w:t>The form specifies a blue hospital wrap with straight cutting edges and cotton-type gauze; WI requires no drape holes/stains and no gauze dust/irregularities. Material/appearance acceptance differs, with TF-89-PS/TF-89-PDBM unavailable.</w:t>
            </w:r>
          </w:p>
        </w:tc>
        <w:tc>
          <w:tcPr>
            <w:tcW w:type="dxa" w:w="2880"/>
            <w:vAlign w:val="top"/>
            <w:tcMar>
              <w:top w:w="90" w:type="dxa"/>
              <w:start w:w="95" w:type="dxa"/>
              <w:bottom w:w="90" w:type="dxa"/>
              <w:end w:w="95" w:type="dxa"/>
            </w:tcMar>
            <w:shd w:fill="F2F6F8"/>
          </w:tcPr>
          <w:p>
            <w:pPr>
              <w:spacing w:after="0" w:line="254" w:lineRule="auto"/>
            </w:pPr>
            <w:r/>
            <w:r>
              <w:rPr>
                <w:rFonts w:ascii="Aptos" w:hAnsi="Aptos"/>
                <w:b w:val="0"/>
                <w:color w:val="566275"/>
                <w:sz w:val="16"/>
              </w:rPr>
              <w:t>Material grade/color acceptance is not sourced to an approved standard or verified product specification in this review.</w:t>
            </w:r>
          </w:p>
        </w:tc>
        <w:tc>
          <w:tcPr>
            <w:tcW w:type="dxa" w:w="2592"/>
            <w:vAlign w:val="top"/>
            <w:tcMar>
              <w:top w:w="90" w:type="dxa"/>
              <w:start w:w="95" w:type="dxa"/>
              <w:bottom w:w="90" w:type="dxa"/>
              <w:end w:w="95" w:type="dxa"/>
            </w:tcMar>
            <w:shd w:fill="F2F6F8"/>
          </w:tcPr>
          <w:p>
            <w:pPr>
              <w:spacing w:after="0" w:line="254" w:lineRule="auto"/>
            </w:pPr>
            <w:r/>
            <w:r>
              <w:rPr>
                <w:rFonts w:ascii="Aptos" w:hAnsi="Aptos"/>
                <w:b w:val="0"/>
                <w:color w:val="566275"/>
                <w:sz w:val="16"/>
              </w:rPr>
              <w:t>WI p.2 §§5.2.3 and 5.2.5: gauze soft/smooth, no stains/dust/irregularities; drape dimensionally correct, no holes/stains/irregularities.</w:t>
            </w:r>
          </w:p>
        </w:tc>
        <w:tc>
          <w:tcPr>
            <w:tcW w:type="dxa" w:w="4320"/>
            <w:vAlign w:val="top"/>
            <w:tcMar>
              <w:top w:w="90" w:type="dxa"/>
              <w:start w:w="95" w:type="dxa"/>
              <w:bottom w:w="90" w:type="dxa"/>
              <w:end w:w="95" w:type="dxa"/>
            </w:tcMar>
            <w:shd w:fill="F2F6F8"/>
          </w:tcPr>
          <w:p>
            <w:pPr>
              <w:spacing w:after="0" w:line="254" w:lineRule="auto"/>
            </w:pPr>
            <w:r/>
            <w:r>
              <w:rPr>
                <w:rFonts w:ascii="Aptos" w:hAnsi="Aptos"/>
                <w:b w:val="0"/>
                <w:color w:val="566275"/>
                <w:sz w:val="16"/>
              </w:rPr>
              <w:t>Proposed §9.6: “Verify the drape and swab gauze visual characteristics against the approved product BOM/material specification. For the drape, record cleanliness, cuts/edges, holes, stains and approved color. For gauze, record cleanliness, softness, material identification if verified, straight cuts, stains, visible particulate and other specified irregularities. Do not mandate ‘cotton’ or ‘blue’ across all variants until TF-89-PS/TF-89-PDBM confirms applicability. Record any deviation from the approved variant specification.”</w:t>
            </w:r>
          </w:p>
        </w:tc>
        <w:tc>
          <w:tcPr>
            <w:tcW w:type="dxa" w:w="2520"/>
            <w:vAlign w:val="top"/>
            <w:tcMar>
              <w:top w:w="90" w:type="dxa"/>
              <w:start w:w="95" w:type="dxa"/>
              <w:bottom w:w="90" w:type="dxa"/>
              <w:end w:w="95" w:type="dxa"/>
            </w:tcMar>
            <w:shd w:fill="F2F6F8"/>
          </w:tcPr>
          <w:p>
            <w:pPr>
              <w:spacing w:after="0" w:line="254" w:lineRule="auto"/>
            </w:pPr>
            <w:r/>
            <w:r>
              <w:rPr>
                <w:rFonts w:ascii="Aptos" w:hAnsi="Aptos"/>
                <w:b w:val="0"/>
                <w:color w:val="566275"/>
                <w:sz w:val="16"/>
              </w:rPr>
              <w:t>F-823-i178 p.1 rows 10–11: blue, soft, straight edges and no holes/stains for wrap; clear, soft cotton type, straight cutting edges/no stains for gauze.</w:t>
            </w:r>
          </w:p>
        </w:tc>
        <w:tc>
          <w:tcPr>
            <w:tcW w:type="dxa" w:w="4176"/>
            <w:vAlign w:val="top"/>
            <w:tcMar>
              <w:top w:w="90" w:type="dxa"/>
              <w:start w:w="95" w:type="dxa"/>
              <w:bottom w:w="90" w:type="dxa"/>
              <w:end w:w="95" w:type="dxa"/>
            </w:tcMar>
            <w:shd w:fill="F2F6F8"/>
          </w:tcPr>
          <w:p>
            <w:pPr>
              <w:spacing w:after="0" w:line="254" w:lineRule="auto"/>
            </w:pPr>
            <w:r/>
            <w:r>
              <w:rPr>
                <w:rFonts w:ascii="Aptos" w:hAnsi="Aptos"/>
                <w:b w:val="0"/>
                <w:color w:val="566275"/>
                <w:sz w:val="16"/>
              </w:rPr>
              <w:t>“Drape visual criteria: material/color reference __; holes/stains/edge defects Y/N; Gauze: approved material __; stains/visible particles/irregularities Y/N; observation __; result √/X/R/N/A.”</w:t>
            </w:r>
          </w:p>
        </w:tc>
        <w:tc>
          <w:tcPr>
            <w:tcW w:type="dxa" w:w="3240"/>
            <w:vAlign w:val="top"/>
            <w:tcMar>
              <w:top w:w="90" w:type="dxa"/>
              <w:start w:w="95" w:type="dxa"/>
              <w:bottom w:w="90" w:type="dxa"/>
              <w:end w:w="95" w:type="dxa"/>
            </w:tcMar>
            <w:shd w:fill="F2F6F8"/>
          </w:tcPr>
          <w:p>
            <w:pPr>
              <w:spacing w:after="0" w:line="254" w:lineRule="auto"/>
            </w:pPr>
            <w:r/>
            <w:r>
              <w:rPr>
                <w:rFonts w:ascii="Aptos" w:hAnsi="Aptos"/>
                <w:b w:val="0"/>
                <w:color w:val="566275"/>
                <w:sz w:val="16"/>
              </w:rPr>
              <w:t>Approved material specification TF-89-PDBM, product specification and variant list; completed visual checks and linked rejected records. Route: routine in-process. Status: Open — specs / execution evidence.</w:t>
            </w:r>
          </w:p>
        </w:tc>
      </w:tr>
      <w:tr>
        <w:trPr>
          <w:cantSplit/>
        </w:trPr>
        <w:tc>
          <w:tcPr>
            <w:tcW w:type="dxa" w:w="2232"/>
            <w:vAlign w:val="top"/>
            <w:tcMar>
              <w:top w:w="90" w:type="dxa"/>
              <w:start w:w="95" w:type="dxa"/>
              <w:bottom w:w="90" w:type="dxa"/>
              <w:end w:w="95" w:type="dxa"/>
            </w:tcMar>
          </w:tcPr>
          <w:p>
            <w:pPr>
              <w:spacing w:after="0" w:line="254" w:lineRule="auto"/>
            </w:pPr>
            <w:r/>
            <w:r>
              <w:rPr>
                <w:rFonts w:ascii="Aptos" w:hAnsi="Aptos"/>
                <w:b/>
                <w:color w:val="12223C"/>
                <w:sz w:val="16"/>
              </w:rPr>
              <w:t>GAP-007 | P2</w:t>
              <w:br/>
              <w:t>Actual measurements and unambiguous results</w:t>
              <w:br/>
              <w:br/>
              <w:t>The in-process form uses a √/X/R/N/A legend in hourly cells but lacks an explicit place for actual numeric dimension readings, sample identification, result interpretation or defect detail. A tick alone cannot demonstrate the measured values.</w:t>
            </w:r>
          </w:p>
        </w:tc>
        <w:tc>
          <w:tcPr>
            <w:tcW w:type="dxa" w:w="2880"/>
            <w:vAlign w:val="top"/>
            <w:tcMar>
              <w:top w:w="90" w:type="dxa"/>
              <w:start w:w="95" w:type="dxa"/>
              <w:bottom w:w="90" w:type="dxa"/>
              <w:end w:w="95" w:type="dxa"/>
            </w:tcMar>
          </w:tcPr>
          <w:p>
            <w:pPr>
              <w:spacing w:after="0" w:line="254" w:lineRule="auto"/>
            </w:pPr>
            <w:r/>
            <w:r>
              <w:rPr>
                <w:rFonts w:ascii="Aptos" w:hAnsi="Aptos"/>
                <w:b w:val="0"/>
                <w:color w:val="566275"/>
                <w:sz w:val="16"/>
              </w:rPr>
              <w:t>No ISO-specific measurement-record requirements were directly verified. Need for actual results is inferred from the documented dimensional controls and evidence traceability.</w:t>
            </w:r>
          </w:p>
        </w:tc>
        <w:tc>
          <w:tcPr>
            <w:tcW w:type="dxa" w:w="2592"/>
            <w:vAlign w:val="top"/>
            <w:tcMar>
              <w:top w:w="90" w:type="dxa"/>
              <w:start w:w="95" w:type="dxa"/>
              <w:bottom w:w="90" w:type="dxa"/>
              <w:end w:w="95" w:type="dxa"/>
            </w:tcMar>
          </w:tcPr>
          <w:p>
            <w:pPr>
              <w:spacing w:after="0" w:line="254" w:lineRule="auto"/>
            </w:pPr>
            <w:r/>
            <w:r>
              <w:rPr>
                <w:rFonts w:ascii="Aptos" w:hAnsi="Aptos"/>
                <w:b w:val="0"/>
                <w:color w:val="566275"/>
                <w:sz w:val="16"/>
              </w:rPr>
              <w:t>WI p.2 §7 says QC records in-process results; §6 requires compliance with TF-89-PS dimensions. No recording format or method details are defined.</w:t>
            </w:r>
          </w:p>
        </w:tc>
        <w:tc>
          <w:tcPr>
            <w:tcW w:type="dxa" w:w="4320"/>
            <w:vAlign w:val="top"/>
            <w:tcMar>
              <w:top w:w="90" w:type="dxa"/>
              <w:start w:w="95" w:type="dxa"/>
              <w:bottom w:w="90" w:type="dxa"/>
              <w:end w:w="95" w:type="dxa"/>
            </w:tcMar>
          </w:tcPr>
          <w:p>
            <w:pPr>
              <w:spacing w:after="0" w:line="254" w:lineRule="auto"/>
            </w:pPr>
            <w:r/>
            <w:r>
              <w:rPr>
                <w:rFonts w:ascii="Aptos" w:hAnsi="Aptos"/>
                <w:b w:val="0"/>
                <w:color w:val="566275"/>
                <w:sz w:val="16"/>
              </w:rPr>
              <w:t>Proposed §10.1: “For each characteristic requiring measurement, enter the actual measured value, unit, sample ID, applicable limit and equipment identification in the in-process record or its controlled measurement attachment. Use √ only after confirming the underlying result meets the approved criterion. X means unacceptable, R means record detailed remarks, and N/A requires an authorized reason. A blank box is not evidence of conformance. Do not mark dimensions conforming while specification limits remain unverified.”</w:t>
            </w:r>
          </w:p>
        </w:tc>
        <w:tc>
          <w:tcPr>
            <w:tcW w:type="dxa" w:w="2520"/>
            <w:vAlign w:val="top"/>
            <w:tcMar>
              <w:top w:w="90" w:type="dxa"/>
              <w:start w:w="95" w:type="dxa"/>
              <w:bottom w:w="90" w:type="dxa"/>
              <w:end w:w="95" w:type="dxa"/>
            </w:tcMar>
          </w:tcPr>
          <w:p>
            <w:pPr>
              <w:spacing w:after="0" w:line="254" w:lineRule="auto"/>
            </w:pPr>
            <w:r/>
            <w:r>
              <w:rPr>
                <w:rFonts w:ascii="Aptos" w:hAnsi="Aptos"/>
                <w:b w:val="0"/>
                <w:color w:val="566275"/>
                <w:sz w:val="16"/>
              </w:rPr>
              <w:t>F-823-i178 p.1: legend “√ = Acceptable; X = Not Acceptable; R = Read Remarks; N/A = Not Applicable”; no dimension-reading boxes in rows 10–11.</w:t>
            </w:r>
          </w:p>
        </w:tc>
        <w:tc>
          <w:tcPr>
            <w:tcW w:type="dxa" w:w="4176"/>
            <w:vAlign w:val="top"/>
            <w:tcMar>
              <w:top w:w="90" w:type="dxa"/>
              <w:start w:w="95" w:type="dxa"/>
              <w:bottom w:w="90" w:type="dxa"/>
              <w:end w:w="95" w:type="dxa"/>
            </w:tcMar>
          </w:tcPr>
          <w:p>
            <w:pPr>
              <w:spacing w:after="0" w:line="254" w:lineRule="auto"/>
            </w:pPr>
            <w:r/>
            <w:r>
              <w:rPr>
                <w:rFonts w:ascii="Aptos" w:hAnsi="Aptos"/>
                <w:b w:val="0"/>
                <w:color w:val="566275"/>
                <w:sz w:val="16"/>
              </w:rPr>
              <w:t>“Sample ID __ | Actual dimension (L/W) __ cm | Approved tolerance/ref __ | instrument ID __ | √ / X / R / N/A | Remark / NCR ID __.” Retain the existing legend definitions.</w:t>
            </w:r>
          </w:p>
        </w:tc>
        <w:tc>
          <w:tcPr>
            <w:tcW w:type="dxa" w:w="3240"/>
            <w:vAlign w:val="top"/>
            <w:tcMar>
              <w:top w:w="90" w:type="dxa"/>
              <w:start w:w="95" w:type="dxa"/>
              <w:bottom w:w="90" w:type="dxa"/>
              <w:end w:w="95" w:type="dxa"/>
            </w:tcMar>
          </w:tcPr>
          <w:p>
            <w:pPr>
              <w:spacing w:after="0" w:line="254" w:lineRule="auto"/>
            </w:pPr>
            <w:r/>
            <w:r>
              <w:rPr>
                <w:rFonts w:ascii="Aptos" w:hAnsi="Aptos"/>
                <w:b w:val="0"/>
                <w:color w:val="566275"/>
                <w:sz w:val="16"/>
              </w:rPr>
              <w:t>Verified completed measurement records including traceable instrument IDs; approved acceptance values; QC review. Route: routine in-process. Status: Open — evidence.</w:t>
            </w:r>
          </w:p>
        </w:tc>
      </w:tr>
      <w:tr>
        <w:trPr>
          <w:cantSplit/>
        </w:trPr>
        <w:tc>
          <w:tcPr>
            <w:tcW w:type="dxa" w:w="2232"/>
            <w:vAlign w:val="top"/>
            <w:tcMar>
              <w:top w:w="90" w:type="dxa"/>
              <w:start w:w="95" w:type="dxa"/>
              <w:bottom w:w="90" w:type="dxa"/>
              <w:end w:w="95" w:type="dxa"/>
            </w:tcMar>
            <w:shd w:fill="F2F6F8"/>
          </w:tcPr>
          <w:p>
            <w:pPr>
              <w:spacing w:after="0" w:line="254" w:lineRule="auto"/>
            </w:pPr>
            <w:r/>
            <w:r>
              <w:rPr>
                <w:rFonts w:ascii="Aptos" w:hAnsi="Aptos"/>
                <w:b/>
                <w:color w:val="12223C"/>
                <w:sz w:val="16"/>
              </w:rPr>
              <w:t>GAP-008 | P2</w:t>
              <w:br/>
              <w:t>Sampling quantity and AQL application are not defined for in-process records</w:t>
              <w:br/>
              <w:br/>
              <w:t>The WI says sample packed quantity “based on AQL”, but does not state a controlled sample-size determination method for each in-process check; the provided form does not capture population, sample size, or plan reference.</w:t>
            </w:r>
          </w:p>
        </w:tc>
        <w:tc>
          <w:tcPr>
            <w:tcW w:type="dxa" w:w="2880"/>
            <w:vAlign w:val="top"/>
            <w:tcMar>
              <w:top w:w="90" w:type="dxa"/>
              <w:start w:w="95" w:type="dxa"/>
              <w:bottom w:w="90" w:type="dxa"/>
              <w:end w:w="95" w:type="dxa"/>
            </w:tcMar>
            <w:shd w:fill="F2F6F8"/>
          </w:tcPr>
          <w:p>
            <w:pPr>
              <w:spacing w:after="0" w:line="254" w:lineRule="auto"/>
            </w:pPr>
            <w:r/>
            <w:r>
              <w:rPr>
                <w:rFonts w:ascii="Aptos" w:hAnsi="Aptos"/>
                <w:b w:val="0"/>
                <w:color w:val="566275"/>
                <w:sz w:val="16"/>
              </w:rPr>
              <w:t>No ISO-prescribed AQL, acceptance number or lot sample size verified. Do not introduce S-2 / AQL 1.5 as a requirement without applicable company-approved control plan.</w:t>
            </w:r>
          </w:p>
        </w:tc>
        <w:tc>
          <w:tcPr>
            <w:tcW w:type="dxa" w:w="2592"/>
            <w:vAlign w:val="top"/>
            <w:tcMar>
              <w:top w:w="90" w:type="dxa"/>
              <w:start w:w="95" w:type="dxa"/>
              <w:bottom w:w="90" w:type="dxa"/>
              <w:end w:w="95" w:type="dxa"/>
            </w:tcMar>
            <w:shd w:fill="F2F6F8"/>
          </w:tcPr>
          <w:p>
            <w:pPr>
              <w:spacing w:after="0" w:line="254" w:lineRule="auto"/>
            </w:pPr>
            <w:r/>
            <w:r>
              <w:rPr>
                <w:rFonts w:ascii="Aptos" w:hAnsi="Aptos"/>
                <w:b w:val="0"/>
                <w:color w:val="566275"/>
                <w:sz w:val="16"/>
              </w:rPr>
              <w:t>WI p.2 §7: “Every 2 hours QC will take samples from packed quantity based on AQL ...”. Incoming/final AQL descriptions are in §§5.1 and 8, which are outside this in-process scope.</w:t>
            </w:r>
          </w:p>
        </w:tc>
        <w:tc>
          <w:tcPr>
            <w:tcW w:type="dxa" w:w="4320"/>
            <w:vAlign w:val="top"/>
            <w:tcMar>
              <w:top w:w="90" w:type="dxa"/>
              <w:start w:w="95" w:type="dxa"/>
              <w:bottom w:w="90" w:type="dxa"/>
              <w:end w:w="95" w:type="dxa"/>
            </w:tcMar>
            <w:shd w:fill="F2F6F8"/>
          </w:tcPr>
          <w:p>
            <w:pPr>
              <w:spacing w:after="0" w:line="254" w:lineRule="auto"/>
            </w:pPr>
            <w:r/>
            <w:r>
              <w:rPr>
                <w:rFonts w:ascii="Aptos" w:hAnsi="Aptos"/>
                <w:b w:val="0"/>
                <w:color w:val="566275"/>
                <w:sz w:val="16"/>
              </w:rPr>
              <w:t>Proposed §8.2: “Determine and document the in-process sample size, inspected quantity and acceptance rule from the approved production-stage sampling plan relevant to the product variant, lot/shift and operation. When an AQL scheme is used, identify the scheme and revision plus the lot-size, level, AQL and acceptance/rejection numbers from that approved scheme. OPEN TECHNICAL INPUT REQUIRED: currently approved in-process sampling plan and trigger rules. Do not import incoming or final inspection sampling rules into this WI by assumption.”</w:t>
            </w:r>
          </w:p>
        </w:tc>
        <w:tc>
          <w:tcPr>
            <w:tcW w:type="dxa" w:w="2520"/>
            <w:vAlign w:val="top"/>
            <w:tcMar>
              <w:top w:w="90" w:type="dxa"/>
              <w:start w:w="95" w:type="dxa"/>
              <w:bottom w:w="90" w:type="dxa"/>
              <w:end w:w="95" w:type="dxa"/>
            </w:tcMar>
            <w:shd w:fill="F2F6F8"/>
          </w:tcPr>
          <w:p>
            <w:pPr>
              <w:spacing w:after="0" w:line="254" w:lineRule="auto"/>
            </w:pPr>
            <w:r/>
            <w:r>
              <w:rPr>
                <w:rFonts w:ascii="Aptos" w:hAnsi="Aptos"/>
                <w:b w:val="0"/>
                <w:color w:val="566275"/>
                <w:sz w:val="16"/>
              </w:rPr>
              <w:t>F-823-i178 p.1 rows 5–8: lot, shift and hour slots are present; sample size, population, sampling-plan reference and Ac/Re are not.</w:t>
            </w:r>
          </w:p>
        </w:tc>
        <w:tc>
          <w:tcPr>
            <w:tcW w:type="dxa" w:w="4176"/>
            <w:vAlign w:val="top"/>
            <w:tcMar>
              <w:top w:w="90" w:type="dxa"/>
              <w:start w:w="95" w:type="dxa"/>
              <w:bottom w:w="90" w:type="dxa"/>
              <w:end w:w="95" w:type="dxa"/>
            </w:tcMar>
            <w:shd w:fill="F2F6F8"/>
          </w:tcPr>
          <w:p>
            <w:pPr>
              <w:spacing w:after="0" w:line="254" w:lineRule="auto"/>
            </w:pPr>
            <w:r/>
            <w:r>
              <w:rPr>
                <w:rFonts w:ascii="Aptos" w:hAnsi="Aptos"/>
                <w:b w:val="0"/>
                <w:color w:val="566275"/>
                <w:sz w:val="16"/>
              </w:rPr>
              <w:t>“Lot/shift __; production quantity at checkpoint __; sample size n __; approved plan ID/rev __; Ac/Re when applicable __; sample IDs __.”</w:t>
            </w:r>
          </w:p>
        </w:tc>
        <w:tc>
          <w:tcPr>
            <w:tcW w:type="dxa" w:w="3240"/>
            <w:vAlign w:val="top"/>
            <w:tcMar>
              <w:top w:w="90" w:type="dxa"/>
              <w:start w:w="95" w:type="dxa"/>
              <w:bottom w:w="90" w:type="dxa"/>
              <w:end w:w="95" w:type="dxa"/>
            </w:tcMar>
            <w:shd w:fill="F2F6F8"/>
          </w:tcPr>
          <w:p>
            <w:pPr>
              <w:spacing w:after="0" w:line="254" w:lineRule="auto"/>
            </w:pPr>
            <w:r/>
            <w:r>
              <w:rPr>
                <w:rFonts w:ascii="Aptos" w:hAnsi="Aptos"/>
                <w:b w:val="0"/>
                <w:color w:val="566275"/>
                <w:sz w:val="16"/>
              </w:rPr>
              <w:t>Approved in-process sampling plan and examples of completed field values; acceptance-decision records. Route: routine in-process. Status: Open — sampling inputs.</w:t>
            </w:r>
          </w:p>
        </w:tc>
      </w:tr>
      <w:tr>
        <w:trPr>
          <w:cantSplit/>
        </w:trPr>
        <w:tc>
          <w:tcPr>
            <w:tcW w:type="dxa" w:w="2232"/>
            <w:vAlign w:val="top"/>
            <w:tcMar>
              <w:top w:w="90" w:type="dxa"/>
              <w:start w:w="95" w:type="dxa"/>
              <w:bottom w:w="90" w:type="dxa"/>
              <w:end w:w="95" w:type="dxa"/>
            </w:tcMar>
          </w:tcPr>
          <w:p>
            <w:pPr>
              <w:spacing w:after="0" w:line="254" w:lineRule="auto"/>
            </w:pPr>
            <w:r/>
            <w:r>
              <w:rPr>
                <w:rFonts w:ascii="Aptos" w:hAnsi="Aptos"/>
                <w:b/>
                <w:color w:val="12223C"/>
                <w:sz w:val="16"/>
              </w:rPr>
              <w:t>GAP-009 | P1</w:t>
              <w:br/>
              <w:t>Handling of an unacceptable in-process finding</w:t>
              <w:br/>
              <w:br/>
              <w:t>Neither the cited in-process section of the WI nor F-823-i178 sets out who isolates potentially affected product, how the last-acceptable-check boundary is established or how disposition/approval is documented.</w:t>
            </w:r>
          </w:p>
        </w:tc>
        <w:tc>
          <w:tcPr>
            <w:tcW w:type="dxa" w:w="2880"/>
            <w:vAlign w:val="top"/>
            <w:tcMar>
              <w:top w:w="90" w:type="dxa"/>
              <w:start w:w="95" w:type="dxa"/>
              <w:bottom w:w="90" w:type="dxa"/>
              <w:end w:w="95" w:type="dxa"/>
            </w:tcMar>
          </w:tcPr>
          <w:p>
            <w:pPr>
              <w:spacing w:after="0" w:line="254" w:lineRule="auto"/>
            </w:pPr>
            <w:r/>
            <w:r>
              <w:rPr>
                <w:rFonts w:ascii="Aptos" w:hAnsi="Aptos"/>
                <w:b w:val="0"/>
                <w:color w:val="566275"/>
                <w:sz w:val="16"/>
              </w:rPr>
              <w:t>Specific ISO clause and page remain unavailable. This is a company-process control proposal requiring alignment with approved nonconforming product SOP and authority matrix.</w:t>
            </w:r>
          </w:p>
        </w:tc>
        <w:tc>
          <w:tcPr>
            <w:tcW w:type="dxa" w:w="2592"/>
            <w:vAlign w:val="top"/>
            <w:tcMar>
              <w:top w:w="90" w:type="dxa"/>
              <w:start w:w="95" w:type="dxa"/>
              <w:bottom w:w="90" w:type="dxa"/>
              <w:end w:w="95" w:type="dxa"/>
            </w:tcMar>
          </w:tcPr>
          <w:p>
            <w:pPr>
              <w:spacing w:after="0" w:line="254" w:lineRule="auto"/>
            </w:pPr>
            <w:r/>
            <w:r>
              <w:rPr>
                <w:rFonts w:ascii="Aptos" w:hAnsi="Aptos"/>
                <w:b w:val="0"/>
                <w:color w:val="566275"/>
                <w:sz w:val="16"/>
              </w:rPr>
              <w:t>WI p.2 §7: packed product checks and recording only; no in-process reject/hold sequence in that section.</w:t>
            </w:r>
          </w:p>
        </w:tc>
        <w:tc>
          <w:tcPr>
            <w:tcW w:type="dxa" w:w="4320"/>
            <w:vAlign w:val="top"/>
            <w:tcMar>
              <w:top w:w="90" w:type="dxa"/>
              <w:start w:w="95" w:type="dxa"/>
              <w:bottom w:w="90" w:type="dxa"/>
              <w:end w:w="95" w:type="dxa"/>
            </w:tcMar>
          </w:tcPr>
          <w:p>
            <w:pPr>
              <w:spacing w:after="0" w:line="254" w:lineRule="auto"/>
            </w:pPr>
            <w:r/>
            <w:r>
              <w:rPr>
                <w:rFonts w:ascii="Aptos" w:hAnsi="Aptos"/>
                <w:b w:val="0"/>
                <w:color w:val="566275"/>
                <w:sz w:val="16"/>
              </w:rPr>
              <w:t>Proposed §11: “When an in-process check fails, QC shall immediately identify the affected characteristic, inform Production and QC supervision, and ensure potentially affected output is placed on documented QC Hold under the company nonconforming-product procedure. Identify the scope using the last conforming checkpoint, time, material/production traceability and any intervening production, subject to an approved risk-based decision. Record defect, lot, quantity, location and NCR/Hold ID. Rework, additional checking, release or disposition shall occur only through the approved authority matrix. Resume normal production checks only after correction and documented verification.”</w:t>
            </w:r>
          </w:p>
        </w:tc>
        <w:tc>
          <w:tcPr>
            <w:tcW w:type="dxa" w:w="2520"/>
            <w:vAlign w:val="top"/>
            <w:tcMar>
              <w:top w:w="90" w:type="dxa"/>
              <w:start w:w="95" w:type="dxa"/>
              <w:bottom w:w="90" w:type="dxa"/>
              <w:end w:w="95" w:type="dxa"/>
            </w:tcMar>
          </w:tcPr>
          <w:p>
            <w:pPr>
              <w:spacing w:after="0" w:line="254" w:lineRule="auto"/>
            </w:pPr>
            <w:r/>
            <w:r>
              <w:rPr>
                <w:rFonts w:ascii="Aptos" w:hAnsi="Aptos"/>
                <w:b w:val="0"/>
                <w:color w:val="566275"/>
                <w:sz w:val="16"/>
              </w:rPr>
              <w:t>F-823-i178 p.1 supports “X = Not Acceptable” and “R = Read Remarks” but has no Hold ID, affected quantity, disposition reference or follow-up field.</w:t>
            </w:r>
          </w:p>
        </w:tc>
        <w:tc>
          <w:tcPr>
            <w:tcW w:type="dxa" w:w="4176"/>
            <w:vAlign w:val="top"/>
            <w:tcMar>
              <w:top w:w="90" w:type="dxa"/>
              <w:start w:w="95" w:type="dxa"/>
              <w:bottom w:w="90" w:type="dxa"/>
              <w:end w:w="95" w:type="dxa"/>
            </w:tcMar>
          </w:tcPr>
          <w:p>
            <w:pPr>
              <w:spacing w:after="0" w:line="254" w:lineRule="auto"/>
            </w:pPr>
            <w:r/>
            <w:r>
              <w:rPr>
                <w:rFonts w:ascii="Aptos" w:hAnsi="Aptos"/>
                <w:b w:val="0"/>
                <w:color w:val="566275"/>
                <w:sz w:val="16"/>
              </w:rPr>
              <w:t>“Failure time __; defect __; suspected affected quantity/time range __; QC Hold tag/NCR ID __; responsible function __; approved disposition ID __; corrective check outcome __; reviewed by __.”</w:t>
            </w:r>
          </w:p>
        </w:tc>
        <w:tc>
          <w:tcPr>
            <w:tcW w:type="dxa" w:w="3240"/>
            <w:vAlign w:val="top"/>
            <w:tcMar>
              <w:top w:w="90" w:type="dxa"/>
              <w:start w:w="95" w:type="dxa"/>
              <w:bottom w:w="90" w:type="dxa"/>
              <w:end w:w="95" w:type="dxa"/>
            </w:tcMar>
          </w:tcPr>
          <w:p>
            <w:pPr>
              <w:spacing w:after="0" w:line="254" w:lineRule="auto"/>
            </w:pPr>
            <w:r/>
            <w:r>
              <w:rPr>
                <w:rFonts w:ascii="Aptos" w:hAnsi="Aptos"/>
                <w:b w:val="0"/>
                <w:color w:val="566275"/>
                <w:sz w:val="16"/>
              </w:rPr>
              <w:t>Approved hold/NCR workflow; actual NCR, tag and disposition evidence; restarted checkpoint results for sampled cases. Route: in-process nonconformity. Status: Open — procedure/evidence.</w:t>
            </w:r>
          </w:p>
        </w:tc>
      </w:tr>
      <w:tr>
        <w:trPr>
          <w:cantSplit/>
        </w:trPr>
        <w:tc>
          <w:tcPr>
            <w:tcW w:type="dxa" w:w="2232"/>
            <w:vAlign w:val="top"/>
            <w:tcMar>
              <w:top w:w="90" w:type="dxa"/>
              <w:start w:w="95" w:type="dxa"/>
              <w:bottom w:w="90" w:type="dxa"/>
              <w:end w:w="95" w:type="dxa"/>
            </w:tcMar>
            <w:shd w:fill="F2F6F8"/>
          </w:tcPr>
          <w:p>
            <w:pPr>
              <w:spacing w:after="0" w:line="254" w:lineRule="auto"/>
            </w:pPr>
            <w:r/>
            <w:r>
              <w:rPr>
                <w:rFonts w:ascii="Aptos" w:hAnsi="Aptos"/>
                <w:b/>
                <w:color w:val="12223C"/>
                <w:sz w:val="16"/>
              </w:rPr>
              <w:t>GAP-010 | P2</w:t>
              <w:br/>
              <w:t>Packaging/seal/label control route not evidenced</w:t>
              <w:br/>
              <w:br/>
              <w:t>The WI requires pouch seal strength and labeling checks. The in-process form omits these fields, while WI references another in-process packaging form F-823-i4. That separate form was not supplied, so its actual controls cannot be confirmed.</w:t>
            </w:r>
          </w:p>
        </w:tc>
        <w:tc>
          <w:tcPr>
            <w:tcW w:type="dxa" w:w="2880"/>
            <w:vAlign w:val="top"/>
            <w:tcMar>
              <w:top w:w="90" w:type="dxa"/>
              <w:start w:w="95" w:type="dxa"/>
              <w:bottom w:w="90" w:type="dxa"/>
              <w:end w:w="95" w:type="dxa"/>
            </w:tcMar>
            <w:shd w:fill="F2F6F8"/>
          </w:tcPr>
          <w:p>
            <w:pPr>
              <w:spacing w:after="0" w:line="254" w:lineRule="auto"/>
            </w:pPr>
            <w:r/>
            <w:r>
              <w:rPr>
                <w:rFonts w:ascii="Aptos" w:hAnsi="Aptos"/>
                <w:b w:val="0"/>
                <w:color w:val="566275"/>
                <w:sz w:val="16"/>
              </w:rPr>
              <w:t>ISO 11607-1:2019 and ISO 11607-2:2019 are publicly verified as packaging and process-validation standards for terminally sterilized medical devices; applicability and clause/page-level controls remain OPEN. No seal-value is inferred.</w:t>
            </w:r>
          </w:p>
        </w:tc>
        <w:tc>
          <w:tcPr>
            <w:tcW w:type="dxa" w:w="2592"/>
            <w:vAlign w:val="top"/>
            <w:tcMar>
              <w:top w:w="90" w:type="dxa"/>
              <w:start w:w="95" w:type="dxa"/>
              <w:bottom w:w="90" w:type="dxa"/>
              <w:end w:w="95" w:type="dxa"/>
            </w:tcMar>
            <w:shd w:fill="F2F6F8"/>
          </w:tcPr>
          <w:p>
            <w:pPr>
              <w:spacing w:after="0" w:line="254" w:lineRule="auto"/>
            </w:pPr>
            <w:r/>
            <w:r>
              <w:rPr>
                <w:rFonts w:ascii="Aptos" w:hAnsi="Aptos"/>
                <w:b w:val="0"/>
                <w:color w:val="566275"/>
                <w:sz w:val="16"/>
              </w:rPr>
              <w:t>WI p.2 §§7 and 9: correct pouch sealing/labels, two-hour in-process checks; cited F-823-i4 for “Packaging machine &amp; final checking”.</w:t>
            </w:r>
          </w:p>
        </w:tc>
        <w:tc>
          <w:tcPr>
            <w:tcW w:type="dxa" w:w="4320"/>
            <w:vAlign w:val="top"/>
            <w:tcMar>
              <w:top w:w="90" w:type="dxa"/>
              <w:start w:w="95" w:type="dxa"/>
              <w:bottom w:w="90" w:type="dxa"/>
              <w:end w:w="95" w:type="dxa"/>
            </w:tcMar>
            <w:shd w:fill="F2F6F8"/>
          </w:tcPr>
          <w:p>
            <w:pPr>
              <w:spacing w:after="0" w:line="254" w:lineRule="auto"/>
            </w:pPr>
            <w:r/>
            <w:r>
              <w:rPr>
                <w:rFonts w:ascii="Aptos" w:hAnsi="Aptos"/>
                <w:b w:val="0"/>
                <w:color w:val="566275"/>
                <w:sz w:val="16"/>
              </w:rPr>
              <w:t>Proposed §9.7: “Verify label, pouch and packaging-process checks under the applicable approved packaging WI and F-823-i4. Do not duplicate validated packaging controls in F-823-i178 unless explicitly required by the approved control plan. At each relevant in-process checkpoint, record the packaging-control reference, time/lot and the evidence location. If F-823-i4 does not cover the required checks after verification, raise a separate packaging-control revision.”</w:t>
            </w:r>
          </w:p>
        </w:tc>
        <w:tc>
          <w:tcPr>
            <w:tcW w:type="dxa" w:w="2520"/>
            <w:vAlign w:val="top"/>
            <w:tcMar>
              <w:top w:w="90" w:type="dxa"/>
              <w:start w:w="95" w:type="dxa"/>
              <w:bottom w:w="90" w:type="dxa"/>
              <w:end w:w="95" w:type="dxa"/>
            </w:tcMar>
            <w:shd w:fill="F2F6F8"/>
          </w:tcPr>
          <w:p>
            <w:pPr>
              <w:spacing w:after="0" w:line="254" w:lineRule="auto"/>
            </w:pPr>
            <w:r/>
            <w:r>
              <w:rPr>
                <w:rFonts w:ascii="Aptos" w:hAnsi="Aptos"/>
                <w:b w:val="0"/>
                <w:color w:val="566275"/>
                <w:sz w:val="16"/>
              </w:rPr>
              <w:t>F-823-i178 rows 9–13 contain component appearance only; no pouch-label or pack-seal result. WI refers separately to F-823-i4 (not provided).</w:t>
            </w:r>
          </w:p>
        </w:tc>
        <w:tc>
          <w:tcPr>
            <w:tcW w:type="dxa" w:w="4176"/>
            <w:vAlign w:val="top"/>
            <w:tcMar>
              <w:top w:w="90" w:type="dxa"/>
              <w:start w:w="95" w:type="dxa"/>
              <w:bottom w:w="90" w:type="dxa"/>
              <w:end w:w="95" w:type="dxa"/>
            </w:tcMar>
            <w:shd w:fill="F2F6F8"/>
          </w:tcPr>
          <w:p>
            <w:pPr>
              <w:spacing w:after="0" w:line="254" w:lineRule="auto"/>
            </w:pPr>
            <w:r/>
            <w:r>
              <w:rPr>
                <w:rFonts w:ascii="Aptos" w:hAnsi="Aptos"/>
                <w:b w:val="0"/>
                <w:color w:val="566275"/>
                <w:sz w:val="16"/>
              </w:rPr>
              <w:t>“Linked packaging record F-823-i4 # __ / checkpoint __ / lot __ / status Pending–Verified–N/A with reason __.” This is an evidence link, not a new routine seal test.</w:t>
            </w:r>
          </w:p>
        </w:tc>
        <w:tc>
          <w:tcPr>
            <w:tcW w:type="dxa" w:w="3240"/>
            <w:vAlign w:val="top"/>
            <w:tcMar>
              <w:top w:w="90" w:type="dxa"/>
              <w:start w:w="95" w:type="dxa"/>
              <w:bottom w:w="90" w:type="dxa"/>
              <w:end w:w="95" w:type="dxa"/>
            </w:tcMar>
            <w:shd w:fill="F2F6F8"/>
          </w:tcPr>
          <w:p>
            <w:pPr>
              <w:spacing w:after="0" w:line="254" w:lineRule="auto"/>
            </w:pPr>
            <w:r/>
            <w:r>
              <w:rPr>
                <w:rFonts w:ascii="Aptos" w:hAnsi="Aptos"/>
                <w:b w:val="0"/>
                <w:color w:val="566275"/>
                <w:sz w:val="16"/>
              </w:rPr>
              <w:t>Controlled F-823-i4 and linked completed records, approved labeling/packaging limits, validation records if applicable. Route: separate packaging in-process / qualification. Status: Open — verification.</w:t>
            </w:r>
          </w:p>
        </w:tc>
      </w:tr>
      <w:tr>
        <w:trPr>
          <w:cantSplit/>
        </w:trPr>
        <w:tc>
          <w:tcPr>
            <w:tcW w:type="dxa" w:w="2232"/>
            <w:vAlign w:val="top"/>
            <w:tcMar>
              <w:top w:w="90" w:type="dxa"/>
              <w:start w:w="95" w:type="dxa"/>
              <w:bottom w:w="90" w:type="dxa"/>
              <w:end w:w="95" w:type="dxa"/>
            </w:tcMar>
          </w:tcPr>
          <w:p>
            <w:pPr>
              <w:spacing w:after="0" w:line="254" w:lineRule="auto"/>
            </w:pPr>
            <w:r/>
            <w:r>
              <w:rPr>
                <w:rFonts w:ascii="Aptos" w:hAnsi="Aptos"/>
                <w:b/>
                <w:color w:val="12223C"/>
                <w:sz w:val="16"/>
              </w:rPr>
              <w:t>GAP-011 | P2</w:t>
              <w:br/>
              <w:t>QC review / approval responsibilities and traceability</w:t>
              <w:br/>
              <w:br/>
              <w:t>WI §4 states that QC supervisors check/review results and QCM/QAM approve results, whereas the form has “Checked by Q.C.” and “Reviewed by Q.C.M.” only. The approval step and supervisor route are not aligned on the records available.</w:t>
            </w:r>
          </w:p>
        </w:tc>
        <w:tc>
          <w:tcPr>
            <w:tcW w:type="dxa" w:w="2880"/>
            <w:vAlign w:val="top"/>
            <w:tcMar>
              <w:top w:w="90" w:type="dxa"/>
              <w:start w:w="95" w:type="dxa"/>
              <w:bottom w:w="90" w:type="dxa"/>
              <w:end w:w="95" w:type="dxa"/>
            </w:tcMar>
          </w:tcPr>
          <w:p>
            <w:pPr>
              <w:spacing w:after="0" w:line="254" w:lineRule="auto"/>
            </w:pPr>
            <w:r/>
            <w:r>
              <w:rPr>
                <w:rFonts w:ascii="Aptos" w:hAnsi="Aptos"/>
                <w:b w:val="0"/>
                <w:color w:val="566275"/>
                <w:sz w:val="16"/>
              </w:rPr>
              <w:t>Exact ISO approval/clause requirements not reviewed. Current WI role assignments are explicit company requirements.</w:t>
            </w:r>
          </w:p>
        </w:tc>
        <w:tc>
          <w:tcPr>
            <w:tcW w:type="dxa" w:w="2592"/>
            <w:vAlign w:val="top"/>
            <w:tcMar>
              <w:top w:w="90" w:type="dxa"/>
              <w:start w:w="95" w:type="dxa"/>
              <w:bottom w:w="90" w:type="dxa"/>
              <w:end w:w="95" w:type="dxa"/>
            </w:tcMar>
          </w:tcPr>
          <w:p>
            <w:pPr>
              <w:spacing w:after="0" w:line="254" w:lineRule="auto"/>
            </w:pPr>
            <w:r/>
            <w:r>
              <w:rPr>
                <w:rFonts w:ascii="Aptos" w:hAnsi="Aptos"/>
                <w:b w:val="0"/>
                <w:color w:val="566275"/>
                <w:sz w:val="16"/>
              </w:rPr>
              <w:t>WI p.1 §§4.1–4.3: Quality Controllers sample/test; QC supervisors review results; QC Manager and QA Manager responsible for approval of results.</w:t>
            </w:r>
          </w:p>
        </w:tc>
        <w:tc>
          <w:tcPr>
            <w:tcW w:type="dxa" w:w="4320"/>
            <w:vAlign w:val="top"/>
            <w:tcMar>
              <w:top w:w="90" w:type="dxa"/>
              <w:start w:w="95" w:type="dxa"/>
              <w:bottom w:w="90" w:type="dxa"/>
              <w:end w:w="95" w:type="dxa"/>
            </w:tcMar>
          </w:tcPr>
          <w:p>
            <w:pPr>
              <w:spacing w:after="0" w:line="254" w:lineRule="auto"/>
            </w:pPr>
            <w:r/>
            <w:r>
              <w:rPr>
                <w:rFonts w:ascii="Aptos" w:hAnsi="Aptos"/>
                <w:b w:val="0"/>
                <w:color w:val="566275"/>
                <w:sz w:val="16"/>
              </w:rPr>
              <w:t>Proposed §12: “QC shall complete each recorded in-process checkpoint. QC Supervisor shall review recorded data and any exceptions. Final review/approval responsibilities shall follow the company-approved authorization matrix and the current WI responsibilities. Record name or controlled identifier, role and review date/time; do not pre-populate signatures. OPEN TECHNICAL INPUT REQUIRED: clarify whether QCM/QAM approval applies to routine F-823-i178 or separately to batch release.”</w:t>
            </w:r>
          </w:p>
        </w:tc>
        <w:tc>
          <w:tcPr>
            <w:tcW w:type="dxa" w:w="2520"/>
            <w:vAlign w:val="top"/>
            <w:tcMar>
              <w:top w:w="90" w:type="dxa"/>
              <w:start w:w="95" w:type="dxa"/>
              <w:bottom w:w="90" w:type="dxa"/>
              <w:end w:w="95" w:type="dxa"/>
            </w:tcMar>
          </w:tcPr>
          <w:p>
            <w:pPr>
              <w:spacing w:after="0" w:line="254" w:lineRule="auto"/>
            </w:pPr>
            <w:r/>
            <w:r>
              <w:rPr>
                <w:rFonts w:ascii="Aptos" w:hAnsi="Aptos"/>
                <w:b w:val="0"/>
                <w:color w:val="566275"/>
                <w:sz w:val="16"/>
              </w:rPr>
              <w:t>F-823-i178 p.1 row 25: “Checked by: Q.C.” and “Reviewed by: Q.C.M.”; no supervisor or distinct approval field.</w:t>
            </w:r>
          </w:p>
        </w:tc>
        <w:tc>
          <w:tcPr>
            <w:tcW w:type="dxa" w:w="4176"/>
            <w:vAlign w:val="top"/>
            <w:tcMar>
              <w:top w:w="90" w:type="dxa"/>
              <w:start w:w="95" w:type="dxa"/>
              <w:bottom w:w="90" w:type="dxa"/>
              <w:end w:w="95" w:type="dxa"/>
            </w:tcMar>
          </w:tcPr>
          <w:p>
            <w:pPr>
              <w:spacing w:after="0" w:line="254" w:lineRule="auto"/>
            </w:pPr>
            <w:r/>
            <w:r>
              <w:rPr>
                <w:rFonts w:ascii="Aptos" w:hAnsi="Aptos"/>
                <w:b w:val="0"/>
                <w:color w:val="566275"/>
                <w:sz w:val="16"/>
              </w:rPr>
              <w:t>“Performed/Checked by QC __ date/time __; QC Supervisor reviewed __ date/time __; required Manager/QA approval (as defined by authority matrix) __; record status Pending/Accepted/Hold __.”</w:t>
            </w:r>
          </w:p>
        </w:tc>
        <w:tc>
          <w:tcPr>
            <w:tcW w:type="dxa" w:w="3240"/>
            <w:vAlign w:val="top"/>
            <w:tcMar>
              <w:top w:w="90" w:type="dxa"/>
              <w:start w:w="95" w:type="dxa"/>
              <w:bottom w:w="90" w:type="dxa"/>
              <w:end w:w="95" w:type="dxa"/>
            </w:tcMar>
          </w:tcPr>
          <w:p>
            <w:pPr>
              <w:spacing w:after="0" w:line="254" w:lineRule="auto"/>
            </w:pPr>
            <w:r/>
            <w:r>
              <w:rPr>
                <w:rFonts w:ascii="Aptos" w:hAnsi="Aptos"/>
                <w:b w:val="0"/>
                <w:color w:val="566275"/>
                <w:sz w:val="16"/>
              </w:rPr>
              <w:t>Approved role/approval matrix; revised form and executed signed or electronic approval records consistent with policy. Route: routine review/approval. Status: Open — decision.</w:t>
            </w:r>
          </w:p>
        </w:tc>
      </w:tr>
      <w:tr>
        <w:trPr>
          <w:cantSplit/>
        </w:trPr>
        <w:tc>
          <w:tcPr>
            <w:tcW w:type="dxa" w:w="2232"/>
            <w:vAlign w:val="top"/>
            <w:tcMar>
              <w:top w:w="90" w:type="dxa"/>
              <w:start w:w="95" w:type="dxa"/>
              <w:bottom w:w="90" w:type="dxa"/>
              <w:end w:w="95" w:type="dxa"/>
            </w:tcMar>
            <w:shd w:fill="F2F6F8"/>
          </w:tcPr>
          <w:p>
            <w:pPr>
              <w:spacing w:after="0" w:line="254" w:lineRule="auto"/>
            </w:pPr>
            <w:r/>
            <w:r>
              <w:rPr>
                <w:rFonts w:ascii="Aptos" w:hAnsi="Aptos"/>
                <w:b/>
                <w:color w:val="12223C"/>
                <w:sz w:val="16"/>
              </w:rPr>
              <w:t>GAP-012 | P3</w:t>
              <w:br/>
              <w:t>Form revision identity and referenced controlled documents</w:t>
              <w:br/>
              <w:br/>
              <w:t>The workbook’s worksheet tab says “F-823-i178 (Rev 1)” while its printed document header states Rev.2. The WI references F-823-i178, F-823-i4, F-823-F75, F-823-T90 and TF-89-PS; available controlled-status evidence is incomplete.</w:t>
            </w:r>
          </w:p>
        </w:tc>
        <w:tc>
          <w:tcPr>
            <w:tcW w:type="dxa" w:w="2880"/>
            <w:vAlign w:val="top"/>
            <w:tcMar>
              <w:top w:w="90" w:type="dxa"/>
              <w:start w:w="95" w:type="dxa"/>
              <w:bottom w:w="90" w:type="dxa"/>
              <w:end w:w="95" w:type="dxa"/>
            </w:tcMar>
            <w:shd w:fill="F2F6F8"/>
          </w:tcPr>
          <w:p>
            <w:pPr>
              <w:spacing w:after="0" w:line="254" w:lineRule="auto"/>
            </w:pPr>
            <w:r/>
            <w:r>
              <w:rPr>
                <w:rFonts w:ascii="Aptos" w:hAnsi="Aptos"/>
                <w:b w:val="0"/>
                <w:color w:val="566275"/>
                <w:sz w:val="16"/>
              </w:rPr>
              <w:t>Document-control conformity to an exact ISO clause/page is not established because the controlled ISO source was not supplied.</w:t>
            </w:r>
          </w:p>
        </w:tc>
        <w:tc>
          <w:tcPr>
            <w:tcW w:type="dxa" w:w="2592"/>
            <w:vAlign w:val="top"/>
            <w:tcMar>
              <w:top w:w="90" w:type="dxa"/>
              <w:start w:w="95" w:type="dxa"/>
              <w:bottom w:w="90" w:type="dxa"/>
              <w:end w:w="95" w:type="dxa"/>
            </w:tcMar>
            <w:shd w:fill="F2F6F8"/>
          </w:tcPr>
          <w:p>
            <w:pPr>
              <w:spacing w:after="0" w:line="254" w:lineRule="auto"/>
            </w:pPr>
            <w:r/>
            <w:r>
              <w:rPr>
                <w:rFonts w:ascii="Aptos" w:hAnsi="Aptos"/>
                <w:b w:val="0"/>
                <w:color w:val="566275"/>
                <w:sz w:val="16"/>
              </w:rPr>
              <w:t>WI p.2 §9: F-823-T90, F-823-i178, F-823-i4, F-823-F75. WI p.2 §6: TF-89-PS. Document Rev.1 dated 19.10.2025.</w:t>
            </w:r>
          </w:p>
        </w:tc>
        <w:tc>
          <w:tcPr>
            <w:tcW w:type="dxa" w:w="4320"/>
            <w:vAlign w:val="top"/>
            <w:tcMar>
              <w:top w:w="90" w:type="dxa"/>
              <w:start w:w="95" w:type="dxa"/>
              <w:bottom w:w="90" w:type="dxa"/>
              <w:end w:w="95" w:type="dxa"/>
            </w:tcMar>
            <w:shd w:fill="F2F6F8"/>
          </w:tcPr>
          <w:p>
            <w:pPr>
              <w:spacing w:after="0" w:line="254" w:lineRule="auto"/>
            </w:pPr>
            <w:r/>
            <w:r>
              <w:rPr>
                <w:rFonts w:ascii="Aptos" w:hAnsi="Aptos"/>
                <w:b w:val="0"/>
                <w:color w:val="566275"/>
                <w:sz w:val="16"/>
              </w:rPr>
              <w:t>Proposed §§5 and 14: “Use only effective controlled revisions listed in the document register. Confirm the current approved revision of WI-8-2-2-89-1, F-823-i178, TF-89-PS, TF-89-PDBM, F-823-i4, F-823-T90 and F-823-F75 before release. Align the workbook sheet tab, visible header and document index during the controlled update. The draft generated from this review has no effect until approved.”</w:t>
            </w:r>
          </w:p>
        </w:tc>
        <w:tc>
          <w:tcPr>
            <w:tcW w:type="dxa" w:w="2520"/>
            <w:vAlign w:val="top"/>
            <w:tcMar>
              <w:top w:w="90" w:type="dxa"/>
              <w:start w:w="95" w:type="dxa"/>
              <w:bottom w:w="90" w:type="dxa"/>
              <w:end w:w="95" w:type="dxa"/>
            </w:tcMar>
            <w:shd w:fill="F2F6F8"/>
          </w:tcPr>
          <w:p>
            <w:pPr>
              <w:spacing w:after="0" w:line="254" w:lineRule="auto"/>
            </w:pPr>
            <w:r/>
            <w:r>
              <w:rPr>
                <w:rFonts w:ascii="Aptos" w:hAnsi="Aptos"/>
                <w:b w:val="0"/>
                <w:color w:val="566275"/>
                <w:sz w:val="16"/>
              </w:rPr>
              <w:t>F-823-i178 workbook metadata: header Q1–Q4 = F-823-i178, Rev.2, 19.10.2025, p.1/1; worksheet name indicates Rev.1.</w:t>
            </w:r>
          </w:p>
        </w:tc>
        <w:tc>
          <w:tcPr>
            <w:tcW w:type="dxa" w:w="4176"/>
            <w:vAlign w:val="top"/>
            <w:tcMar>
              <w:top w:w="90" w:type="dxa"/>
              <w:start w:w="95" w:type="dxa"/>
              <w:bottom w:w="90" w:type="dxa"/>
              <w:end w:w="95" w:type="dxa"/>
            </w:tcMar>
            <w:shd w:fill="F2F6F8"/>
          </w:tcPr>
          <w:p>
            <w:pPr>
              <w:spacing w:after="0" w:line="254" w:lineRule="auto"/>
            </w:pPr>
            <w:r/>
            <w:r>
              <w:rPr>
                <w:rFonts w:ascii="Aptos" w:hAnsi="Aptos"/>
                <w:b w:val="0"/>
                <w:color w:val="566275"/>
                <w:sz w:val="16"/>
              </w:rPr>
              <w:t>“Document ID __; effective revision __; approved control-plan refs __; form sheet/title consistency confirmed by Document Control __.”</w:t>
            </w:r>
          </w:p>
        </w:tc>
        <w:tc>
          <w:tcPr>
            <w:tcW w:type="dxa" w:w="3240"/>
            <w:vAlign w:val="top"/>
            <w:tcMar>
              <w:top w:w="90" w:type="dxa"/>
              <w:start w:w="95" w:type="dxa"/>
              <w:bottom w:w="90" w:type="dxa"/>
              <w:end w:w="95" w:type="dxa"/>
            </w:tcMar>
            <w:shd w:fill="F2F6F8"/>
          </w:tcPr>
          <w:p>
            <w:pPr>
              <w:spacing w:after="0" w:line="254" w:lineRule="auto"/>
            </w:pPr>
            <w:r/>
            <w:r>
              <w:rPr>
                <w:rFonts w:ascii="Aptos" w:hAnsi="Aptos"/>
                <w:b w:val="0"/>
                <w:color w:val="566275"/>
                <w:sz w:val="16"/>
              </w:rPr>
              <w:t>Master list, revision approval history, effective controlled documents and aligned sheet/tab. Route: document control. Status: Open — verification/approval.</w:t>
            </w:r>
          </w:p>
        </w:tc>
      </w:tr>
      <w:tr>
        <w:trPr>
          <w:cantSplit/>
        </w:trPr>
        <w:tc>
          <w:tcPr>
            <w:tcW w:type="dxa" w:w="2232"/>
            <w:vAlign w:val="top"/>
            <w:tcMar>
              <w:top w:w="90" w:type="dxa"/>
              <w:start w:w="95" w:type="dxa"/>
              <w:bottom w:w="90" w:type="dxa"/>
              <w:end w:w="95" w:type="dxa"/>
            </w:tcMar>
          </w:tcPr>
          <w:p>
            <w:pPr>
              <w:spacing w:after="0" w:line="254" w:lineRule="auto"/>
            </w:pPr>
            <w:r/>
            <w:r>
              <w:rPr>
                <w:rFonts w:ascii="Aptos" w:hAnsi="Aptos"/>
                <w:b/>
                <w:color w:val="12223C"/>
                <w:sz w:val="16"/>
              </w:rPr>
              <w:t>GAP-013 | P2</w:t>
              <w:br/>
              <w:t>ISO applicability and full requirement verification remain open</w:t>
              <w:br/>
              <w:br/>
              <w:t>No official applicable product ISO, ISO page set, risk file, controlled TF-89-PS or complete linked QC forms were uploaded. Full normative clause extraction and total ISO compliance cannot be concluded from a WI and in-process sheet alone.</w:t>
            </w:r>
          </w:p>
        </w:tc>
        <w:tc>
          <w:tcPr>
            <w:tcW w:type="dxa" w:w="2880"/>
            <w:vAlign w:val="top"/>
            <w:tcMar>
              <w:top w:w="90" w:type="dxa"/>
              <w:start w:w="95" w:type="dxa"/>
              <w:bottom w:w="90" w:type="dxa"/>
              <w:end w:w="95" w:type="dxa"/>
            </w:tcMar>
          </w:tcPr>
          <w:p>
            <w:pPr>
              <w:spacing w:after="0" w:line="254" w:lineRule="auto"/>
            </w:pPr>
            <w:r/>
            <w:r>
              <w:rPr>
                <w:rFonts w:ascii="Aptos" w:hAnsi="Aptos"/>
                <w:b w:val="0"/>
                <w:color w:val="566275"/>
                <w:sz w:val="16"/>
              </w:rPr>
              <w:t>ISO 13485:2016 (medical-device QMS), ISO 11607-1/-2:2019 with Amd1:2023 (terminally sterile packaging) and ISO 20417:2026 (manufacturer-supplied information) have official public scope pages, but their applicability to this specific product and exact clause/page obligations have NOT been established.</w:t>
            </w:r>
          </w:p>
        </w:tc>
        <w:tc>
          <w:tcPr>
            <w:tcW w:type="dxa" w:w="2592"/>
            <w:vAlign w:val="top"/>
            <w:tcMar>
              <w:top w:w="90" w:type="dxa"/>
              <w:start w:w="95" w:type="dxa"/>
              <w:bottom w:w="90" w:type="dxa"/>
              <w:end w:w="95" w:type="dxa"/>
            </w:tcMar>
          </w:tcPr>
          <w:p>
            <w:pPr>
              <w:spacing w:after="0" w:line="254" w:lineRule="auto"/>
            </w:pPr>
            <w:r/>
            <w:r>
              <w:rPr>
                <w:rFonts w:ascii="Aptos" w:hAnsi="Aptos"/>
                <w:b w:val="0"/>
                <w:color w:val="566275"/>
                <w:sz w:val="16"/>
              </w:rPr>
              <w:t>WI pp.1–3 provides no nominated primary product ISO edition; WI p.2 §6 references TF-89-PS. The supplied source package contains only WI Rev.1 and F-823-i178 Rev.2.</w:t>
            </w:r>
          </w:p>
        </w:tc>
        <w:tc>
          <w:tcPr>
            <w:tcW w:type="dxa" w:w="4320"/>
            <w:vAlign w:val="top"/>
            <w:tcMar>
              <w:top w:w="90" w:type="dxa"/>
              <w:start w:w="95" w:type="dxa"/>
              <w:bottom w:w="90" w:type="dxa"/>
              <w:end w:w="95" w:type="dxa"/>
            </w:tcMar>
          </w:tcPr>
          <w:p>
            <w:pPr>
              <w:spacing w:after="0" w:line="254" w:lineRule="auto"/>
            </w:pPr>
            <w:r/>
            <w:r>
              <w:rPr>
                <w:rFonts w:ascii="Aptos" w:hAnsi="Aptos"/>
                <w:b w:val="0"/>
                <w:color w:val="566275"/>
                <w:sz w:val="16"/>
              </w:rPr>
              <w:t>Proposed §6.1 and Annex B: “QA/Regulatory shall confirm the specific standards/editions applicable to this product, configuration, intended sterile state and manufacturing operations. Trace each applicable normative clause with PDF and printed page to the relevant approved controlled process, verification record or justified N/A decision. Any new verified requirement shall be evaluated and incorporated through change control. Do not mark ISO conformity closed on the strength of this draft alone.”</w:t>
            </w:r>
          </w:p>
        </w:tc>
        <w:tc>
          <w:tcPr>
            <w:tcW w:type="dxa" w:w="2520"/>
            <w:vAlign w:val="top"/>
            <w:tcMar>
              <w:top w:w="90" w:type="dxa"/>
              <w:start w:w="95" w:type="dxa"/>
              <w:bottom w:w="90" w:type="dxa"/>
              <w:end w:w="95" w:type="dxa"/>
            </w:tcMar>
          </w:tcPr>
          <w:p>
            <w:pPr>
              <w:spacing w:after="0" w:line="254" w:lineRule="auto"/>
            </w:pPr>
            <w:r/>
            <w:r>
              <w:rPr>
                <w:rFonts w:ascii="Aptos" w:hAnsi="Aptos"/>
                <w:b w:val="0"/>
                <w:color w:val="566275"/>
                <w:sz w:val="16"/>
              </w:rPr>
              <w:t>F-823-i178 references WI-8-2-2-89-1, TF-89-PS and TF-89-PDBM in header; no normative ISO table or related approval evidence.</w:t>
            </w:r>
          </w:p>
        </w:tc>
        <w:tc>
          <w:tcPr>
            <w:tcW w:type="dxa" w:w="4176"/>
            <w:vAlign w:val="top"/>
            <w:tcMar>
              <w:top w:w="90" w:type="dxa"/>
              <w:start w:w="95" w:type="dxa"/>
              <w:bottom w:w="90" w:type="dxa"/>
              <w:end w:w="95" w:type="dxa"/>
            </w:tcMar>
          </w:tcPr>
          <w:p>
            <w:pPr>
              <w:spacing w:after="0" w:line="254" w:lineRule="auto"/>
            </w:pPr>
            <w:r/>
            <w:r>
              <w:rPr>
                <w:rFonts w:ascii="Aptos" w:hAnsi="Aptos"/>
                <w:b w:val="0"/>
                <w:color w:val="566275"/>
                <w:sz w:val="16"/>
              </w:rPr>
              <w:t>“ISO mapping ID __ | standard/edition __ | clause/pages __ | process record __ | evidence ID __ | verified by __ | status Open.” This is a document-control/evidence cross-reference, not a new ISO lot test.</w:t>
            </w:r>
          </w:p>
        </w:tc>
        <w:tc>
          <w:tcPr>
            <w:tcW w:type="dxa" w:w="3240"/>
            <w:vAlign w:val="top"/>
            <w:tcMar>
              <w:top w:w="90" w:type="dxa"/>
              <w:start w:w="95" w:type="dxa"/>
              <w:bottom w:w="90" w:type="dxa"/>
              <w:end w:w="95" w:type="dxa"/>
            </w:tcMar>
          </w:tcPr>
          <w:p>
            <w:pPr>
              <w:spacing w:after="0" w:line="254" w:lineRule="auto"/>
            </w:pPr>
            <w:r/>
            <w:r>
              <w:rPr>
                <w:rFonts w:ascii="Aptos" w:hAnsi="Aptos"/>
                <w:b w:val="0"/>
                <w:color w:val="566275"/>
                <w:sz w:val="16"/>
              </w:rPr>
              <w:t>Official controlled applicable ISO copies and applicability/risk determination, TF-89-PS, TF-89-PDBM, F-823-i4, F-823-T90, F-823-F75 and sample executed QC records. Route: QA/Regulatory/Documentation. Status: Open — normative verification.</w:t>
            </w:r>
          </w:p>
        </w:tc>
      </w:tr>
    </w:tbl>
    <w:p>
      <w:pPr>
        <w:pStyle w:val="Heading1"/>
      </w:pPr>
      <w:r>
        <w:t>6  Required verification strategy</w:t>
      </w:r>
    </w:p>
    <w:p>
      <w:r>
        <w:t>In-process checks in this draft: component completeness and visual checks of cutter, forceps, gauze and drape; approved dimensional checks where the controlled plan requires them; documented actual results and actions for failures. This is NOT a new laboratory test schedule.</w:t>
      </w:r>
    </w:p>
    <w:p>
      <w:r>
        <w:t>Separate controlled routes, not duplicated in F-823-i178: incoming component acceptance (existing WI §5.1), packaging machine/seal and final checking via F-823-i4 (verification pending), sterilization/final product release (WI §8 / F-823-F75), and supplier/qualification evidence according to approved plans.</w:t>
      </w:r>
    </w:p>
    <w:p>
      <w:pPr>
        <w:pStyle w:val="Heading1"/>
      </w:pPr>
      <w:r>
        <w:t>7  Linked revised WI and form</w:t>
      </w:r>
    </w:p>
    <w:p>
      <w:r>
        <w:t>Standalone draft: Suture_Removal_Set_Revised_In_Process_WI.docx. Editable form: Suture_Removal_Set_Revised_In_Process_Control_Form.docx. Both share GAP-001 through GAP-013 references. An ISO Closure Register records documentary and operational statuses separately.</w:t>
      </w:r>
    </w:p>
    <w:p>
      <w:pPr>
        <w:pStyle w:val="Heading1"/>
      </w:pPr>
      <w:r>
        <w:t>8  QC Manager action plan</w:t>
      </w:r>
    </w:p>
    <w:tbl>
      <w:tblPr>
        <w:tblStyle w:val="TableGrid"/>
        <w:tblW w:type="auto" w:w="0"/>
        <w:jc w:val="center"/>
        <w:tblLayout w:type="fixed"/>
        <w:tblLook w:firstColumn="1" w:firstRow="1" w:lastColumn="0" w:lastRow="0" w:noHBand="0" w:noVBand="1" w:val="04A0"/>
      </w:tblPr>
      <w:tblGrid>
        <w:gridCol w:w="3658"/>
        <w:gridCol w:w="3658"/>
        <w:gridCol w:w="3658"/>
        <w:gridCol w:w="3658"/>
        <w:gridCol w:w="3658"/>
        <w:gridCol w:w="3658"/>
      </w:tblGrid>
      <w:tr>
        <w:trPr>
          <w:tblHeader w:val="true"/>
        </w:trPr>
        <w:tc>
          <w:tcPr>
            <w:tcW w:type="dxa" w:w="3658"/>
            <w:vAlign w:val="top"/>
            <w:tcMar>
              <w:top w:w="90" w:type="dxa"/>
              <w:start w:w="95" w:type="dxa"/>
              <w:bottom w:w="90" w:type="dxa"/>
              <w:end w:w="95" w:type="dxa"/>
            </w:tcMar>
            <w:shd w:fill="12223C"/>
          </w:tcPr>
          <w:p>
            <w:pPr>
              <w:spacing w:after="0" w:line="254" w:lineRule="auto"/>
            </w:pPr>
            <w:r/>
            <w:r>
              <w:rPr>
                <w:rFonts w:ascii="Aptos" w:hAnsi="Aptos"/>
                <w:b/>
                <w:color w:val="FFFFFF"/>
                <w:sz w:val="16"/>
              </w:rPr>
              <w:t>Gap ID</w:t>
            </w:r>
          </w:p>
        </w:tc>
        <w:tc>
          <w:tcPr>
            <w:tcW w:type="dxa" w:w="3658"/>
            <w:vAlign w:val="top"/>
            <w:tcMar>
              <w:top w:w="90" w:type="dxa"/>
              <w:start w:w="95" w:type="dxa"/>
              <w:bottom w:w="90" w:type="dxa"/>
              <w:end w:w="95" w:type="dxa"/>
            </w:tcMar>
            <w:shd w:fill="12223C"/>
          </w:tcPr>
          <w:p>
            <w:pPr>
              <w:spacing w:after="0" w:line="254" w:lineRule="auto"/>
            </w:pPr>
            <w:r/>
            <w:r>
              <w:rPr>
                <w:rFonts w:ascii="Aptos" w:hAnsi="Aptos"/>
                <w:b/>
                <w:color w:val="FFFFFF"/>
                <w:sz w:val="16"/>
              </w:rPr>
              <w:t>Priority</w:t>
            </w:r>
          </w:p>
        </w:tc>
        <w:tc>
          <w:tcPr>
            <w:tcW w:type="dxa" w:w="3658"/>
            <w:vAlign w:val="top"/>
            <w:tcMar>
              <w:top w:w="90" w:type="dxa"/>
              <w:start w:w="95" w:type="dxa"/>
              <w:bottom w:w="90" w:type="dxa"/>
              <w:end w:w="95" w:type="dxa"/>
            </w:tcMar>
            <w:shd w:fill="12223C"/>
          </w:tcPr>
          <w:p>
            <w:pPr>
              <w:spacing w:after="0" w:line="254" w:lineRule="auto"/>
            </w:pPr>
            <w:r/>
            <w:r>
              <w:rPr>
                <w:rFonts w:ascii="Aptos" w:hAnsi="Aptos"/>
                <w:b/>
                <w:color w:val="FFFFFF"/>
                <w:sz w:val="16"/>
              </w:rPr>
              <w:t>Required action</w:t>
            </w:r>
          </w:p>
        </w:tc>
        <w:tc>
          <w:tcPr>
            <w:tcW w:type="dxa" w:w="3658"/>
            <w:vAlign w:val="top"/>
            <w:tcMar>
              <w:top w:w="90" w:type="dxa"/>
              <w:start w:w="95" w:type="dxa"/>
              <w:bottom w:w="90" w:type="dxa"/>
              <w:end w:w="95" w:type="dxa"/>
            </w:tcMar>
            <w:shd w:fill="12223C"/>
          </w:tcPr>
          <w:p>
            <w:pPr>
              <w:spacing w:after="0" w:line="254" w:lineRule="auto"/>
            </w:pPr>
            <w:r/>
            <w:r>
              <w:rPr>
                <w:rFonts w:ascii="Aptos" w:hAnsi="Aptos"/>
                <w:b/>
                <w:color w:val="FFFFFF"/>
                <w:sz w:val="16"/>
              </w:rPr>
              <w:t>Responsible function</w:t>
            </w:r>
          </w:p>
        </w:tc>
        <w:tc>
          <w:tcPr>
            <w:tcW w:type="dxa" w:w="3658"/>
            <w:vAlign w:val="top"/>
            <w:tcMar>
              <w:top w:w="90" w:type="dxa"/>
              <w:start w:w="95" w:type="dxa"/>
              <w:bottom w:w="90" w:type="dxa"/>
              <w:end w:w="95" w:type="dxa"/>
            </w:tcMar>
            <w:shd w:fill="12223C"/>
          </w:tcPr>
          <w:p>
            <w:pPr>
              <w:spacing w:after="0" w:line="254" w:lineRule="auto"/>
            </w:pPr>
            <w:r/>
            <w:r>
              <w:rPr>
                <w:rFonts w:ascii="Aptos" w:hAnsi="Aptos"/>
                <w:b/>
                <w:color w:val="FFFFFF"/>
                <w:sz w:val="16"/>
              </w:rPr>
              <w:t>Required evidence</w:t>
            </w:r>
          </w:p>
        </w:tc>
        <w:tc>
          <w:tcPr>
            <w:tcW w:type="dxa" w:w="3658"/>
            <w:vAlign w:val="top"/>
            <w:tcMar>
              <w:top w:w="90" w:type="dxa"/>
              <w:start w:w="95" w:type="dxa"/>
              <w:bottom w:w="90" w:type="dxa"/>
              <w:end w:w="95" w:type="dxa"/>
            </w:tcMar>
            <w:shd w:fill="12223C"/>
          </w:tcPr>
          <w:p>
            <w:pPr>
              <w:spacing w:after="0" w:line="254" w:lineRule="auto"/>
            </w:pPr>
            <w:r/>
            <w:r>
              <w:rPr>
                <w:rFonts w:ascii="Aptos" w:hAnsi="Aptos"/>
                <w:b/>
                <w:color w:val="FFFFFF"/>
                <w:sz w:val="16"/>
              </w:rPr>
              <w:t>Current status</w:t>
            </w:r>
          </w:p>
        </w:tc>
      </w:tr>
      <w:tr>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GAP-001</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In-process frequency and checkpoint timing — review proposed wording</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QC / QA</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Approved sampling/frequency decision; blank revised form; completed actual-time logs for representative run; deviations if any</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Open — Approval / Evidence</w:t>
            </w:r>
          </w:p>
        </w:tc>
      </w:tr>
      <w:tr>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GAP-002</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P1</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Complete set content and quantity at point of packing — review proposed wording</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Production / QC</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Approved bill of materials/product configuration; representative completed count record linked to lot and sample; nonconformity records for failures</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Open — Technical Input / Evidence</w:t>
            </w:r>
          </w:p>
        </w:tc>
      </w:tr>
      <w:tr>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GAP-003</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Dimensional limits cannot be corroborated to controlled specification — review proposed wording</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Engineering / QC</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Controlled TF-89-PS and relevant drawing/variant; approved measured limits and equipment details; completed dimensional observations</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Open — Technical Input</w:t>
            </w:r>
          </w:p>
        </w:tc>
      </w:tr>
      <w:tr>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GAP-004</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P1</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Stitch cutter / blade identity and pouch requirements — review proposed wording</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Engineering / Supplier Quality / QC</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Approved component BOM/TF, supplier or component specification, expiry policy, sample records and pouch checks; nonconforming item record when applicable</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Open — Technical Input / Evidence</w:t>
            </w:r>
          </w:p>
        </w:tc>
      </w:tr>
      <w:tr>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GAP-005</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Forceps defect definition differs between WI and form — review proposed wording</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QC / QA</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Approved visual-defect acceptance guide, completed in-process observations, NCR for failures</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Open — Technical Input / Evidence</w:t>
            </w:r>
          </w:p>
        </w:tc>
      </w:tr>
      <w:tr>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GAP-006</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Drape and gauze visual/material criteria not fully synchronized — review proposed wording</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QC / QA</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Approved material specification TF-89-PDBM, product specification and variant list; completed visual checks and linked rejected records</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Open — Technical Input / Evidence</w:t>
            </w:r>
          </w:p>
        </w:tc>
      </w:tr>
      <w:tr>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GAP-007</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Actual measurements and unambiguous results — review proposed wording</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QC / QA</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Verified completed measurement records including traceable instrument IDs; approved acceptance values; QC review</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Open — Evidence</w:t>
            </w:r>
          </w:p>
        </w:tc>
      </w:tr>
      <w:tr>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GAP-008</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Sampling quantity and AQL application are not defined for in-process records — review proposed wording</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QC / QA / Production</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Approved in-process sampling plan and examples of completed field values; acceptance-decision records</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Open — Technical Input</w:t>
            </w:r>
          </w:p>
        </w:tc>
      </w:tr>
      <w:tr>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GAP-009</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P1</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Handling of an unacceptable in-process finding — review proposed wording</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QC / Production / QA</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Approved hold/NCR workflow; actual NCR, tag and disposition evidence; restarted checkpoint results for sampled cases</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Open — Approval / Evidence</w:t>
            </w:r>
          </w:p>
        </w:tc>
      </w:tr>
      <w:tr>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GAP-010</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Packaging/seal/label control route not evidenced — review proposed wording</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Packaging / QC / QA</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Controlled F-823-i4 and linked completed records, approved labeling/packaging limits, validation records if applicable</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Open — Evidence</w:t>
            </w:r>
          </w:p>
        </w:tc>
      </w:tr>
      <w:tr>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GAP-011</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QC review / approval responsibilities and traceability — review proposed wording</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QC Manager / QA / Document Control</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Approved role/approval matrix; revised form and executed signed or electronic approval records consistent with policy</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Open — Approval</w:t>
            </w:r>
          </w:p>
        </w:tc>
      </w:tr>
      <w:tr>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GAP-012</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P3</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Form revision identity and referenced controlled documents — review proposed wording</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Document Control / QA</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Master list, revision approval history, effective controlled documents and aligned sheet/tab</w:t>
            </w:r>
          </w:p>
        </w:tc>
        <w:tc>
          <w:tcPr>
            <w:tcW w:type="dxa" w:w="3658"/>
            <w:vAlign w:val="top"/>
            <w:tcMar>
              <w:top w:w="90" w:type="dxa"/>
              <w:start w:w="95" w:type="dxa"/>
              <w:bottom w:w="90" w:type="dxa"/>
              <w:end w:w="95" w:type="dxa"/>
            </w:tcMar>
            <w:shd w:fill="F2F6F8"/>
          </w:tcPr>
          <w:p>
            <w:pPr>
              <w:spacing w:after="0" w:line="254" w:lineRule="auto"/>
            </w:pPr>
            <w:r/>
            <w:r>
              <w:rPr>
                <w:rFonts w:ascii="Aptos" w:hAnsi="Aptos"/>
                <w:b w:val="0"/>
                <w:color w:val="566275"/>
                <w:sz w:val="16"/>
              </w:rPr>
              <w:t>Open — Approval</w:t>
            </w:r>
          </w:p>
        </w:tc>
      </w:tr>
      <w:tr>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GAP-013</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P2</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ISO applicability and full requirement verification remain open — review proposed wording</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QA / Regulatory / QC Manager</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Official controlled applicable ISO copies and applicability/risk determination, TF-89-PS, TF-89-PDBM, F-823-i4, F-823-T90, F-823-F75 and sample executed QC records</w:t>
            </w:r>
          </w:p>
        </w:tc>
        <w:tc>
          <w:tcPr>
            <w:tcW w:type="dxa" w:w="3658"/>
            <w:vAlign w:val="top"/>
            <w:tcMar>
              <w:top w:w="90" w:type="dxa"/>
              <w:start w:w="95" w:type="dxa"/>
              <w:bottom w:w="90" w:type="dxa"/>
              <w:end w:w="95" w:type="dxa"/>
            </w:tcMar>
          </w:tcPr>
          <w:p>
            <w:pPr>
              <w:spacing w:after="0" w:line="254" w:lineRule="auto"/>
            </w:pPr>
            <w:r/>
            <w:r>
              <w:rPr>
                <w:rFonts w:ascii="Aptos" w:hAnsi="Aptos"/>
                <w:b w:val="0"/>
                <w:color w:val="566275"/>
                <w:sz w:val="16"/>
              </w:rPr>
              <w:t>Open — Technical Input / Evidence</w:t>
            </w:r>
          </w:p>
        </w:tc>
      </w:tr>
    </w:tbl>
    <w:p>
      <w:pPr>
        <w:pStyle w:val="Heading1"/>
      </w:pPr>
      <w:r>
        <w:t>9  ISO closure review and conclusion</w:t>
      </w:r>
    </w:p>
    <w:p>
      <w:r>
        <w:t>Verified Closed: 0 / 13. Draft text drafted: 13 / 13. These counts are not ISO requirement coverage. Primary standard selection, actual ISO clause/page applicability, sample-size approvals, specification limits, controlled alternative forms and records of executed checks remain open. Do not declare ISO documentary 100% or operational conformity.</w:t>
      </w:r>
    </w:p>
    <w:p>
      <w:pPr>
        <w:pStyle w:val="Heading1"/>
      </w:pPr>
      <w:r>
        <w:t>10  Source traceability and revision limitations</w:t>
      </w:r>
    </w:p>
    <w:p>
      <w:r>
        <w:t>WI-8-2-2-89-1 Rev.1 (19 Oct 2025), pp.1–3; F-823-i178 Rev.2 (19 Oct 2025), rows 1–5 and header/legend.</w:t>
      </w:r>
    </w:p>
    <w:p>
      <w:r>
        <w:t>Source-specific WI pages: p.1 §§1–5.2.2; p.2 §§5.2.3–9; p.3 §10 change history. Form: header cells Q1–Q4 and D2, rows 5–13, row 25 and visual legend. No existing source file was altered. Proposed additions require internal review and controlled approval.</w:t>
      </w:r>
    </w:p>
    <w:sectPr w:rsidR="00FC693F" w:rsidRPr="0006063C" w:rsidSect="00034616">
      <w:headerReference w:type="default" r:id="rId9"/>
      <w:footerReference w:type="default" r:id="rId10"/>
      <w:pgSz w:w="23818" w:h="16834"/>
      <w:pgMar w:top="1008" w:right="936" w:bottom="936" w:left="936"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275"/>
        <w:sz w:val="15"/>
      </w:rPr>
      <w:t xml:space="preserve">CONTROLLED DRAFT  •  SUBJECT TO QA / QC APPROVAL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5778A"/>
        <w:sz w:val="15"/>
      </w:rPr>
      <w:t>SAUDI MAIS  /  QUALITY CONTROL COMPLIANCE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56627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223C"/>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222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22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