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SAUDI MAIS CO. FOR MEDICAL PRODUCTS</w:t>
      </w:r>
    </w:p>
    <w:p>
      <w:pPr>
        <w:pStyle w:val="Subtitle"/>
      </w:pPr>
      <w:r>
        <w:t>QUALITY CONTROL  /  DOCUMENTARY GAP ASSESSMENT</w:t>
      </w:r>
    </w:p>
    <w:p>
      <w:pPr>
        <w:pStyle w:val="Title"/>
      </w:pPr>
      <w:r>
        <w:t>Temperature Probe – ISO Closure Register</w:t>
      </w:r>
    </w:p>
    <w:p>
      <w:pPr/>
      <w:r>
        <w:t>In-Process documentation and evidence status (provisional, unapproved)</w:t>
      </w:r>
    </w:p>
    <w:p>
      <w:pPr/>
      <w:r>
        <w:t>REPORT ISSUED: 25 October 2026     |     STATUS: DRAFT FOR QC / QA TECHNICAL REVIEW</w:t>
      </w:r>
    </w:p>
    <w:p>
      <w:pPr/>
      <w:r>
        <w:t>Source documents: WI-8-2-2-M21-1, Rev.0, 18-Feb-2025 (3 pages); F-823-i128, header Rev.2, 14-Dec-2025 (Excel sheet tab states Rev.1), 1 page; TF-M21-PS, Rev.00, 18-Feb-2025 (4 pages).</w:t>
      </w:r>
    </w:p>
    <w:tbl>
      <w:tblPr>
        <w:tblStyle w:val="TableGrid"/>
        <w:tblW w:type="auto" w:w="0"/>
        <w:jc w:val="center"/>
        <w:tblLayout w:type="fixed"/>
        <w:tblLook w:firstColumn="1" w:firstRow="1" w:lastColumn="0" w:lastRow="0" w:noHBand="0" w:noVBand="1" w:val="04A0"/>
      </w:tblPr>
      <w:tblGrid>
        <w:gridCol w:w="3312"/>
        <w:gridCol w:w="6768"/>
      </w:tblGrid>
      <w:tr>
        <w:trPr>
          <w:tblHeader w:val="true"/>
          <w:cantSplit/>
        </w:trPr>
        <w:tc>
          <w:tcPr>
            <w:tcW w:type="dxa" w:w="3312"/>
            <w:shd w:fill="16243B"/>
            <w:tcMar>
              <w:top w:w="95" w:type="dxa"/>
              <w:start w:w="90" w:type="dxa"/>
              <w:bottom w:w="95" w:type="dxa"/>
              <w:end w:w="90" w:type="dxa"/>
            </w:tcMar>
            <w:vAlign w:val="center"/>
          </w:tcPr>
          <w:p>
            <w:r>
              <w:rPr>
                <w:b/>
                <w:color w:val="FFFFFF"/>
                <w:sz w:val="16"/>
              </w:rPr>
              <w:t>ASSESSMENT GATE</w:t>
            </w:r>
          </w:p>
        </w:tc>
        <w:tc>
          <w:tcPr>
            <w:tcW w:type="dxa" w:w="6768"/>
            <w:shd w:fill="16243B"/>
            <w:tcMar>
              <w:top w:w="95" w:type="dxa"/>
              <w:start w:w="90" w:type="dxa"/>
              <w:bottom w:w="95" w:type="dxa"/>
              <w:end w:w="90" w:type="dxa"/>
            </w:tcMar>
            <w:vAlign w:val="center"/>
          </w:tcPr>
          <w:p>
            <w:r>
              <w:rPr>
                <w:b/>
                <w:color w:val="FFFFFF"/>
                <w:sz w:val="16"/>
              </w:rPr>
              <w:t>CURRENT STATUS</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Primary ISO standard</w:t>
            </w:r>
          </w:p>
        </w:tc>
        <w:tc>
          <w:tcPr>
            <w:tcW w:type="dxa" w:w="6768"/>
            <w:vAlign w:val="top"/>
            <w:tcMar>
              <w:top w:w="95" w:type="dxa"/>
              <w:start w:w="90" w:type="dxa"/>
              <w:bottom w:w="95" w:type="dxa"/>
              <w:end w:w="90" w:type="dxa"/>
            </w:tcMar>
          </w:tcPr>
          <w:p>
            <w:pPr>
              <w:spacing w:after="40"/>
            </w:pPr>
            <w:r>
              <w:rPr>
                <w:rFonts w:ascii="Aptos" w:hAnsi="Aptos"/>
                <w:sz w:val="16"/>
              </w:rPr>
              <w:t>Not supplied; applicability/clauses not verified</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Target control route</w:t>
            </w:r>
          </w:p>
        </w:tc>
        <w:tc>
          <w:tcPr>
            <w:tcW w:type="dxa" w:w="6768"/>
            <w:vAlign w:val="top"/>
            <w:tcMar>
              <w:top w:w="95" w:type="dxa"/>
              <w:start w:w="90" w:type="dxa"/>
              <w:bottom w:w="95" w:type="dxa"/>
              <w:end w:w="90" w:type="dxa"/>
            </w:tcMar>
            <w:shd w:fill="F2F6F9"/>
          </w:tcPr>
          <w:p>
            <w:pPr>
              <w:spacing w:after="40"/>
            </w:pPr>
            <w:r>
              <w:rPr>
                <w:rFonts w:ascii="Aptos" w:hAnsi="Aptos"/>
                <w:sz w:val="16"/>
              </w:rPr>
              <w:t>In-process manufacturing checks (not a Final Inspection Report)</w:t>
            </w:r>
          </w:p>
        </w:tc>
      </w:tr>
      <w:tr>
        <w:trPr>
          <w:cantSplit/>
        </w:trPr>
        <w:tc>
          <w:tcPr>
            <w:tcW w:type="dxa" w:w="3312"/>
            <w:vAlign w:val="top"/>
            <w:tcMar>
              <w:top w:w="95" w:type="dxa"/>
              <w:start w:w="90" w:type="dxa"/>
              <w:bottom w:w="95" w:type="dxa"/>
              <w:end w:w="90" w:type="dxa"/>
            </w:tcMar>
          </w:tcPr>
          <w:p>
            <w:pPr>
              <w:spacing w:after="40"/>
            </w:pPr>
            <w:r>
              <w:rPr>
                <w:rFonts w:ascii="Aptos" w:hAnsi="Aptos"/>
                <w:sz w:val="16"/>
              </w:rPr>
              <w:t>Conformity conclusion</w:t>
            </w:r>
          </w:p>
        </w:tc>
        <w:tc>
          <w:tcPr>
            <w:tcW w:type="dxa" w:w="6768"/>
            <w:vAlign w:val="top"/>
            <w:tcMar>
              <w:top w:w="95" w:type="dxa"/>
              <w:start w:w="90" w:type="dxa"/>
              <w:bottom w:w="95" w:type="dxa"/>
              <w:end w:w="90" w:type="dxa"/>
            </w:tcMar>
          </w:tcPr>
          <w:p>
            <w:pPr>
              <w:spacing w:after="40"/>
            </w:pPr>
            <w:r>
              <w:rPr>
                <w:rFonts w:ascii="Aptos" w:hAnsi="Aptos"/>
                <w:sz w:val="16"/>
              </w:rPr>
              <w:t>No ISO conformance or operational release claim</w:t>
            </w:r>
          </w:p>
        </w:tc>
      </w:tr>
      <w:tr>
        <w:trPr>
          <w:cantSplit/>
        </w:trPr>
        <w:tc>
          <w:tcPr>
            <w:tcW w:type="dxa" w:w="3312"/>
            <w:vAlign w:val="top"/>
            <w:tcMar>
              <w:top w:w="95" w:type="dxa"/>
              <w:start w:w="90" w:type="dxa"/>
              <w:bottom w:w="95" w:type="dxa"/>
              <w:end w:w="90" w:type="dxa"/>
            </w:tcMar>
            <w:shd w:fill="F2F6F9"/>
          </w:tcPr>
          <w:p>
            <w:pPr>
              <w:spacing w:after="40"/>
            </w:pPr>
            <w:r>
              <w:rPr>
                <w:rFonts w:ascii="Aptos" w:hAnsi="Aptos"/>
                <w:sz w:val="16"/>
              </w:rPr>
              <w:t>Original source files</w:t>
            </w:r>
          </w:p>
        </w:tc>
        <w:tc>
          <w:tcPr>
            <w:tcW w:type="dxa" w:w="6768"/>
            <w:vAlign w:val="top"/>
            <w:tcMar>
              <w:top w:w="95" w:type="dxa"/>
              <w:start w:w="90" w:type="dxa"/>
              <w:bottom w:w="95" w:type="dxa"/>
              <w:end w:w="90" w:type="dxa"/>
            </w:tcMar>
            <w:shd w:fill="F2F6F9"/>
          </w:tcPr>
          <w:p>
            <w:pPr>
              <w:spacing w:after="40"/>
            </w:pPr>
            <w:r>
              <w:rPr>
                <w:rFonts w:ascii="Aptos" w:hAnsi="Aptos"/>
                <w:sz w:val="16"/>
              </w:rPr>
              <w:t>Read-only; no changes made</w:t>
            </w:r>
          </w:p>
        </w:tc>
      </w:tr>
    </w:tbl>
    <w:p>
      <w:pPr>
        <w:spacing w:after="0"/>
      </w:pPr>
    </w:p>
    <w:p>
      <w:pPr>
        <w:pStyle w:val="Heading1"/>
      </w:pPr>
      <w:r>
        <w:t>A. Gate 0 — Applicable ISO Requirement Catalogue</w:t>
      </w:r>
    </w:p>
    <w:p>
      <w:pPr/>
      <w:r>
        <w:t>Primary applicable ISO standard and edition: OPEN TECHNICAL INPUT REQUIRED. No full standard was supplied. Neither a clause-level comparison nor ISO closure can be verified.</w:t>
      </w:r>
    </w:p>
    <w:p>
      <w:pPr/>
      <w:r>
        <w:t>No verified applicable clause/page inventory can be populated. The table below is a traceable COMPANY-DOCUMENT remediation register; it is NOT a substitute for ISO clause extraction. Once the authorized standard is supplied, link each actual mandatory requirement to the relevant GAP IDs and verify applicability/test conditions.</w:t>
      </w:r>
    </w:p>
    <w:tbl>
      <w:tblPr>
        <w:tblStyle w:val="TableGrid"/>
        <w:tblW w:type="auto" w:w="0"/>
        <w:jc w:val="center"/>
        <w:tblLayout w:type="fixed"/>
        <w:tblLook w:firstColumn="1" w:firstRow="1" w:lastColumn="0" w:lastRow="0" w:noHBand="0" w:noVBand="1" w:val="04A0"/>
      </w:tblPr>
      <w:tblGrid>
        <w:gridCol w:w="2880"/>
        <w:gridCol w:w="2160"/>
        <w:gridCol w:w="2448"/>
        <w:gridCol w:w="2592"/>
      </w:tblGrid>
      <w:tr>
        <w:trPr>
          <w:tblHeader w:val="true"/>
          <w:cantSplit/>
        </w:trPr>
        <w:tc>
          <w:tcPr>
            <w:tcW w:type="dxa" w:w="2880"/>
            <w:shd w:fill="16243B"/>
            <w:tcMar>
              <w:top w:w="95" w:type="dxa"/>
              <w:start w:w="90" w:type="dxa"/>
              <w:bottom w:w="95" w:type="dxa"/>
              <w:end w:w="90" w:type="dxa"/>
            </w:tcMar>
            <w:vAlign w:val="center"/>
          </w:tcPr>
          <w:p>
            <w:r>
              <w:rPr>
                <w:b/>
                <w:color w:val="FFFFFF"/>
                <w:sz w:val="16"/>
              </w:rPr>
              <w:t>Requirement source</w:t>
            </w:r>
          </w:p>
        </w:tc>
        <w:tc>
          <w:tcPr>
            <w:tcW w:type="dxa" w:w="2160"/>
            <w:shd w:fill="16243B"/>
            <w:tcMar>
              <w:top w:w="95" w:type="dxa"/>
              <w:start w:w="90" w:type="dxa"/>
              <w:bottom w:w="95" w:type="dxa"/>
              <w:end w:w="90" w:type="dxa"/>
            </w:tcMar>
            <w:vAlign w:val="center"/>
          </w:tcPr>
          <w:p>
            <w:r>
              <w:rPr>
                <w:b/>
                <w:color w:val="FFFFFF"/>
                <w:sz w:val="16"/>
              </w:rPr>
              <w:t>Clause &amp; page</w:t>
            </w:r>
          </w:p>
        </w:tc>
        <w:tc>
          <w:tcPr>
            <w:tcW w:type="dxa" w:w="2448"/>
            <w:shd w:fill="16243B"/>
            <w:tcMar>
              <w:top w:w="95" w:type="dxa"/>
              <w:start w:w="90" w:type="dxa"/>
              <w:bottom w:w="95" w:type="dxa"/>
              <w:end w:w="90" w:type="dxa"/>
            </w:tcMar>
            <w:vAlign w:val="center"/>
          </w:tcPr>
          <w:p>
            <w:r>
              <w:rPr>
                <w:b/>
                <w:color w:val="FFFFFF"/>
                <w:sz w:val="16"/>
              </w:rPr>
              <w:t>Documentary coverage</w:t>
            </w:r>
          </w:p>
        </w:tc>
        <w:tc>
          <w:tcPr>
            <w:tcW w:type="dxa" w:w="2592"/>
            <w:shd w:fill="16243B"/>
            <w:tcMar>
              <w:top w:w="95" w:type="dxa"/>
              <w:start w:w="90" w:type="dxa"/>
              <w:bottom w:w="95" w:type="dxa"/>
              <w:end w:w="90" w:type="dxa"/>
            </w:tcMar>
            <w:vAlign w:val="center"/>
          </w:tcPr>
          <w:p>
            <w:r>
              <w:rPr>
                <w:b/>
                <w:color w:val="FFFFFF"/>
                <w:sz w:val="16"/>
              </w:rPr>
              <w:t>Operational closure</w:t>
            </w:r>
          </w:p>
        </w:tc>
      </w:tr>
      <w:tr>
        <w:trPr>
          <w:cantSplit/>
        </w:trPr>
        <w:tc>
          <w:tcPr>
            <w:tcW w:type="dxa" w:w="2880"/>
            <w:vAlign w:val="top"/>
            <w:tcMar>
              <w:top w:w="95" w:type="dxa"/>
              <w:start w:w="90" w:type="dxa"/>
              <w:bottom w:w="95" w:type="dxa"/>
              <w:end w:w="90" w:type="dxa"/>
            </w:tcMar>
          </w:tcPr>
          <w:p>
            <w:pPr>
              <w:spacing w:after="40"/>
            </w:pPr>
            <w:r>
              <w:rPr>
                <w:rFonts w:ascii="Aptos" w:hAnsi="Aptos"/>
                <w:sz w:val="16"/>
              </w:rPr>
              <w:t>Primary ISO standard</w:t>
            </w:r>
          </w:p>
        </w:tc>
        <w:tc>
          <w:tcPr>
            <w:tcW w:type="dxa" w:w="2160"/>
            <w:vAlign w:val="top"/>
            <w:tcMar>
              <w:top w:w="95" w:type="dxa"/>
              <w:start w:w="90" w:type="dxa"/>
              <w:bottom w:w="95" w:type="dxa"/>
              <w:end w:w="90" w:type="dxa"/>
            </w:tcMar>
          </w:tcPr>
          <w:p>
            <w:pPr>
              <w:spacing w:after="40"/>
            </w:pPr>
            <w:r>
              <w:rPr>
                <w:rFonts w:ascii="Aptos" w:hAnsi="Aptos"/>
                <w:sz w:val="16"/>
              </w:rPr>
              <w:t>OPEN; not supplied</w:t>
            </w:r>
          </w:p>
        </w:tc>
        <w:tc>
          <w:tcPr>
            <w:tcW w:type="dxa" w:w="2448"/>
            <w:vAlign w:val="top"/>
            <w:tcMar>
              <w:top w:w="95" w:type="dxa"/>
              <w:start w:w="90" w:type="dxa"/>
              <w:bottom w:w="95" w:type="dxa"/>
              <w:end w:w="90" w:type="dxa"/>
            </w:tcMar>
          </w:tcPr>
          <w:p>
            <w:pPr>
              <w:spacing w:after="40"/>
            </w:pPr>
            <w:r>
              <w:rPr>
                <w:rFonts w:ascii="Aptos" w:hAnsi="Aptos"/>
                <w:sz w:val="16"/>
              </w:rPr>
              <w:t>Not assessable</w:t>
            </w:r>
          </w:p>
        </w:tc>
        <w:tc>
          <w:tcPr>
            <w:tcW w:type="dxa" w:w="2592"/>
            <w:vAlign w:val="top"/>
            <w:tcMar>
              <w:top w:w="95" w:type="dxa"/>
              <w:start w:w="90" w:type="dxa"/>
              <w:bottom w:w="95" w:type="dxa"/>
              <w:end w:w="90" w:type="dxa"/>
            </w:tcMar>
          </w:tcPr>
          <w:p>
            <w:pPr>
              <w:spacing w:after="40"/>
            </w:pPr>
            <w:r>
              <w:rPr>
                <w:rFonts w:ascii="Aptos" w:hAnsi="Aptos"/>
                <w:sz w:val="16"/>
              </w:rPr>
              <w:t>Not assessable</w:t>
            </w:r>
          </w:p>
        </w:tc>
      </w:tr>
      <w:tr>
        <w:trPr>
          <w:cantSplit/>
        </w:trPr>
        <w:tc>
          <w:tcPr>
            <w:tcW w:type="dxa" w:w="2880"/>
            <w:vAlign w:val="top"/>
            <w:tcMar>
              <w:top w:w="95" w:type="dxa"/>
              <w:start w:w="90" w:type="dxa"/>
              <w:bottom w:w="95" w:type="dxa"/>
              <w:end w:w="90" w:type="dxa"/>
            </w:tcMar>
            <w:shd w:fill="F2F6F9"/>
          </w:tcPr>
          <w:p>
            <w:pPr>
              <w:spacing w:after="40"/>
            </w:pPr>
            <w:r>
              <w:rPr>
                <w:rFonts w:ascii="Aptos" w:hAnsi="Aptos"/>
                <w:sz w:val="16"/>
              </w:rPr>
              <w:t>Applicable company technical requirements</w:t>
            </w:r>
          </w:p>
        </w:tc>
        <w:tc>
          <w:tcPr>
            <w:tcW w:type="dxa" w:w="2160"/>
            <w:vAlign w:val="top"/>
            <w:tcMar>
              <w:top w:w="95" w:type="dxa"/>
              <w:start w:w="90" w:type="dxa"/>
              <w:bottom w:w="95" w:type="dxa"/>
              <w:end w:w="90" w:type="dxa"/>
            </w:tcMar>
            <w:shd w:fill="F2F6F9"/>
          </w:tcPr>
          <w:p>
            <w:pPr>
              <w:spacing w:after="40"/>
            </w:pPr>
            <w:r>
              <w:rPr>
                <w:rFonts w:ascii="Aptos" w:hAnsi="Aptos"/>
                <w:sz w:val="16"/>
              </w:rPr>
              <w:t>TF-M21-PS pp.1–4, §§4,6–9</w:t>
            </w:r>
          </w:p>
        </w:tc>
        <w:tc>
          <w:tcPr>
            <w:tcW w:type="dxa" w:w="2448"/>
            <w:vAlign w:val="top"/>
            <w:tcMar>
              <w:top w:w="95" w:type="dxa"/>
              <w:start w:w="90" w:type="dxa"/>
              <w:bottom w:w="95" w:type="dxa"/>
              <w:end w:w="90" w:type="dxa"/>
            </w:tcMar>
            <w:shd w:fill="F2F6F9"/>
          </w:tcPr>
          <w:p>
            <w:pPr>
              <w:spacing w:after="40"/>
            </w:pPr>
            <w:r>
              <w:rPr>
                <w:rFonts w:ascii="Aptos" w:hAnsi="Aptos"/>
                <w:sz w:val="16"/>
              </w:rPr>
              <w:t>Draft coverage proposed (15 items)</w:t>
            </w:r>
          </w:p>
        </w:tc>
        <w:tc>
          <w:tcPr>
            <w:tcW w:type="dxa" w:w="2592"/>
            <w:vAlign w:val="top"/>
            <w:tcMar>
              <w:top w:w="95" w:type="dxa"/>
              <w:start w:w="90" w:type="dxa"/>
              <w:bottom w:w="95" w:type="dxa"/>
              <w:end w:w="90" w:type="dxa"/>
            </w:tcMar>
            <w:shd w:fill="F2F6F9"/>
          </w:tcPr>
          <w:p>
            <w:pPr>
              <w:spacing w:after="40"/>
            </w:pPr>
            <w:r>
              <w:rPr>
                <w:rFonts w:ascii="Aptos" w:hAnsi="Aptos"/>
                <w:sz w:val="16"/>
              </w:rPr>
              <w:t>Not verified</w:t>
            </w:r>
          </w:p>
        </w:tc>
      </w:tr>
    </w:tbl>
    <w:p>
      <w:pPr>
        <w:spacing w:after="0"/>
      </w:pPr>
    </w:p>
    <w:p>
      <w:pPr>
        <w:pStyle w:val="Heading1"/>
      </w:pPr>
      <w:r>
        <w:t>B. Source-Based Corrective Evidence Register</w:t>
      </w:r>
    </w:p>
    <w:p>
      <w:pPr>
        <w:pStyle w:val="Heading2"/>
      </w:pPr>
      <w:r>
        <w:t>GAP-001 | P1 — Variant applicability and controlled specification selection</w:t>
      </w:r>
    </w:p>
    <w:p>
      <w:pPr/>
      <w:r>
        <w:t>Source requirement (NOT ISO Says): TF-M21-PS pp.1–2, §4 lists different codes/configurations; form header r.4 specifies Skin; WI p.1 §§1–2 is generic.</w:t>
      </w:r>
    </w:p>
    <w:p>
      <w:pPr/>
      <w:r>
        <w:t>Draft change: Proposed WI §2 / §6.1: Before in-process control, identify the exact product code, intended probe location, compatible equipment, drawing revision, cable-length variant and approved specification. Use F-823-i128 only for product codes formally mapped to the Skin Temperature Probe control plan. For any other variant, use its approved variant-specific record and acceptance criteria. Where mapping is unavailable, hold the affected applicability decision as OPEN TECHNICAL INPUT REQUIRED; do not extrapolate skin-probe limits.</w:t>
      </w:r>
    </w:p>
    <w:p>
      <w:pPr/>
      <w:r>
        <w:t>Required evidence: Approved code-to-form applicability matrix; current controlled variant drawings and product specifications; filled production lot form. Verify product code and form scope match before use.</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Engineering / QA.</w:t>
      </w:r>
    </w:p>
    <w:p>
      <w:pPr>
        <w:pStyle w:val="Heading2"/>
      </w:pPr>
      <w:r>
        <w:t>GAP-002 | P1 — Temperature-reading accuracy lacks a verifiable acceptance rule</w:t>
      </w:r>
    </w:p>
    <w:p>
      <w:pPr/>
      <w:r>
        <w:t>Source requirement (NOT ISO Says): WI p.1 §5.2.4 and p.2 §7; TF-M21-PS p.3 §§7.2–7.5; F-823-i128 r.15.</w:t>
      </w:r>
    </w:p>
    <w:p>
      <w:pPr/>
      <w:r>
        <w:t>Draft change: Proposed WI §8.3: Verify probe functional output using the approved, variant-specific work/test method and an appropriate identified reference thermometer/monitor or qualified test apparatus. Record each tested sample, equipment ID, setpoint/reference reading, probe reading, units and calculated deviation where applicable. Accept only against the approved source-derived tolerance and defined configuration; until these criteria and test conditions are approved, identify OPEN TECHNICAL INPUT REQUIRED and do not mark functional accuracy Pass. Refer to the applicable qualification evidence when the routine production check is limited to a validated continuity/function screen.</w:t>
      </w:r>
    </w:p>
    <w:p>
      <w:pPr/>
      <w:r>
        <w:t>Required evidence: Approved product-variant accuracy criteria and method; instrument calibration; completed readings/worksheet or validated alternate controlled evidence; disposition of any nonconforming result. Actual ISO technical clause remains unverified.</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Engineering / QC / QA.</w:t>
      </w:r>
    </w:p>
    <w:p>
      <w:pPr>
        <w:pStyle w:val="Heading2"/>
      </w:pPr>
      <w:r>
        <w:t>GAP-003 | P1 — Conflicting cable-length specifications across variants</w:t>
      </w:r>
    </w:p>
    <w:p>
      <w:pPr/>
      <w:r>
        <w:t>Source requirement (NOT ISO Says): TF-M21-PS p.3 §7.3 (150 cm ±1 cm); pp.1–2 §4 (TP-RP02 ≥1.6 m, TP-RP03 ≥3 m, TP-RA01 ≥1.6 m, TP-RA02 ≥3 m); F-823-i128 r.14.</w:t>
      </w:r>
    </w:p>
    <w:p>
      <w:pPr/>
      <w:r>
        <w:t>Draft change: Proposed WI §8.2: Determine the cable-length requirement by the exact approved product code and drawing; record the specified nominal length, tolerance, measured length and units for each checked sample. TF-M21-PS §7.3 identifies 150 cm ±1 cm but other configurations listed under §4 state different minimum lengths; therefore obtain and approve the variant-specific precedence/length matrix before release of new controlled instructions. Do not apply the 150 cm ±1 cm rule to all variants.</w:t>
      </w:r>
    </w:p>
    <w:p>
      <w:pPr/>
      <w:r>
        <w:t>Required evidence: Approved variant-by-variant dimensions/drawings resolving TF internal conflict; completed numeric measurement records; measuring-device calibration / traceability.</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Engineering / QA / QC.</w:t>
      </w:r>
    </w:p>
    <w:p>
      <w:pPr>
        <w:pStyle w:val="Heading2"/>
      </w:pPr>
      <w:r>
        <w:t>GAP-004 | P2 — AQL sample selection and two-hour frequency cannot be independently verified</w:t>
      </w:r>
    </w:p>
    <w:p>
      <w:pPr/>
      <w:r>
        <w:t>Source requirement (NOT ISO Says): WI p.1 §5.1 and p.2 §§7–9; form r.9–10 (clock slots) and header r.6–7.</w:t>
      </w:r>
    </w:p>
    <w:p>
      <w:pPr/>
      <w:r>
        <w:t>Draft change: Proposed WI §7 / §8.1: Perform in-process control at least at each established two-hour checkpoint specified by the existing WI, subject to approved shift/start-up and interruption rules. Record lot, process quantity, actual checkpoint time, sample quantity, sample identification and approved sampling-plan revision. Apply AQL only where an approved plan defines lot formation, inspection level, AQL, code letter and acceptance/rejection numbers; do not invent those values. If the plan is unavailable, record OPEN TECHNICAL INPUT REQUIRED and escalate before using any unsupported sampling decision.</w:t>
      </w:r>
    </w:p>
    <w:p>
      <w:pPr/>
      <w:r>
        <w:t>Required evidence: Approved current sampling plan; completed shift control logs with counts and actual times; documented disposition for missed checks and rejects.</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QC / QA / Production.</w:t>
      </w:r>
    </w:p>
    <w:p>
      <w:pPr>
        <w:pStyle w:val="Heading2"/>
      </w:pPr>
      <w:r>
        <w:t>GAP-005 | P2 — No per-checkpoint sample identification / measured-result traceability</w:t>
      </w:r>
    </w:p>
    <w:p>
      <w:pPr/>
      <w:r>
        <w:t>Source requirement (NOT ISO Says): F-823-i128 r.9–18 and r.24; WI p.2 §7 (record results).</w:t>
      </w:r>
    </w:p>
    <w:p>
      <w:pPr/>
      <w:r>
        <w:t>Draft change: Proposed WI §8.1 / §16: For each in-process checkpoint record the inspected product code, lot, operator/line/shift, date/time, sample ID or documented sampling basis, individual actual results where measured, acceptance decision, and an evidence/deviation reference. A summary status alone shall not substitute for a required quantitative measurement. Protect record integrity and identify any failed check with the affected production window.</w:t>
      </w:r>
    </w:p>
    <w:p>
      <w:pPr/>
      <w:r>
        <w:t>Required evidence: Completed traceable records for sampled lots; evidence links to failed intervals, results and disposition.</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QC / Production.</w:t>
      </w:r>
    </w:p>
    <w:p>
      <w:pPr>
        <w:pStyle w:val="Heading2"/>
      </w:pPr>
      <w:r>
        <w:t>GAP-006 | P2 — Instrument identification and calibration status not sufficiently recorded</w:t>
      </w:r>
    </w:p>
    <w:p>
      <w:pPr/>
      <w:r>
        <w:t>Source requirement (NOT ISO Says): F-823-i128 r.6; TF-M21-PS §7.3 (length), §7.2 (accuracy); WI p.1 §5 and p.2 §7.</w:t>
      </w:r>
    </w:p>
    <w:p>
      <w:pPr/>
      <w:r>
        <w:t>Draft change: Proposed WI §8.4: Before a measurable in-process check, verify the approved method, instrument identification, calibration/verification status and suitability for the acceptance criterion. Record the equipment ID and calibration due/status or linked register reference on the controlled in-process record. Quarantine any suspect result when equipment validity cannot be demonstrated until Quality decides the impact.</w:t>
      </w:r>
    </w:p>
    <w:p>
      <w:pPr/>
      <w:r>
        <w:t>Required evidence: Calibration certificates / verification records for referenced instruments and traceable forms; investigation for out-of-calibration use if any.</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QC / Calibration / QA.</w:t>
      </w:r>
    </w:p>
    <w:p>
      <w:pPr>
        <w:pStyle w:val="Heading2"/>
      </w:pPr>
      <w:r>
        <w:t>GAP-007 | P2 — Two-pin connector description may not cover all variants</w:t>
      </w:r>
    </w:p>
    <w:p>
      <w:pPr/>
      <w:r>
        <w:t>Source requirement (NOT ISO Says): WI p.1 §§5.2.1–5.2.3; TF-M21-PS pp.1–2 §4 and p.2 §6.</w:t>
      </w:r>
    </w:p>
    <w:p>
      <w:pPr/>
      <w:r>
        <w:t>Draft change: Proposed WI §6.2 / §8.2: Verify connector configuration, pin count, interface/fit, cable appearance and pin condition against the drawing and product code. Two-pin configuration and yellow PVC-jacket cable may be used only where the approved BOM/drawing confirms applicability. Record variant-specific acceptance and mark nonapplicable features N/A with an approved reason; do not use an assumed common configuration.</w:t>
      </w:r>
    </w:p>
    <w:p>
      <w:pPr/>
      <w:r>
        <w:t>Required evidence: Approved BOM/drawing per variant; traceable fit/visual checks and nonapplicability justification.</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Engineering / QC.</w:t>
      </w:r>
    </w:p>
    <w:p>
      <w:pPr>
        <w:pStyle w:val="Heading2"/>
      </w:pPr>
      <w:r>
        <w:t>GAP-008 | P2 — Attachment quality described qualitatively without a method/criterion</w:t>
      </w:r>
    </w:p>
    <w:p>
      <w:pPr/>
      <w:r>
        <w:t>Source requirement (NOT ISO Says): WI p.1 §§5.2.1–5.2.4; TF-M21-PS p.3 §§7.2–7.5; form r.13,15–16.</w:t>
      </w:r>
    </w:p>
    <w:p>
      <w:pPr/>
      <w:r>
        <w:t>Draft change: Proposed WI §8.2 / §8.5: At each required in-process visual check, confirm that sensor, cable and connector assemblies are secure, fully seated and free from observable looseness or damage according to the approved visual/fit work standard. Where product risk or design requirements establish a quantified retention test, use its approved method, frequency and acceptance limit in the designated controlled record. Define the observational method/illustrated defect criteria before implementation; OPEN TECHNICAL INPUT REQUIRED for any missing numerical strength limit.</w:t>
      </w:r>
    </w:p>
    <w:p>
      <w:pPr/>
      <w:r>
        <w:t>Required evidence: Approved defect standard and, if needed, validated strength/retention evidence linked to product design and frequency; filled in-process inspection record.</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Engineering / QC / QA.</w:t>
      </w:r>
    </w:p>
    <w:p>
      <w:pPr>
        <w:pStyle w:val="Heading2"/>
      </w:pPr>
      <w:r>
        <w:t>GAP-009 | P2 — Incoming material and supplier documentation are not linked to the in-process lot</w:t>
      </w:r>
    </w:p>
    <w:p>
      <w:pPr/>
      <w:r>
        <w:t>Source requirement (NOT ISO Says): WI p.1 §5.1; TF-M21-PS p.2 §6 materials; source set lacks incoming/COA records.</w:t>
      </w:r>
    </w:p>
    <w:p>
      <w:pPr/>
      <w:r>
        <w:t>Draft change: Proposed WI §7: Verify materials and received probe assemblies using the approved Incoming Inspection route, including purchase-order identity, supplier/lot, incoming status, material/configuration acceptance and COA availability where required. Do not duplicate incoming tests at every in-process checkpoint. Before using materials, record the accepted incoming lot/receipt reference and confirm release status. Refer missing COA/approved receipt to Supplier Quality/QA for controlled disposition.</w:t>
      </w:r>
    </w:p>
    <w:p>
      <w:pPr/>
      <w:r>
        <w:t>Required evidence: Approved incoming inspection record; supplier lot/COA where required; material release and traceability records.</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Incoming QC / Supplier Quality / Warehouse.</w:t>
      </w:r>
    </w:p>
    <w:p>
      <w:pPr>
        <w:pStyle w:val="Heading2"/>
      </w:pPr>
      <w:r>
        <w:t>GAP-010 | P2 — Packaging and labeling control route not traceably connected to the skin in-process record</w:t>
      </w:r>
    </w:p>
    <w:p>
      <w:pPr/>
      <w:r>
        <w:t>Source requirement (NOT ISO Says): TF-M21-PS p.3 §8 and p.4 §9; WI p.2 §§8–10; F-823-i128 r.11–17 lacks packaging fields.</w:t>
      </w:r>
    </w:p>
    <w:p>
      <w:pPr/>
      <w:r>
        <w:t>Draft change: Proposed WI §13 / §15: Verify packaging and label details against the approved master artwork, controlled specification and product-code/lot data using the designated packaging in-process record and final release record. Link those records to the same manufacturing lot on F-823-i128. Do not turn packaging validation or product qualification into an undocumented two-hour skin-probe test. Escalate unverified packaging/label record availability as OPEN — EVIDENCE.</w:t>
      </w:r>
    </w:p>
    <w:p>
      <w:pPr/>
      <w:r>
        <w:t>Required evidence: Completed controlled packaging and release records; approved artwork; sample labels; validated sealing/packaging evidence when applicable; no duplicate routine testing.</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Packaging QC / QA / Production.</w:t>
      </w:r>
    </w:p>
    <w:p>
      <w:pPr>
        <w:pStyle w:val="Heading2"/>
      </w:pPr>
      <w:r>
        <w:t>GAP-011 | P1 — Nonconforming in-process output lacks an explicit containment and recheck path</w:t>
      </w:r>
    </w:p>
    <w:p>
      <w:pPr/>
      <w:r>
        <w:t>Source requirement (NOT ISO Says): WI pp.1–2 §§4,7–9; F-823-i128 r.18 remarks and r.24 sign-off fields.</w:t>
      </w:r>
    </w:p>
    <w:p>
      <w:pPr/>
      <w:r>
        <w:t>Draft change: Proposed WI §12: When an in-process characteristic fails or cannot be verified, immediately identify and segregate suspect units from the last verified acceptable checkpoint to the failure discovery (or a justified narrower traceable population), inform the responsible Production and QC supervisor, initiate the approved nonconforming-product record and prevent unintended use or progression pending authorized disposition. Record line/lot, affected quantity/window, failed result, disposition reference and documented re-verification when required. Only an authorized quality role may approve controlled release based on verified evidence.</w:t>
      </w:r>
    </w:p>
    <w:p>
      <w:pPr/>
      <w:r>
        <w:t>Required evidence: Completed NCR, traceable containment records, approved disposition and any recheck/release evidence. Draft WI does not authorize release.</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Production / QC / QA.</w:t>
      </w:r>
    </w:p>
    <w:p>
      <w:pPr>
        <w:pStyle w:val="Heading2"/>
      </w:pPr>
      <w:r>
        <w:t>GAP-012 | P2 — Current controlled-form references and approval roles require reconciliation</w:t>
      </w:r>
    </w:p>
    <w:p>
      <w:pPr/>
      <w:r>
        <w:t>Source requirement (NOT ISO Says): WI p.2 §10; WI p.1 §4; F-823-i128 r.3 and r.24.</w:t>
      </w:r>
    </w:p>
    <w:p>
      <w:pPr/>
      <w:r>
        <w:t>Draft change: Proposed WI §3 / §17: Identify F-823-i128 as the proposed skin-probe in-process record only after Document Control verifies its effective revision and relationship to F-823-T90, F-823-i4 and F-823-F247. Retain other valid controlled references; include TF-M21-PDBM only after verifying its identity and applicability. Specify QC execution, supervisor review and QCM/QAM approval according to the actual current authorization matrix; do not invent supersession, signatures or effective dates.</w:t>
      </w:r>
    </w:p>
    <w:p>
      <w:pPr/>
      <w:r>
        <w:t>Required evidence: Effective controlled master list, TF-M21-PDBM or a documented clarification, verified form successor relationship, approved approval matrix.</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Document Control / QA.</w:t>
      </w:r>
    </w:p>
    <w:p>
      <w:pPr>
        <w:pStyle w:val="Heading2"/>
      </w:pPr>
      <w:r>
        <w:t>GAP-013 | P2 — Form tab/header revision conflict</w:t>
      </w:r>
    </w:p>
    <w:p>
      <w:pPr/>
      <w:r>
        <w:t>Source requirement (NOT ISO Says): F-823-i128 sheet tab “F-823-i128 (Rev.1)”; cells O3–Q4 header “Rev. 2”, date “14.12.2025”.</w:t>
      </w:r>
    </w:p>
    <w:p>
      <w:pPr/>
      <w:r>
        <w:t>Draft change: Proposed WI §17: Require controlled revision verification before use. The template name, displayed revision/date and controlled-document master register shall match. Resolve Rev.1 tab versus Rev.2 header through Document Control; label the proposed revised form DRAFT (not effective) until approved.</w:t>
      </w:r>
    </w:p>
    <w:p>
      <w:pPr/>
      <w:r>
        <w:t>Required evidence: Approved revision history/master-document register; correctly controlled blank master once released; no assumptions from filename/tab alone.</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Document Control / QA.</w:t>
      </w:r>
    </w:p>
    <w:p>
      <w:pPr>
        <w:pStyle w:val="Heading2"/>
      </w:pPr>
      <w:r>
        <w:t>GAP-014 | P2 — Product-material/appearance criteria are not linked to controlled inspection standards</w:t>
      </w:r>
    </w:p>
    <w:p>
      <w:pPr/>
      <w:r>
        <w:t>Source requirement (NOT ISO Says): TF-M21-PS p.2 §6 and pp.2–3 §§7.1–7.5; F-823-i128 r.11–17.</w:t>
      </w:r>
    </w:p>
    <w:p>
      <w:pPr/>
      <w:r>
        <w:t>Draft change: Proposed WI §6 / §8.2: Check assembled parts for the specified visible defects—cuts, cracks, bent pins, corrosion/rust particles, black spots, sharp edges and other applicable defects—against approved photographs/acceptance examples or controlled material specifications. Verify material grades/composition through approved receiving, supplier or qualification evidence where visual assessment cannot confirm composition. Identify source ref and N/A justification per configured variant.</w:t>
      </w:r>
    </w:p>
    <w:p>
      <w:pPr/>
      <w:r>
        <w:t>Required evidence: Approved material/visual defect specifications; component receipts/certificates and photographs/drawings; filled observed results.</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QC / Incoming QC / Engineering.</w:t>
      </w:r>
    </w:p>
    <w:p>
      <w:pPr>
        <w:pStyle w:val="Heading2"/>
      </w:pPr>
      <w:r>
        <w:t>GAP-015 | P2 — Expiry claim and storage/packaging specifications require release-record linkage</w:t>
      </w:r>
    </w:p>
    <w:p>
      <w:pPr/>
      <w:r>
        <w:t>Source requirement (NOT ISO Says): TF-M21-PS p.3 §§8–8.1 and p.4 §9; WI p.2 §8–9.</w:t>
      </w:r>
    </w:p>
    <w:p>
      <w:pPr/>
      <w:r>
        <w:t>Draft change: Proposed WI §13 / §15: The approved product specification states a three-year period from manufacture for the products in scope; verify that manufacture/expiry calculation and label printing follow the currently approved product-specific shelf-life rationale and artwork. Evidence of shelf-life qualification is held in a controlled file and not generated by routine two-hour assembly checks. Link the approved final packaging/release record and shelf-life evidence to the applicable code/lot. If suitability for every variant is unproven, OPEN TECHNICAL INPUT REQUIRED.</w:t>
      </w:r>
    </w:p>
    <w:p>
      <w:pPr/>
      <w:r>
        <w:t>Required evidence: Approved shelf-life substantiation covering relevant material/configuration, final label/expiry verification, production/release records; no inference that 3-year claim is validated.</w:t>
      </w:r>
    </w:p>
    <w:p>
      <w:pPr/>
      <w:r>
        <w:t>Verified evidence available: supplied WI, TF and BLANK in-process form only; no executed production/calibration/qualification evidence provided.</w:t>
      </w:r>
    </w:p>
    <w:p>
      <w:pPr/>
      <w:r>
        <w:t>Documentary coverage: Proposed revision prepared – approval/implementation pending. Operational closure: OPEN; ISO CLAUSE NOT VERIFIED. Responsible function: QA / Engineering / Packaging QC.</w:t>
      </w:r>
    </w:p>
    <w:p>
      <w:pPr>
        <w:pStyle w:val="Heading1"/>
      </w:pPr>
      <w:r>
        <w:t>C. Standards and Scope Confirmation Queue</w:t>
      </w:r>
    </w:p>
    <w:tbl>
      <w:tblPr>
        <w:tblStyle w:val="TableGrid"/>
        <w:tblW w:type="auto" w:w="0"/>
        <w:jc w:val="center"/>
        <w:tblLayout w:type="fixed"/>
        <w:tblLook w:firstColumn="1" w:firstRow="1" w:lastColumn="0" w:lastRow="0" w:noHBand="0" w:noVBand="1" w:val="04A0"/>
      </w:tblPr>
      <w:tblGrid>
        <w:gridCol w:w="2592"/>
        <w:gridCol w:w="3456"/>
        <w:gridCol w:w="4032"/>
      </w:tblGrid>
      <w:tr>
        <w:trPr>
          <w:tblHeader w:val="true"/>
          <w:cantSplit/>
        </w:trPr>
        <w:tc>
          <w:tcPr>
            <w:tcW w:type="dxa" w:w="2592"/>
            <w:shd w:fill="16243B"/>
            <w:tcMar>
              <w:top w:w="95" w:type="dxa"/>
              <w:start w:w="90" w:type="dxa"/>
              <w:bottom w:w="95" w:type="dxa"/>
              <w:end w:w="90" w:type="dxa"/>
            </w:tcMar>
            <w:vAlign w:val="center"/>
          </w:tcPr>
          <w:p>
            <w:r>
              <w:rPr>
                <w:b/>
                <w:color w:val="FFFFFF"/>
                <w:sz w:val="16"/>
              </w:rPr>
              <w:t>Candidate / topic</w:t>
            </w:r>
          </w:p>
        </w:tc>
        <w:tc>
          <w:tcPr>
            <w:tcW w:type="dxa" w:w="3456"/>
            <w:shd w:fill="16243B"/>
            <w:tcMar>
              <w:top w:w="95" w:type="dxa"/>
              <w:start w:w="90" w:type="dxa"/>
              <w:bottom w:w="95" w:type="dxa"/>
              <w:end w:w="90" w:type="dxa"/>
            </w:tcMar>
            <w:vAlign w:val="center"/>
          </w:tcPr>
          <w:p>
            <w:r>
              <w:rPr>
                <w:b/>
                <w:color w:val="FFFFFF"/>
                <w:sz w:val="16"/>
              </w:rPr>
              <w:t>External reference</w:t>
            </w:r>
          </w:p>
        </w:tc>
        <w:tc>
          <w:tcPr>
            <w:tcW w:type="dxa" w:w="4032"/>
            <w:shd w:fill="16243B"/>
            <w:tcMar>
              <w:top w:w="95" w:type="dxa"/>
              <w:start w:w="90" w:type="dxa"/>
              <w:bottom w:w="95" w:type="dxa"/>
              <w:end w:w="90" w:type="dxa"/>
            </w:tcMar>
            <w:vAlign w:val="center"/>
          </w:tcPr>
          <w:p>
            <w:r>
              <w:rPr>
                <w:b/>
                <w:color w:val="FFFFFF"/>
                <w:sz w:val="16"/>
              </w:rPr>
              <w:t>Decision needed</w:t>
            </w:r>
          </w:p>
        </w:tc>
      </w:tr>
      <w:tr>
        <w:trPr>
          <w:cantSplit/>
        </w:trPr>
        <w:tc>
          <w:tcPr>
            <w:tcW w:type="dxa" w:w="2592"/>
            <w:vAlign w:val="top"/>
            <w:tcMar>
              <w:top w:w="95" w:type="dxa"/>
              <w:start w:w="90" w:type="dxa"/>
              <w:bottom w:w="95" w:type="dxa"/>
              <w:end w:w="90" w:type="dxa"/>
            </w:tcMar>
          </w:tcPr>
          <w:p>
            <w:pPr>
              <w:spacing w:after="40"/>
            </w:pPr>
            <w:r>
              <w:rPr>
                <w:rFonts w:ascii="Aptos" w:hAnsi="Aptos"/>
                <w:sz w:val="16"/>
              </w:rPr>
              <w:t>ISO 80601-2-56:2017 + AMD1:2018</w:t>
            </w:r>
          </w:p>
        </w:tc>
        <w:tc>
          <w:tcPr>
            <w:tcW w:type="dxa" w:w="3456"/>
            <w:vAlign w:val="top"/>
            <w:tcMar>
              <w:top w:w="95" w:type="dxa"/>
              <w:start w:w="90" w:type="dxa"/>
              <w:bottom w:w="95" w:type="dxa"/>
              <w:end w:w="90" w:type="dxa"/>
            </w:tcMar>
          </w:tcPr>
          <w:p>
            <w:pPr>
              <w:spacing w:after="40"/>
            </w:pPr>
            <w:r>
              <w:rPr>
                <w:rFonts w:ascii="Aptos" w:hAnsi="Aptos"/>
                <w:sz w:val="16"/>
              </w:rPr>
              <w:t>ISO public abstract (clinical thermometer + accessories)</w:t>
            </w:r>
          </w:p>
        </w:tc>
        <w:tc>
          <w:tcPr>
            <w:tcW w:type="dxa" w:w="4032"/>
            <w:vAlign w:val="top"/>
            <w:tcMar>
              <w:top w:w="95" w:type="dxa"/>
              <w:start w:w="90" w:type="dxa"/>
              <w:bottom w:w="95" w:type="dxa"/>
              <w:end w:w="90" w:type="dxa"/>
            </w:tcMar>
          </w:tcPr>
          <w:p>
            <w:pPr>
              <w:spacing w:after="40"/>
            </w:pPr>
            <w:r>
              <w:rPr>
                <w:rFonts w:ascii="Aptos" w:hAnsi="Aptos"/>
                <w:sz w:val="16"/>
              </w:rPr>
              <w:t>Decide if probe/combined monitor is in scope and map actual applicable clauses</w:t>
            </w:r>
          </w:p>
        </w:tc>
      </w:tr>
      <w:tr>
        <w:trPr>
          <w:cantSplit/>
        </w:trPr>
        <w:tc>
          <w:tcPr>
            <w:tcW w:type="dxa" w:w="2592"/>
            <w:vAlign w:val="top"/>
            <w:tcMar>
              <w:top w:w="95" w:type="dxa"/>
              <w:start w:w="90" w:type="dxa"/>
              <w:bottom w:w="95" w:type="dxa"/>
              <w:end w:w="90" w:type="dxa"/>
            </w:tcMar>
            <w:shd w:fill="F2F6F9"/>
          </w:tcPr>
          <w:p>
            <w:pPr>
              <w:spacing w:after="40"/>
            </w:pPr>
            <w:r>
              <w:rPr>
                <w:rFonts w:ascii="Aptos" w:hAnsi="Aptos"/>
                <w:sz w:val="16"/>
              </w:rPr>
              <w:t>ISO 14971:2019</w:t>
            </w:r>
          </w:p>
        </w:tc>
        <w:tc>
          <w:tcPr>
            <w:tcW w:type="dxa" w:w="3456"/>
            <w:vAlign w:val="top"/>
            <w:tcMar>
              <w:top w:w="95" w:type="dxa"/>
              <w:start w:w="90" w:type="dxa"/>
              <w:bottom w:w="95" w:type="dxa"/>
              <w:end w:w="90" w:type="dxa"/>
            </w:tcMar>
            <w:shd w:fill="F2F6F9"/>
          </w:tcPr>
          <w:p>
            <w:pPr>
              <w:spacing w:after="40"/>
            </w:pPr>
            <w:r>
              <w:rPr>
                <w:rFonts w:ascii="Aptos" w:hAnsi="Aptos"/>
                <w:sz w:val="16"/>
              </w:rPr>
              <w:t>ISO official abstract</w:t>
            </w:r>
          </w:p>
        </w:tc>
        <w:tc>
          <w:tcPr>
            <w:tcW w:type="dxa" w:w="4032"/>
            <w:vAlign w:val="top"/>
            <w:tcMar>
              <w:top w:w="95" w:type="dxa"/>
              <w:start w:w="90" w:type="dxa"/>
              <w:bottom w:w="95" w:type="dxa"/>
              <w:end w:w="90" w:type="dxa"/>
            </w:tcMar>
            <w:shd w:fill="F2F6F9"/>
          </w:tcPr>
          <w:p>
            <w:pPr>
              <w:spacing w:after="40"/>
            </w:pPr>
            <w:r>
              <w:rPr>
                <w:rFonts w:ascii="Aptos" w:hAnsi="Aptos"/>
                <w:sz w:val="16"/>
              </w:rPr>
              <w:t>Confirm device risk-management file and applicable design controls</w:t>
            </w:r>
          </w:p>
        </w:tc>
      </w:tr>
      <w:tr>
        <w:trPr>
          <w:cantSplit/>
        </w:trPr>
        <w:tc>
          <w:tcPr>
            <w:tcW w:type="dxa" w:w="2592"/>
            <w:vAlign w:val="top"/>
            <w:tcMar>
              <w:top w:w="95" w:type="dxa"/>
              <w:start w:w="90" w:type="dxa"/>
              <w:bottom w:w="95" w:type="dxa"/>
              <w:end w:w="90" w:type="dxa"/>
            </w:tcMar>
          </w:tcPr>
          <w:p>
            <w:pPr>
              <w:spacing w:after="40"/>
            </w:pPr>
            <w:r>
              <w:rPr>
                <w:rFonts w:ascii="Aptos" w:hAnsi="Aptos"/>
                <w:sz w:val="16"/>
              </w:rPr>
              <w:t>ISO 10993-1:2025</w:t>
            </w:r>
          </w:p>
        </w:tc>
        <w:tc>
          <w:tcPr>
            <w:tcW w:type="dxa" w:w="3456"/>
            <w:vAlign w:val="top"/>
            <w:tcMar>
              <w:top w:w="95" w:type="dxa"/>
              <w:start w:w="90" w:type="dxa"/>
              <w:bottom w:w="95" w:type="dxa"/>
              <w:end w:w="90" w:type="dxa"/>
            </w:tcMar>
          </w:tcPr>
          <w:p>
            <w:pPr>
              <w:spacing w:after="40"/>
            </w:pPr>
            <w:r>
              <w:rPr>
                <w:rFonts w:ascii="Aptos" w:hAnsi="Aptos"/>
                <w:sz w:val="16"/>
              </w:rPr>
              <w:t>ISO official abstract</w:t>
            </w:r>
          </w:p>
        </w:tc>
        <w:tc>
          <w:tcPr>
            <w:tcW w:type="dxa" w:w="4032"/>
            <w:vAlign w:val="top"/>
            <w:tcMar>
              <w:top w:w="95" w:type="dxa"/>
              <w:start w:w="90" w:type="dxa"/>
              <w:bottom w:w="95" w:type="dxa"/>
              <w:end w:w="90" w:type="dxa"/>
            </w:tcMar>
          </w:tcPr>
          <w:p>
            <w:pPr>
              <w:spacing w:after="40"/>
            </w:pPr>
            <w:r>
              <w:rPr>
                <w:rFonts w:ascii="Aptos" w:hAnsi="Aptos"/>
                <w:sz w:val="16"/>
              </w:rPr>
              <w:t>Confirm relevant body-contact type/duration and standard edition at applicable regulatory basis</w:t>
            </w:r>
          </w:p>
        </w:tc>
      </w:tr>
      <w:tr>
        <w:trPr>
          <w:cantSplit/>
        </w:trPr>
        <w:tc>
          <w:tcPr>
            <w:tcW w:type="dxa" w:w="2592"/>
            <w:vAlign w:val="top"/>
            <w:tcMar>
              <w:top w:w="95" w:type="dxa"/>
              <w:start w:w="90" w:type="dxa"/>
              <w:bottom w:w="95" w:type="dxa"/>
              <w:end w:w="90" w:type="dxa"/>
            </w:tcMar>
            <w:shd w:fill="F2F6F9"/>
          </w:tcPr>
          <w:p>
            <w:pPr>
              <w:spacing w:after="40"/>
            </w:pPr>
            <w:r>
              <w:rPr>
                <w:rFonts w:ascii="Aptos" w:hAnsi="Aptos"/>
                <w:sz w:val="16"/>
              </w:rPr>
              <w:t>Other device-specific standards</w:t>
            </w:r>
          </w:p>
        </w:tc>
        <w:tc>
          <w:tcPr>
            <w:tcW w:type="dxa" w:w="3456"/>
            <w:vAlign w:val="top"/>
            <w:tcMar>
              <w:top w:w="95" w:type="dxa"/>
              <w:start w:w="90" w:type="dxa"/>
              <w:bottom w:w="95" w:type="dxa"/>
              <w:end w:w="90" w:type="dxa"/>
            </w:tcMar>
            <w:shd w:fill="F2F6F9"/>
          </w:tcPr>
          <w:p>
            <w:pPr>
              <w:spacing w:after="40"/>
            </w:pPr>
            <w:r>
              <w:rPr>
                <w:rFonts w:ascii="Aptos" w:hAnsi="Aptos"/>
                <w:sz w:val="16"/>
              </w:rPr>
              <w:t>Not supplied</w:t>
            </w:r>
          </w:p>
        </w:tc>
        <w:tc>
          <w:tcPr>
            <w:tcW w:type="dxa" w:w="4032"/>
            <w:vAlign w:val="top"/>
            <w:tcMar>
              <w:top w:w="95" w:type="dxa"/>
              <w:start w:w="90" w:type="dxa"/>
              <w:bottom w:w="95" w:type="dxa"/>
              <w:end w:w="90" w:type="dxa"/>
            </w:tcMar>
            <w:shd w:fill="F2F6F9"/>
          </w:tcPr>
          <w:p>
            <w:pPr>
              <w:spacing w:after="40"/>
            </w:pPr>
            <w:r>
              <w:rPr>
                <w:rFonts w:ascii="Aptos" w:hAnsi="Aptos"/>
                <w:sz w:val="16"/>
              </w:rPr>
              <w:t>QA/RA must identify approved product-specific normative references</w:t>
            </w:r>
          </w:p>
        </w:tc>
      </w:tr>
    </w:tbl>
    <w:p>
      <w:pPr>
        <w:spacing w:after="0"/>
      </w:pPr>
    </w:p>
    <w:p>
      <w:pPr>
        <w:pStyle w:val="Heading1"/>
      </w:pPr>
      <w:r>
        <w:t>D. Closure Preconditions and Decision</w:t>
      </w:r>
    </w:p>
    <w:p>
      <w:pPr>
        <w:pStyle w:val="ListBullet"/>
      </w:pPr>
      <w:r>
        <w:t>Confirm standards/editions and exact clause &amp; printed/PDF page, including tables and normative annexes.</w:t>
      </w:r>
    </w:p>
    <w:p>
      <w:pPr>
        <w:pStyle w:val="ListBullet"/>
      </w:pPr>
      <w:r>
        <w:t>Verify every relevant revised WI/form criterion against approved specifications, designs and plans.</w:t>
      </w:r>
    </w:p>
    <w:p>
      <w:pPr>
        <w:pStyle w:val="ListBullet"/>
      </w:pPr>
      <w:r>
        <w:t>Approve effective revision, release training and confirm form supersession/mapping.</w:t>
      </w:r>
    </w:p>
    <w:p>
      <w:pPr>
        <w:pStyle w:val="ListBullet"/>
      </w:pPr>
      <w:r>
        <w:t>Verify actual measurement, supplier, calibration, packaging, release and qualification evidence, as applicable.</w:t>
      </w:r>
    </w:p>
    <w:p>
      <w:pPr>
        <w:pStyle w:val="ListBullet"/>
      </w:pPr>
      <w:r>
        <w:t>Confirm completed nonconformance controls and justified N/A determinations.</w:t>
      </w:r>
    </w:p>
    <w:p>
      <w:pPr>
        <w:pStyle w:val="ListBullet"/>
      </w:pPr>
      <w:r>
        <w:t>Only change a requirement to VERIFIED CLOSED after the approved control AND associated objective evidence are verified.</w:t>
      </w:r>
    </w:p>
    <w:p>
      <w:pPr/>
      <w:r>
        <w:t>Current result: zero verified ISO closures; ISO requirement denominator unknown. “Documentary Covered — Operational Evidence Pending” applies only after a draft requirement is approved and documentary coverage itself is verified; it is not asserted as achieved in these drafts.</w:t>
      </w:r>
    </w:p>
    <w:sectPr w:rsidR="00FC693F" w:rsidRPr="0006063C" w:rsidSect="00034616">
      <w:headerReference w:type="default" r:id="rId9"/>
      <w:footerReference w:type="default" r:id="rId10"/>
      <w:pgSz w:w="11906" w:h="16838"/>
      <w:pgMar w:top="1080" w:right="1008" w:bottom="936" w:left="100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DRAFT  •  NOT EFFECTIVE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SAUDI MAIS  /  QC TECHNICAL REVIEW     •     ISO CLOSURE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24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43B"/>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243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243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Closure Register – Temperature Probe</dc:title>
  <dc:subject>Source based documentation gap review — ISO pending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