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SAUDI MAIS CO. FOR MEDICAL PRODUCTS</w:t>
      </w:r>
    </w:p>
    <w:p>
      <w:pPr>
        <w:pStyle w:val="Subtitle"/>
      </w:pPr>
      <w:r>
        <w:t>QUALITY CONTROL  /  DOCUMENTARY GAP ASSESSMENT</w:t>
      </w:r>
    </w:p>
    <w:p>
      <w:pPr>
        <w:pStyle w:val="Title"/>
      </w:pPr>
      <w:r>
        <w:t>Temperature Probe</w:t>
      </w:r>
    </w:p>
    <w:p>
      <w:pPr/>
      <w:r>
        <w:t>In-Process Control — evidence-based document comparison; ISO clause review pending</w:t>
      </w:r>
    </w:p>
    <w:p>
      <w:pPr/>
      <w:r>
        <w:t>REPORT ISSUED: 25 October 2026     |     STATUS: DRAFT FOR QC / QA TECHNICAL REVIEW</w:t>
      </w:r>
    </w:p>
    <w:p>
      <w:pPr/>
      <w:r>
        <w:t>Source documents: WI-8-2-2-M21-1, Rev.0, 18-Feb-2025 (3 pages); F-823-i128, header Rev.2, 14-Dec-2025 (Excel sheet tab states Rev.1), 1 page; TF-M21-PS, Rev.00, 18-Feb-2025 (4 pages).</w:t>
      </w:r>
    </w:p>
    <w:tbl>
      <w:tblPr>
        <w:tblStyle w:val="TableGrid"/>
        <w:tblW w:type="auto" w:w="0"/>
        <w:jc w:val="center"/>
        <w:tblLayout w:type="fixed"/>
        <w:tblLook w:firstColumn="1" w:firstRow="1" w:lastColumn="0" w:lastRow="0" w:noHBand="0" w:noVBand="1" w:val="04A0"/>
      </w:tblPr>
      <w:tblGrid>
        <w:gridCol w:w="3312"/>
        <w:gridCol w:w="6768"/>
      </w:tblGrid>
      <w:tr>
        <w:trPr>
          <w:tblHeader w:val="true"/>
          <w:cantSplit/>
        </w:trPr>
        <w:tc>
          <w:tcPr>
            <w:tcW w:type="dxa" w:w="3312"/>
            <w:shd w:fill="16243B"/>
            <w:tcMar>
              <w:top w:w="95" w:type="dxa"/>
              <w:start w:w="90" w:type="dxa"/>
              <w:bottom w:w="95" w:type="dxa"/>
              <w:end w:w="90" w:type="dxa"/>
            </w:tcMar>
            <w:vAlign w:val="center"/>
          </w:tcPr>
          <w:p>
            <w:r>
              <w:rPr>
                <w:b/>
                <w:color w:val="FFFFFF"/>
                <w:sz w:val="16"/>
              </w:rPr>
              <w:t>ASSESSMENT GATE</w:t>
            </w:r>
          </w:p>
        </w:tc>
        <w:tc>
          <w:tcPr>
            <w:tcW w:type="dxa" w:w="6768"/>
            <w:shd w:fill="16243B"/>
            <w:tcMar>
              <w:top w:w="95" w:type="dxa"/>
              <w:start w:w="90" w:type="dxa"/>
              <w:bottom w:w="95" w:type="dxa"/>
              <w:end w:w="90" w:type="dxa"/>
            </w:tcMar>
            <w:vAlign w:val="center"/>
          </w:tcPr>
          <w:p>
            <w:r>
              <w:rPr>
                <w:b/>
                <w:color w:val="FFFFFF"/>
                <w:sz w:val="16"/>
              </w:rPr>
              <w:t>CURRENT STATUS</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Primary ISO standard</w:t>
            </w:r>
          </w:p>
        </w:tc>
        <w:tc>
          <w:tcPr>
            <w:tcW w:type="dxa" w:w="6768"/>
            <w:vAlign w:val="top"/>
            <w:tcMar>
              <w:top w:w="95" w:type="dxa"/>
              <w:start w:w="90" w:type="dxa"/>
              <w:bottom w:w="95" w:type="dxa"/>
              <w:end w:w="90" w:type="dxa"/>
            </w:tcMar>
          </w:tcPr>
          <w:p>
            <w:pPr>
              <w:spacing w:after="40"/>
            </w:pPr>
            <w:r>
              <w:rPr>
                <w:rFonts w:ascii="Aptos" w:hAnsi="Aptos"/>
                <w:sz w:val="16"/>
              </w:rPr>
              <w:t>Not supplied; applicability/clauses not verified</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Target control route</w:t>
            </w:r>
          </w:p>
        </w:tc>
        <w:tc>
          <w:tcPr>
            <w:tcW w:type="dxa" w:w="6768"/>
            <w:vAlign w:val="top"/>
            <w:tcMar>
              <w:top w:w="95" w:type="dxa"/>
              <w:start w:w="90" w:type="dxa"/>
              <w:bottom w:w="95" w:type="dxa"/>
              <w:end w:w="90" w:type="dxa"/>
            </w:tcMar>
            <w:shd w:fill="F2F6F9"/>
          </w:tcPr>
          <w:p>
            <w:pPr>
              <w:spacing w:after="40"/>
            </w:pPr>
            <w:r>
              <w:rPr>
                <w:rFonts w:ascii="Aptos" w:hAnsi="Aptos"/>
                <w:sz w:val="16"/>
              </w:rPr>
              <w:t>In-process manufacturing checks (not a Final Inspection Report)</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Conformity conclusion</w:t>
            </w:r>
          </w:p>
        </w:tc>
        <w:tc>
          <w:tcPr>
            <w:tcW w:type="dxa" w:w="6768"/>
            <w:vAlign w:val="top"/>
            <w:tcMar>
              <w:top w:w="95" w:type="dxa"/>
              <w:start w:w="90" w:type="dxa"/>
              <w:bottom w:w="95" w:type="dxa"/>
              <w:end w:w="90" w:type="dxa"/>
            </w:tcMar>
          </w:tcPr>
          <w:p>
            <w:pPr>
              <w:spacing w:after="40"/>
            </w:pPr>
            <w:r>
              <w:rPr>
                <w:rFonts w:ascii="Aptos" w:hAnsi="Aptos"/>
                <w:sz w:val="16"/>
              </w:rPr>
              <w:t>No ISO conformance or operational release claim</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Original source files</w:t>
            </w:r>
          </w:p>
        </w:tc>
        <w:tc>
          <w:tcPr>
            <w:tcW w:type="dxa" w:w="6768"/>
            <w:vAlign w:val="top"/>
            <w:tcMar>
              <w:top w:w="95" w:type="dxa"/>
              <w:start w:w="90" w:type="dxa"/>
              <w:bottom w:w="95" w:type="dxa"/>
              <w:end w:w="90" w:type="dxa"/>
            </w:tcMar>
            <w:shd w:fill="F2F6F9"/>
          </w:tcPr>
          <w:p>
            <w:pPr>
              <w:spacing w:after="40"/>
            </w:pPr>
            <w:r>
              <w:rPr>
                <w:rFonts w:ascii="Aptos" w:hAnsi="Aptos"/>
                <w:sz w:val="16"/>
              </w:rPr>
              <w:t>Read-only; no changes made</w:t>
            </w:r>
          </w:p>
        </w:tc>
      </w:tr>
    </w:tbl>
    <w:p>
      <w:pPr>
        <w:spacing w:after="0"/>
      </w:pPr>
    </w:p>
    <w:p>
      <w:pPr>
        <w:pStyle w:val="Heading1"/>
      </w:pPr>
      <w:r>
        <w:t>1. QC Manager Executive Summary</w:t>
      </w:r>
    </w:p>
    <w:p>
      <w:pPr/>
      <w:r>
        <w:t>Product: Temperature Probe (Skin in-process form); broader TF includes further variants. Assessed document issues: 15 (P1: 4, P2: 11, P3: 0).</w:t>
      </w:r>
    </w:p>
    <w:p>
      <w:pPr/>
      <w:r>
        <w:t>Decision: The current WI and F-823-i128 need a controlled revision review. The supplied evidence does not support a positive statement of ISO conformity, instrument accuracy, material compliance or successful lot verification.</w:t>
      </w:r>
    </w:p>
    <w:p>
      <w:pPr/>
      <w:r>
        <w:t>Highest-impact issues: unbounded variant applicability; unquantified accuracy/function test; conflicting cable lengths; no documented hold/segregation path for failed production checks.</w:t>
      </w:r>
    </w:p>
    <w:p>
      <w:pPr/>
      <w:r>
        <w:t>Notable source discrepancy: Excel tab says Rev.1 while the form header states Rev.2. Both require Document Control verification before formal issue.</w:t>
      </w:r>
    </w:p>
    <w:p>
      <w:pPr>
        <w:pStyle w:val="Heading1"/>
      </w:pPr>
      <w:r>
        <w:t>2. Documents Reviewed and Scope</w:t>
      </w:r>
    </w:p>
    <w:p>
      <w:pPr>
        <w:pStyle w:val="ListBullet"/>
      </w:pPr>
      <w:r>
        <w:t>WI-8-2-2-M21-1, Rev.0, 18-Feb-2025 (3 pages)</w:t>
      </w:r>
    </w:p>
    <w:p>
      <w:pPr>
        <w:pStyle w:val="ListBullet"/>
      </w:pPr>
      <w:r>
        <w:t>F-823-i128, header Rev.2, 14-Dec-2025 (Excel sheet tab states Rev.1), 1 page</w:t>
      </w:r>
    </w:p>
    <w:p>
      <w:pPr>
        <w:pStyle w:val="ListBullet"/>
      </w:pPr>
      <w:r>
        <w:t>TF-M21-PS, Rev.00, 18-Feb-2025 (4 pages)</w:t>
      </w:r>
    </w:p>
    <w:p>
      <w:pPr/>
      <w:r>
        <w:t>Not supplied / not verified: full applicable ISO standard; TF-M21-PDBM; drawings and BOM by product code; complete AQL sampling plan; method/tolerance for functional measurement; incoming records and COAs; F-823-T90; F-823-i4; F-823-F247; calibration records; qualification/shelf-life substantiation; approval/document-control matrix.</w:t>
      </w:r>
    </w:p>
    <w:p>
      <w:pPr/>
      <w:r>
        <w:t>Assessment boundaries: only source-derived company-document gaps are classified. Standard clause-by-clause gap detection is NOT POSSIBLE from this record set. Exact ISO Says, standard page numbers and applicable acceptance limits remain open. Document titles are not evidence of approval or conformity.</w:t>
      </w:r>
    </w:p>
    <w:p>
      <w:pPr>
        <w:pStyle w:val="Heading1"/>
      </w:pPr>
      <w:r>
        <w:t>3. Standard Applicability and Verification Gate</w:t>
      </w:r>
    </w:p>
    <w:p>
      <w:pPr/>
      <w:r>
        <w:t>Primary applicable ISO standard and edition: OPEN TECHNICAL INPUT REQUIRED. No full standard was supplied. Neither a clause-level comparison nor ISO closure can be verified.</w:t>
      </w:r>
    </w:p>
    <w:p>
      <w:pPr/>
      <w:r>
        <w:t>Screening references only (NOT approved applicability determinations): ISO 80601-2-56:2017 + AMD1:2018 for clinical thermometers together with accessories, dependent on actual measuring system and intended use; ISO 14971:2019 risk management; ISO 10993-1:2025 biological safety evaluation for relevant body-contact designs. Their applicability, full requirements and clause/page traceability require QA/RA selection and authorized standards. Refer to Source Traceability and official descriptions.</w:t>
      </w:r>
    </w:p>
    <w:p>
      <w:pPr>
        <w:pStyle w:val="Heading1"/>
      </w:pPr>
      <w:r>
        <w:t>4. Initial Findings (Document-Based)</w:t>
      </w:r>
    </w:p>
    <w:tbl>
      <w:tblPr>
        <w:tblStyle w:val="TableGrid"/>
        <w:tblW w:type="auto" w:w="0"/>
        <w:jc w:val="center"/>
        <w:tblLayout w:type="fixed"/>
        <w:tblLook w:firstColumn="1" w:firstRow="1" w:lastColumn="0" w:lastRow="0" w:noHBand="0" w:noVBand="1" w:val="04A0"/>
      </w:tblPr>
      <w:tblGrid>
        <w:gridCol w:w="1224"/>
        <w:gridCol w:w="1008"/>
        <w:gridCol w:w="3240"/>
        <w:gridCol w:w="5040"/>
      </w:tblGrid>
      <w:tr>
        <w:trPr>
          <w:tblHeader w:val="true"/>
          <w:cantSplit/>
        </w:trPr>
        <w:tc>
          <w:tcPr>
            <w:tcW w:type="dxa" w:w="1224"/>
            <w:shd w:fill="16243B"/>
            <w:tcMar>
              <w:top w:w="95" w:type="dxa"/>
              <w:start w:w="90" w:type="dxa"/>
              <w:bottom w:w="95" w:type="dxa"/>
              <w:end w:w="90" w:type="dxa"/>
            </w:tcMar>
            <w:vAlign w:val="center"/>
          </w:tcPr>
          <w:p>
            <w:r>
              <w:rPr>
                <w:b/>
                <w:color w:val="FFFFFF"/>
                <w:sz w:val="16"/>
              </w:rPr>
              <w:t>Gap ID</w:t>
            </w:r>
          </w:p>
        </w:tc>
        <w:tc>
          <w:tcPr>
            <w:tcW w:type="dxa" w:w="1008"/>
            <w:shd w:fill="16243B"/>
            <w:tcMar>
              <w:top w:w="95" w:type="dxa"/>
              <w:start w:w="90" w:type="dxa"/>
              <w:bottom w:w="95" w:type="dxa"/>
              <w:end w:w="90" w:type="dxa"/>
            </w:tcMar>
            <w:vAlign w:val="center"/>
          </w:tcPr>
          <w:p>
            <w:r>
              <w:rPr>
                <w:b/>
                <w:color w:val="FFFFFF"/>
                <w:sz w:val="16"/>
              </w:rPr>
              <w:t>Priority</w:t>
            </w:r>
          </w:p>
        </w:tc>
        <w:tc>
          <w:tcPr>
            <w:tcW w:type="dxa" w:w="3240"/>
            <w:shd w:fill="16243B"/>
            <w:tcMar>
              <w:top w:w="95" w:type="dxa"/>
              <w:start w:w="90" w:type="dxa"/>
              <w:bottom w:w="95" w:type="dxa"/>
              <w:end w:w="90" w:type="dxa"/>
            </w:tcMar>
            <w:vAlign w:val="center"/>
          </w:tcPr>
          <w:p>
            <w:r>
              <w:rPr>
                <w:b/>
                <w:color w:val="FFFFFF"/>
                <w:sz w:val="16"/>
              </w:rPr>
              <w:t>Finding</w:t>
            </w:r>
          </w:p>
        </w:tc>
        <w:tc>
          <w:tcPr>
            <w:tcW w:type="dxa" w:w="5040"/>
            <w:shd w:fill="16243B"/>
            <w:tcMar>
              <w:top w:w="95" w:type="dxa"/>
              <w:start w:w="90" w:type="dxa"/>
              <w:bottom w:w="95" w:type="dxa"/>
              <w:end w:w="90" w:type="dxa"/>
            </w:tcMar>
            <w:vAlign w:val="center"/>
          </w:tcPr>
          <w:p>
            <w:r>
              <w:rPr>
                <w:b/>
                <w:color w:val="FFFFFF"/>
                <w:sz w:val="16"/>
              </w:rPr>
              <w:t>Root consequence</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GAP-001</w:t>
            </w:r>
          </w:p>
        </w:tc>
        <w:tc>
          <w:tcPr>
            <w:tcW w:type="dxa" w:w="1008"/>
            <w:vAlign w:val="top"/>
            <w:tcMar>
              <w:top w:w="95" w:type="dxa"/>
              <w:start w:w="90" w:type="dxa"/>
              <w:bottom w:w="95" w:type="dxa"/>
              <w:end w:w="90" w:type="dxa"/>
            </w:tcMar>
          </w:tcPr>
          <w:p>
            <w:pPr>
              <w:spacing w:after="40"/>
            </w:pPr>
            <w:r>
              <w:rPr>
                <w:rFonts w:ascii="Aptos" w:hAnsi="Aptos"/>
                <w:sz w:val="16"/>
              </w:rPr>
              <w:t>P1</w:t>
            </w:r>
          </w:p>
        </w:tc>
        <w:tc>
          <w:tcPr>
            <w:tcW w:type="dxa" w:w="3240"/>
            <w:vAlign w:val="top"/>
            <w:tcMar>
              <w:top w:w="95" w:type="dxa"/>
              <w:start w:w="90" w:type="dxa"/>
              <w:bottom w:w="95" w:type="dxa"/>
              <w:end w:w="90" w:type="dxa"/>
            </w:tcMar>
          </w:tcPr>
          <w:p>
            <w:pPr>
              <w:spacing w:after="40"/>
            </w:pPr>
            <w:r>
              <w:rPr>
                <w:rFonts w:ascii="Aptos" w:hAnsi="Aptos"/>
                <w:sz w:val="16"/>
              </w:rPr>
              <w:t>Variant applicability and controlled specification selection</w:t>
            </w:r>
          </w:p>
        </w:tc>
        <w:tc>
          <w:tcPr>
            <w:tcW w:type="dxa" w:w="5040"/>
            <w:vAlign w:val="top"/>
            <w:tcMar>
              <w:top w:w="95" w:type="dxa"/>
              <w:start w:w="90" w:type="dxa"/>
              <w:bottom w:w="95" w:type="dxa"/>
              <w:end w:w="90" w:type="dxa"/>
            </w:tcMar>
          </w:tcPr>
          <w:p>
            <w:pPr>
              <w:spacing w:after="40"/>
            </w:pPr>
            <w:r>
              <w:rPr>
                <w:rFonts w:ascii="Aptos" w:hAnsi="Aptos"/>
                <w:sz w:val="16"/>
              </w:rPr>
              <w:t>The WI is generic for non-sterile temperature probes while the supplied in-process form is for skin probes only; the TF includes skin, rectal, ty…</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GAP-002</w:t>
            </w:r>
          </w:p>
        </w:tc>
        <w:tc>
          <w:tcPr>
            <w:tcW w:type="dxa" w:w="1008"/>
            <w:vAlign w:val="top"/>
            <w:tcMar>
              <w:top w:w="95" w:type="dxa"/>
              <w:start w:w="90" w:type="dxa"/>
              <w:bottom w:w="95" w:type="dxa"/>
              <w:end w:w="90" w:type="dxa"/>
            </w:tcMar>
            <w:shd w:fill="F2F6F9"/>
          </w:tcPr>
          <w:p>
            <w:pPr>
              <w:spacing w:after="40"/>
            </w:pPr>
            <w:r>
              <w:rPr>
                <w:rFonts w:ascii="Aptos" w:hAnsi="Aptos"/>
                <w:sz w:val="16"/>
              </w:rPr>
              <w:t>P1</w:t>
            </w:r>
          </w:p>
        </w:tc>
        <w:tc>
          <w:tcPr>
            <w:tcW w:type="dxa" w:w="3240"/>
            <w:vAlign w:val="top"/>
            <w:tcMar>
              <w:top w:w="95" w:type="dxa"/>
              <w:start w:w="90" w:type="dxa"/>
              <w:bottom w:w="95" w:type="dxa"/>
              <w:end w:w="90" w:type="dxa"/>
            </w:tcMar>
            <w:shd w:fill="F2F6F9"/>
          </w:tcPr>
          <w:p>
            <w:pPr>
              <w:spacing w:after="40"/>
            </w:pPr>
            <w:r>
              <w:rPr>
                <w:rFonts w:ascii="Aptos" w:hAnsi="Aptos"/>
                <w:sz w:val="16"/>
              </w:rPr>
              <w:t>Temperature-reading accuracy lacks a verifiable acceptance rule</w:t>
            </w:r>
          </w:p>
        </w:tc>
        <w:tc>
          <w:tcPr>
            <w:tcW w:type="dxa" w:w="5040"/>
            <w:vAlign w:val="top"/>
            <w:tcMar>
              <w:top w:w="95" w:type="dxa"/>
              <w:start w:w="90" w:type="dxa"/>
              <w:bottom w:w="95" w:type="dxa"/>
              <w:end w:w="90" w:type="dxa"/>
            </w:tcMar>
            <w:shd w:fill="F2F6F9"/>
          </w:tcPr>
          <w:p>
            <w:pPr>
              <w:spacing w:after="40"/>
            </w:pPr>
            <w:r>
              <w:rPr>
                <w:rFonts w:ascii="Aptos" w:hAnsi="Aptos"/>
                <w:sz w:val="16"/>
              </w:rPr>
              <w:t>The WI and form require a working sensor / accurate reading, but neither supplied source defines actual measurement procedure, reference equipmen…</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GAP-003</w:t>
            </w:r>
          </w:p>
        </w:tc>
        <w:tc>
          <w:tcPr>
            <w:tcW w:type="dxa" w:w="1008"/>
            <w:vAlign w:val="top"/>
            <w:tcMar>
              <w:top w:w="95" w:type="dxa"/>
              <w:start w:w="90" w:type="dxa"/>
              <w:bottom w:w="95" w:type="dxa"/>
              <w:end w:w="90" w:type="dxa"/>
            </w:tcMar>
          </w:tcPr>
          <w:p>
            <w:pPr>
              <w:spacing w:after="40"/>
            </w:pPr>
            <w:r>
              <w:rPr>
                <w:rFonts w:ascii="Aptos" w:hAnsi="Aptos"/>
                <w:sz w:val="16"/>
              </w:rPr>
              <w:t>P1</w:t>
            </w:r>
          </w:p>
        </w:tc>
        <w:tc>
          <w:tcPr>
            <w:tcW w:type="dxa" w:w="3240"/>
            <w:vAlign w:val="top"/>
            <w:tcMar>
              <w:top w:w="95" w:type="dxa"/>
              <w:start w:w="90" w:type="dxa"/>
              <w:bottom w:w="95" w:type="dxa"/>
              <w:end w:w="90" w:type="dxa"/>
            </w:tcMar>
          </w:tcPr>
          <w:p>
            <w:pPr>
              <w:spacing w:after="40"/>
            </w:pPr>
            <w:r>
              <w:rPr>
                <w:rFonts w:ascii="Aptos" w:hAnsi="Aptos"/>
                <w:sz w:val="16"/>
              </w:rPr>
              <w:t>Conflicting cable-length specifications across variants</w:t>
            </w:r>
          </w:p>
        </w:tc>
        <w:tc>
          <w:tcPr>
            <w:tcW w:type="dxa" w:w="5040"/>
            <w:vAlign w:val="top"/>
            <w:tcMar>
              <w:top w:w="95" w:type="dxa"/>
              <w:start w:w="90" w:type="dxa"/>
              <w:bottom w:w="95" w:type="dxa"/>
              <w:end w:w="90" w:type="dxa"/>
            </w:tcMar>
          </w:tcPr>
          <w:p>
            <w:pPr>
              <w:spacing w:after="40"/>
            </w:pPr>
            <w:r>
              <w:rPr>
                <w:rFonts w:ascii="Aptos" w:hAnsi="Aptos"/>
                <w:sz w:val="16"/>
              </w:rPr>
              <w:t>TF §7.3 states 150 cm ±1 cm without variant qualification, while TF §4 explicitly specifies rectal variants of at least 1.6 m or 3 m. The in-proc…</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GAP-004</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AQL sample selection and two-hour frequency cannot be independently verified</w:t>
            </w:r>
          </w:p>
        </w:tc>
        <w:tc>
          <w:tcPr>
            <w:tcW w:type="dxa" w:w="5040"/>
            <w:vAlign w:val="top"/>
            <w:tcMar>
              <w:top w:w="95" w:type="dxa"/>
              <w:start w:w="90" w:type="dxa"/>
              <w:bottom w:w="95" w:type="dxa"/>
              <w:end w:w="90" w:type="dxa"/>
            </w:tcMar>
            <w:shd w:fill="F2F6F9"/>
          </w:tcPr>
          <w:p>
            <w:pPr>
              <w:spacing w:after="40"/>
            </w:pPr>
            <w:r>
              <w:rPr>
                <w:rFonts w:ascii="Aptos" w:hAnsi="Aptos"/>
                <w:sz w:val="16"/>
              </w:rPr>
              <w:t>WI refers to AQL for several stages and requires sampling every two hours; it lacks a referenced sampling plan and the in-process form does not s…</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GAP-005</w:t>
            </w:r>
          </w:p>
        </w:tc>
        <w:tc>
          <w:tcPr>
            <w:tcW w:type="dxa" w:w="1008"/>
            <w:vAlign w:val="top"/>
            <w:tcMar>
              <w:top w:w="95" w:type="dxa"/>
              <w:start w:w="90" w:type="dxa"/>
              <w:bottom w:w="95" w:type="dxa"/>
              <w:end w:w="90" w:type="dxa"/>
            </w:tcMar>
          </w:tcPr>
          <w:p>
            <w:pPr>
              <w:spacing w:after="40"/>
            </w:pPr>
            <w:r>
              <w:rPr>
                <w:rFonts w:ascii="Aptos" w:hAnsi="Aptos"/>
                <w:sz w:val="16"/>
              </w:rPr>
              <w:t>P2</w:t>
            </w:r>
          </w:p>
        </w:tc>
        <w:tc>
          <w:tcPr>
            <w:tcW w:type="dxa" w:w="3240"/>
            <w:vAlign w:val="top"/>
            <w:tcMar>
              <w:top w:w="95" w:type="dxa"/>
              <w:start w:w="90" w:type="dxa"/>
              <w:bottom w:w="95" w:type="dxa"/>
              <w:end w:w="90" w:type="dxa"/>
            </w:tcMar>
          </w:tcPr>
          <w:p>
            <w:pPr>
              <w:spacing w:after="40"/>
            </w:pPr>
            <w:r>
              <w:rPr>
                <w:rFonts w:ascii="Aptos" w:hAnsi="Aptos"/>
                <w:sz w:val="16"/>
              </w:rPr>
              <w:t>No per-checkpoint sample identification / measured-result traceability</w:t>
            </w:r>
          </w:p>
        </w:tc>
        <w:tc>
          <w:tcPr>
            <w:tcW w:type="dxa" w:w="5040"/>
            <w:vAlign w:val="top"/>
            <w:tcMar>
              <w:top w:w="95" w:type="dxa"/>
              <w:start w:w="90" w:type="dxa"/>
              <w:bottom w:w="95" w:type="dxa"/>
              <w:end w:w="90" w:type="dxa"/>
            </w:tcMar>
          </w:tcPr>
          <w:p>
            <w:pPr>
              <w:spacing w:after="40"/>
            </w:pPr>
            <w:r>
              <w:rPr>
                <w:rFonts w:ascii="Aptos" w:hAnsi="Aptos"/>
                <w:sz w:val="16"/>
              </w:rPr>
              <w:t>One symbol cell per characteristic and clock slot cannot tie a failed or accepted result to an identifiable sample, observation value, production…</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GAP-006</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Instrument identification and calibration status not sufficiently recorded</w:t>
            </w:r>
          </w:p>
        </w:tc>
        <w:tc>
          <w:tcPr>
            <w:tcW w:type="dxa" w:w="5040"/>
            <w:vAlign w:val="top"/>
            <w:tcMar>
              <w:top w:w="95" w:type="dxa"/>
              <w:start w:w="90" w:type="dxa"/>
              <w:bottom w:w="95" w:type="dxa"/>
              <w:end w:w="90" w:type="dxa"/>
            </w:tcMar>
            <w:shd w:fill="F2F6F9"/>
          </w:tcPr>
          <w:p>
            <w:pPr>
              <w:spacing w:after="40"/>
            </w:pPr>
            <w:r>
              <w:rPr>
                <w:rFonts w:ascii="Aptos" w:hAnsi="Aptos"/>
                <w:sz w:val="16"/>
              </w:rPr>
              <w:t>Form mentions instruments used but does not ensure each measuring instrument, calibration status and test method is associated with the reported …</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GAP-007</w:t>
            </w:r>
          </w:p>
        </w:tc>
        <w:tc>
          <w:tcPr>
            <w:tcW w:type="dxa" w:w="1008"/>
            <w:vAlign w:val="top"/>
            <w:tcMar>
              <w:top w:w="95" w:type="dxa"/>
              <w:start w:w="90" w:type="dxa"/>
              <w:bottom w:w="95" w:type="dxa"/>
              <w:end w:w="90" w:type="dxa"/>
            </w:tcMar>
          </w:tcPr>
          <w:p>
            <w:pPr>
              <w:spacing w:after="40"/>
            </w:pPr>
            <w:r>
              <w:rPr>
                <w:rFonts w:ascii="Aptos" w:hAnsi="Aptos"/>
                <w:sz w:val="16"/>
              </w:rPr>
              <w:t>P2</w:t>
            </w:r>
          </w:p>
        </w:tc>
        <w:tc>
          <w:tcPr>
            <w:tcW w:type="dxa" w:w="3240"/>
            <w:vAlign w:val="top"/>
            <w:tcMar>
              <w:top w:w="95" w:type="dxa"/>
              <w:start w:w="90" w:type="dxa"/>
              <w:bottom w:w="95" w:type="dxa"/>
              <w:end w:w="90" w:type="dxa"/>
            </w:tcMar>
          </w:tcPr>
          <w:p>
            <w:pPr>
              <w:spacing w:after="40"/>
            </w:pPr>
            <w:r>
              <w:rPr>
                <w:rFonts w:ascii="Aptos" w:hAnsi="Aptos"/>
                <w:sz w:val="16"/>
              </w:rPr>
              <w:t>Two-pin connector description may not cover all variants</w:t>
            </w:r>
          </w:p>
        </w:tc>
        <w:tc>
          <w:tcPr>
            <w:tcW w:type="dxa" w:w="5040"/>
            <w:vAlign w:val="top"/>
            <w:tcMar>
              <w:top w:w="95" w:type="dxa"/>
              <w:start w:w="90" w:type="dxa"/>
              <w:bottom w:w="95" w:type="dxa"/>
              <w:end w:w="90" w:type="dxa"/>
            </w:tcMar>
          </w:tcPr>
          <w:p>
            <w:pPr>
              <w:spacing w:after="40"/>
            </w:pPr>
            <w:r>
              <w:rPr>
                <w:rFonts w:ascii="Aptos" w:hAnsi="Aptos"/>
                <w:sz w:val="16"/>
              </w:rPr>
              <w:t>WI requires a two-pin connector and yellow wire without proof that those properties apply to every variant in the broad TF portfolio.</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GAP-008</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Attachment quality described qualitatively without a method/criterion</w:t>
            </w:r>
          </w:p>
        </w:tc>
        <w:tc>
          <w:tcPr>
            <w:tcW w:type="dxa" w:w="5040"/>
            <w:vAlign w:val="top"/>
            <w:tcMar>
              <w:top w:w="95" w:type="dxa"/>
              <w:start w:w="90" w:type="dxa"/>
              <w:bottom w:w="95" w:type="dxa"/>
              <w:end w:w="90" w:type="dxa"/>
            </w:tcMar>
            <w:shd w:fill="F2F6F9"/>
          </w:tcPr>
          <w:p>
            <w:pPr>
              <w:spacing w:after="40"/>
            </w:pPr>
            <w:r>
              <w:rPr>
                <w:rFonts w:ascii="Aptos" w:hAnsi="Aptos"/>
                <w:sz w:val="16"/>
              </w:rPr>
              <w:t>“Strong attachment” and “properly fix” do not determine how cable, pin and sensor joint integrity is assessed, or whether a separate validated ve…</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GAP-009</w:t>
            </w:r>
          </w:p>
        </w:tc>
        <w:tc>
          <w:tcPr>
            <w:tcW w:type="dxa" w:w="1008"/>
            <w:vAlign w:val="top"/>
            <w:tcMar>
              <w:top w:w="95" w:type="dxa"/>
              <w:start w:w="90" w:type="dxa"/>
              <w:bottom w:w="95" w:type="dxa"/>
              <w:end w:w="90" w:type="dxa"/>
            </w:tcMar>
          </w:tcPr>
          <w:p>
            <w:pPr>
              <w:spacing w:after="40"/>
            </w:pPr>
            <w:r>
              <w:rPr>
                <w:rFonts w:ascii="Aptos" w:hAnsi="Aptos"/>
                <w:sz w:val="16"/>
              </w:rPr>
              <w:t>P2</w:t>
            </w:r>
          </w:p>
        </w:tc>
        <w:tc>
          <w:tcPr>
            <w:tcW w:type="dxa" w:w="3240"/>
            <w:vAlign w:val="top"/>
            <w:tcMar>
              <w:top w:w="95" w:type="dxa"/>
              <w:start w:w="90" w:type="dxa"/>
              <w:bottom w:w="95" w:type="dxa"/>
              <w:end w:w="90" w:type="dxa"/>
            </w:tcMar>
          </w:tcPr>
          <w:p>
            <w:pPr>
              <w:spacing w:after="40"/>
            </w:pPr>
            <w:r>
              <w:rPr>
                <w:rFonts w:ascii="Aptos" w:hAnsi="Aptos"/>
                <w:sz w:val="16"/>
              </w:rPr>
              <w:t>Incoming material and supplier documentation are not linked to the in-process lot</w:t>
            </w:r>
          </w:p>
        </w:tc>
        <w:tc>
          <w:tcPr>
            <w:tcW w:type="dxa" w:w="5040"/>
            <w:vAlign w:val="top"/>
            <w:tcMar>
              <w:top w:w="95" w:type="dxa"/>
              <w:start w:w="90" w:type="dxa"/>
              <w:bottom w:w="95" w:type="dxa"/>
              <w:end w:w="90" w:type="dxa"/>
            </w:tcMar>
          </w:tcPr>
          <w:p>
            <w:pPr>
              <w:spacing w:after="40"/>
            </w:pPr>
            <w:r>
              <w:rPr>
                <w:rFonts w:ascii="Aptos" w:hAnsi="Aptos"/>
                <w:sz w:val="16"/>
              </w:rPr>
              <w:t>WI requires PO conformance, COA and receiving checks, but no verified record supplied ties those incoming approvals to a specific finished/in-pro…</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GAP-010</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Packaging and labeling control route not traceably connected to the skin in-process record</w:t>
            </w:r>
          </w:p>
        </w:tc>
        <w:tc>
          <w:tcPr>
            <w:tcW w:type="dxa" w:w="5040"/>
            <w:vAlign w:val="top"/>
            <w:tcMar>
              <w:top w:w="95" w:type="dxa"/>
              <w:start w:w="90" w:type="dxa"/>
              <w:bottom w:w="95" w:type="dxa"/>
              <w:end w:w="90" w:type="dxa"/>
            </w:tcMar>
            <w:shd w:fill="F2F6F9"/>
          </w:tcPr>
          <w:p>
            <w:pPr>
              <w:spacing w:after="40"/>
            </w:pPr>
            <w:r>
              <w:rPr>
                <w:rFonts w:ascii="Aptos" w:hAnsi="Aptos"/>
                <w:sz w:val="16"/>
              </w:rPr>
              <w:t>TF specifies pouch, label fields and quantities while the supplied skin form is assembly-focused. WI references separate packaging and final reco…</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GAP-011</w:t>
            </w:r>
          </w:p>
        </w:tc>
        <w:tc>
          <w:tcPr>
            <w:tcW w:type="dxa" w:w="1008"/>
            <w:vAlign w:val="top"/>
            <w:tcMar>
              <w:top w:w="95" w:type="dxa"/>
              <w:start w:w="90" w:type="dxa"/>
              <w:bottom w:w="95" w:type="dxa"/>
              <w:end w:w="90" w:type="dxa"/>
            </w:tcMar>
          </w:tcPr>
          <w:p>
            <w:pPr>
              <w:spacing w:after="40"/>
            </w:pPr>
            <w:r>
              <w:rPr>
                <w:rFonts w:ascii="Aptos" w:hAnsi="Aptos"/>
                <w:sz w:val="16"/>
              </w:rPr>
              <w:t>P1</w:t>
            </w:r>
          </w:p>
        </w:tc>
        <w:tc>
          <w:tcPr>
            <w:tcW w:type="dxa" w:w="3240"/>
            <w:vAlign w:val="top"/>
            <w:tcMar>
              <w:top w:w="95" w:type="dxa"/>
              <w:start w:w="90" w:type="dxa"/>
              <w:bottom w:w="95" w:type="dxa"/>
              <w:end w:w="90" w:type="dxa"/>
            </w:tcMar>
          </w:tcPr>
          <w:p>
            <w:pPr>
              <w:spacing w:after="40"/>
            </w:pPr>
            <w:r>
              <w:rPr>
                <w:rFonts w:ascii="Aptos" w:hAnsi="Aptos"/>
                <w:sz w:val="16"/>
              </w:rPr>
              <w:t>Nonconforming in-process output lacks an explicit containment and recheck path</w:t>
            </w:r>
          </w:p>
        </w:tc>
        <w:tc>
          <w:tcPr>
            <w:tcW w:type="dxa" w:w="5040"/>
            <w:vAlign w:val="top"/>
            <w:tcMar>
              <w:top w:w="95" w:type="dxa"/>
              <w:start w:w="90" w:type="dxa"/>
              <w:bottom w:w="95" w:type="dxa"/>
              <w:end w:w="90" w:type="dxa"/>
            </w:tcMar>
          </w:tcPr>
          <w:p>
            <w:pPr>
              <w:spacing w:after="40"/>
            </w:pPr>
            <w:r>
              <w:rPr>
                <w:rFonts w:ascii="Aptos" w:hAnsi="Aptos"/>
                <w:sz w:val="16"/>
              </w:rPr>
              <w:t>The reviewed WI covers checking and approval but does not specify stop/segregate, interval containment, escalation, retest permission or final di…</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GAP-012</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Current controlled-form references and approval roles require reconciliation</w:t>
            </w:r>
          </w:p>
        </w:tc>
        <w:tc>
          <w:tcPr>
            <w:tcW w:type="dxa" w:w="5040"/>
            <w:vAlign w:val="top"/>
            <w:tcMar>
              <w:top w:w="95" w:type="dxa"/>
              <w:start w:w="90" w:type="dxa"/>
              <w:bottom w:w="95" w:type="dxa"/>
              <w:end w:w="90" w:type="dxa"/>
            </w:tcMar>
            <w:shd w:fill="F2F6F9"/>
          </w:tcPr>
          <w:p>
            <w:pPr>
              <w:spacing w:after="40"/>
            </w:pPr>
            <w:r>
              <w:rPr>
                <w:rFonts w:ascii="Aptos" w:hAnsi="Aptos"/>
                <w:sz w:val="16"/>
              </w:rPr>
              <w:t>WI §10 lists F-823-T90, F-823-i4 and F-823-F247 but not the supplied F-823-i128; the form cites TF-M21-PDBM, which is not provided. Approval role…</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GAP-013</w:t>
            </w:r>
          </w:p>
        </w:tc>
        <w:tc>
          <w:tcPr>
            <w:tcW w:type="dxa" w:w="1008"/>
            <w:vAlign w:val="top"/>
            <w:tcMar>
              <w:top w:w="95" w:type="dxa"/>
              <w:start w:w="90" w:type="dxa"/>
              <w:bottom w:w="95" w:type="dxa"/>
              <w:end w:w="90" w:type="dxa"/>
            </w:tcMar>
          </w:tcPr>
          <w:p>
            <w:pPr>
              <w:spacing w:after="40"/>
            </w:pPr>
            <w:r>
              <w:rPr>
                <w:rFonts w:ascii="Aptos" w:hAnsi="Aptos"/>
                <w:sz w:val="16"/>
              </w:rPr>
              <w:t>P2</w:t>
            </w:r>
          </w:p>
        </w:tc>
        <w:tc>
          <w:tcPr>
            <w:tcW w:type="dxa" w:w="3240"/>
            <w:vAlign w:val="top"/>
            <w:tcMar>
              <w:top w:w="95" w:type="dxa"/>
              <w:start w:w="90" w:type="dxa"/>
              <w:bottom w:w="95" w:type="dxa"/>
              <w:end w:w="90" w:type="dxa"/>
            </w:tcMar>
          </w:tcPr>
          <w:p>
            <w:pPr>
              <w:spacing w:after="40"/>
            </w:pPr>
            <w:r>
              <w:rPr>
                <w:rFonts w:ascii="Aptos" w:hAnsi="Aptos"/>
                <w:sz w:val="16"/>
              </w:rPr>
              <w:t>Form tab/header revision conflict</w:t>
            </w:r>
          </w:p>
        </w:tc>
        <w:tc>
          <w:tcPr>
            <w:tcW w:type="dxa" w:w="5040"/>
            <w:vAlign w:val="top"/>
            <w:tcMar>
              <w:top w:w="95" w:type="dxa"/>
              <w:start w:w="90" w:type="dxa"/>
              <w:bottom w:w="95" w:type="dxa"/>
              <w:end w:w="90" w:type="dxa"/>
            </w:tcMar>
          </w:tcPr>
          <w:p>
            <w:pPr>
              <w:spacing w:after="40"/>
            </w:pPr>
            <w:r>
              <w:rPr>
                <w:rFonts w:ascii="Aptos" w:hAnsi="Aptos"/>
                <w:sz w:val="16"/>
              </w:rPr>
              <w:t>Excel tab reads F-823-i128 (Rev.1) while the form header claims Revision 2 dated 14-Dec-2025, creating uncertainty on current controlled template…</w:t>
            </w:r>
          </w:p>
        </w:tc>
      </w:tr>
      <w:tr>
        <w:trPr>
          <w:cantSplit/>
        </w:trPr>
        <w:tc>
          <w:tcPr>
            <w:tcW w:type="dxa" w:w="1224"/>
            <w:vAlign w:val="top"/>
            <w:tcMar>
              <w:top w:w="95" w:type="dxa"/>
              <w:start w:w="90" w:type="dxa"/>
              <w:bottom w:w="95" w:type="dxa"/>
              <w:end w:w="90" w:type="dxa"/>
            </w:tcMar>
            <w:shd w:fill="F2F6F9"/>
          </w:tcPr>
          <w:p>
            <w:pPr>
              <w:spacing w:after="40"/>
            </w:pPr>
            <w:r>
              <w:rPr>
                <w:rFonts w:ascii="Aptos" w:hAnsi="Aptos"/>
                <w:sz w:val="16"/>
              </w:rPr>
              <w:t>GAP-014</w:t>
            </w:r>
          </w:p>
        </w:tc>
        <w:tc>
          <w:tcPr>
            <w:tcW w:type="dxa" w:w="1008"/>
            <w:vAlign w:val="top"/>
            <w:tcMar>
              <w:top w:w="95" w:type="dxa"/>
              <w:start w:w="90" w:type="dxa"/>
              <w:bottom w:w="95" w:type="dxa"/>
              <w:end w:w="90" w:type="dxa"/>
            </w:tcMar>
            <w:shd w:fill="F2F6F9"/>
          </w:tcPr>
          <w:p>
            <w:pPr>
              <w:spacing w:after="40"/>
            </w:pPr>
            <w:r>
              <w:rPr>
                <w:rFonts w:ascii="Aptos" w:hAnsi="Aptos"/>
                <w:sz w:val="16"/>
              </w:rPr>
              <w:t>P2</w:t>
            </w:r>
          </w:p>
        </w:tc>
        <w:tc>
          <w:tcPr>
            <w:tcW w:type="dxa" w:w="3240"/>
            <w:vAlign w:val="top"/>
            <w:tcMar>
              <w:top w:w="95" w:type="dxa"/>
              <w:start w:w="90" w:type="dxa"/>
              <w:bottom w:w="95" w:type="dxa"/>
              <w:end w:w="90" w:type="dxa"/>
            </w:tcMar>
            <w:shd w:fill="F2F6F9"/>
          </w:tcPr>
          <w:p>
            <w:pPr>
              <w:spacing w:after="40"/>
            </w:pPr>
            <w:r>
              <w:rPr>
                <w:rFonts w:ascii="Aptos" w:hAnsi="Aptos"/>
                <w:sz w:val="16"/>
              </w:rPr>
              <w:t>Product-material/appearance criteria are not linked to controlled inspection standards</w:t>
            </w:r>
          </w:p>
        </w:tc>
        <w:tc>
          <w:tcPr>
            <w:tcW w:type="dxa" w:w="5040"/>
            <w:vAlign w:val="top"/>
            <w:tcMar>
              <w:top w:w="95" w:type="dxa"/>
              <w:start w:w="90" w:type="dxa"/>
              <w:bottom w:w="95" w:type="dxa"/>
              <w:end w:w="90" w:type="dxa"/>
            </w:tcMar>
            <w:shd w:fill="F2F6F9"/>
          </w:tcPr>
          <w:p>
            <w:pPr>
              <w:spacing w:after="40"/>
            </w:pPr>
            <w:r>
              <w:rPr>
                <w:rFonts w:ascii="Aptos" w:hAnsi="Aptos"/>
                <w:sz w:val="16"/>
              </w:rPr>
              <w:t>TF lists stainless-steel sensor, copper/PVC jacket, PP connector and copper pins and contains visual defect descriptions, but the in-process form…</w:t>
            </w:r>
          </w:p>
        </w:tc>
      </w:tr>
      <w:tr>
        <w:trPr>
          <w:cantSplit/>
        </w:trPr>
        <w:tc>
          <w:tcPr>
            <w:tcW w:type="dxa" w:w="1224"/>
            <w:vAlign w:val="top"/>
            <w:tcMar>
              <w:top w:w="95" w:type="dxa"/>
              <w:start w:w="90" w:type="dxa"/>
              <w:bottom w:w="95" w:type="dxa"/>
              <w:end w:w="90" w:type="dxa"/>
            </w:tcMar>
          </w:tcPr>
          <w:p>
            <w:pPr>
              <w:spacing w:after="40"/>
            </w:pPr>
            <w:r>
              <w:rPr>
                <w:rFonts w:ascii="Aptos" w:hAnsi="Aptos"/>
                <w:sz w:val="16"/>
              </w:rPr>
              <w:t>GAP-015</w:t>
            </w:r>
          </w:p>
        </w:tc>
        <w:tc>
          <w:tcPr>
            <w:tcW w:type="dxa" w:w="1008"/>
            <w:vAlign w:val="top"/>
            <w:tcMar>
              <w:top w:w="95" w:type="dxa"/>
              <w:start w:w="90" w:type="dxa"/>
              <w:bottom w:w="95" w:type="dxa"/>
              <w:end w:w="90" w:type="dxa"/>
            </w:tcMar>
          </w:tcPr>
          <w:p>
            <w:pPr>
              <w:spacing w:after="40"/>
            </w:pPr>
            <w:r>
              <w:rPr>
                <w:rFonts w:ascii="Aptos" w:hAnsi="Aptos"/>
                <w:sz w:val="16"/>
              </w:rPr>
              <w:t>P2</w:t>
            </w:r>
          </w:p>
        </w:tc>
        <w:tc>
          <w:tcPr>
            <w:tcW w:type="dxa" w:w="3240"/>
            <w:vAlign w:val="top"/>
            <w:tcMar>
              <w:top w:w="95" w:type="dxa"/>
              <w:start w:w="90" w:type="dxa"/>
              <w:bottom w:w="95" w:type="dxa"/>
              <w:end w:w="90" w:type="dxa"/>
            </w:tcMar>
          </w:tcPr>
          <w:p>
            <w:pPr>
              <w:spacing w:after="40"/>
            </w:pPr>
            <w:r>
              <w:rPr>
                <w:rFonts w:ascii="Aptos" w:hAnsi="Aptos"/>
                <w:sz w:val="16"/>
              </w:rPr>
              <w:t>Expiry claim and storage/packaging specifications require release-record linkage</w:t>
            </w:r>
          </w:p>
        </w:tc>
        <w:tc>
          <w:tcPr>
            <w:tcW w:type="dxa" w:w="5040"/>
            <w:vAlign w:val="top"/>
            <w:tcMar>
              <w:top w:w="95" w:type="dxa"/>
              <w:start w:w="90" w:type="dxa"/>
              <w:bottom w:w="95" w:type="dxa"/>
              <w:end w:w="90" w:type="dxa"/>
            </w:tcMar>
          </w:tcPr>
          <w:p>
            <w:pPr>
              <w:spacing w:after="40"/>
            </w:pPr>
            <w:r>
              <w:rPr>
                <w:rFonts w:ascii="Aptos" w:hAnsi="Aptos"/>
                <w:sz w:val="16"/>
              </w:rPr>
              <w:t>TF defines a three-year expiry claim and storage/carton conditions; the skin in-process form is not intended to verify shelf-life substantiation …</w:t>
            </w:r>
          </w:p>
        </w:tc>
      </w:tr>
    </w:tbl>
    <w:p>
      <w:pPr>
        <w:spacing w:after="0"/>
      </w:pPr>
    </w:p>
    <w:p>
      <w:pPr>
        <w:sectPr>
          <w:headerReference w:type="default" r:id="rId9"/>
          <w:footerReference w:type="default" r:id="rId10"/>
          <w:pgSz w:w="11906" w:h="16838"/>
          <w:pgMar w:top="1080" w:right="1008" w:bottom="936" w:left="1008" w:header="518" w:footer="518" w:gutter="0"/>
          <w:cols w:space="720"/>
          <w:docGrid w:linePitch="360"/>
        </w:sectPr>
      </w:pPr>
    </w:p>
    <w:p>
      <w:pPr>
        <w:pStyle w:val="Heading1"/>
      </w:pPr>
      <w:r>
        <w:t>5. MASTER GAP &amp; REVISION TABLE — authoritative technical comparison</w:t>
      </w:r>
    </w:p>
    <w:p>
      <w:pPr/>
      <w:r>
        <w:t>Read every column together. Headers retain the requested seven-column nomenclature; “Inspection” refers here ONLY to the supplied F-823-i128 In-Process Control record. No ISO clause is asserted without the full primary standard. “ISO Says” explicitly separates unverified ISO from verified internal requirements.</w:t>
      </w:r>
    </w:p>
    <w:tbl>
      <w:tblPr>
        <w:tblStyle w:val="TableGrid"/>
        <w:tblW w:type="auto" w:w="0"/>
        <w:jc w:val="center"/>
        <w:tblLayout w:type="fixed"/>
        <w:tblLook w:firstColumn="1" w:firstRow="1" w:lastColumn="0" w:lastRow="0" w:noHBand="0" w:noVBand="1" w:val="04A0"/>
      </w:tblPr>
      <w:tblGrid>
        <w:gridCol w:w="2851"/>
        <w:gridCol w:w="2851"/>
        <w:gridCol w:w="2923"/>
        <w:gridCol w:w="3989"/>
        <w:gridCol w:w="2909"/>
        <w:gridCol w:w="3874"/>
        <w:gridCol w:w="3830"/>
      </w:tblGrid>
      <w:tr>
        <w:trPr>
          <w:tblHeader w:val="true"/>
          <w:cantSplit/>
        </w:trPr>
        <w:tc>
          <w:tcPr>
            <w:tcW w:type="dxa" w:w="2851"/>
            <w:shd w:fill="16243B"/>
            <w:tcMar>
              <w:top w:w="95" w:type="dxa"/>
              <w:start w:w="90" w:type="dxa"/>
              <w:bottom w:w="95" w:type="dxa"/>
              <w:end w:w="90" w:type="dxa"/>
            </w:tcMar>
            <w:vAlign w:val="center"/>
          </w:tcPr>
          <w:p>
            <w:r>
              <w:rPr>
                <w:b/>
                <w:color w:val="FFFFFF"/>
                <w:sz w:val="16"/>
              </w:rPr>
              <w:t>Gap / Our Problem</w:t>
            </w:r>
          </w:p>
        </w:tc>
        <w:tc>
          <w:tcPr>
            <w:tcW w:type="dxa" w:w="2851"/>
            <w:shd w:fill="16243B"/>
            <w:tcMar>
              <w:top w:w="95" w:type="dxa"/>
              <w:start w:w="90" w:type="dxa"/>
              <w:bottom w:w="95" w:type="dxa"/>
              <w:end w:w="90" w:type="dxa"/>
            </w:tcMar>
            <w:vAlign w:val="center"/>
          </w:tcPr>
          <w:p>
            <w:r>
              <w:rPr>
                <w:b/>
                <w:color w:val="FFFFFF"/>
                <w:sz w:val="16"/>
              </w:rPr>
              <w:t>ISO Says</w:t>
            </w:r>
          </w:p>
        </w:tc>
        <w:tc>
          <w:tcPr>
            <w:tcW w:type="dxa" w:w="2923"/>
            <w:shd w:fill="16243B"/>
            <w:tcMar>
              <w:top w:w="95" w:type="dxa"/>
              <w:start w:w="90" w:type="dxa"/>
              <w:bottom w:w="95" w:type="dxa"/>
              <w:end w:w="90" w:type="dxa"/>
            </w:tcMar>
            <w:vAlign w:val="center"/>
          </w:tcPr>
          <w:p>
            <w:r>
              <w:rPr>
                <w:b/>
                <w:color w:val="FFFFFF"/>
                <w:sz w:val="16"/>
              </w:rPr>
              <w:t>Existing WI Text</w:t>
            </w:r>
          </w:p>
        </w:tc>
        <w:tc>
          <w:tcPr>
            <w:tcW w:type="dxa" w:w="3989"/>
            <w:shd w:fill="16243B"/>
            <w:tcMar>
              <w:top w:w="95" w:type="dxa"/>
              <w:start w:w="90" w:type="dxa"/>
              <w:bottom w:w="95" w:type="dxa"/>
              <w:end w:w="90" w:type="dxa"/>
            </w:tcMar>
            <w:vAlign w:val="center"/>
          </w:tcPr>
          <w:p>
            <w:r>
              <w:rPr>
                <w:b/>
                <w:color w:val="FFFFFF"/>
                <w:sz w:val="16"/>
              </w:rPr>
              <w:t>Revised WI Text</w:t>
            </w:r>
          </w:p>
        </w:tc>
        <w:tc>
          <w:tcPr>
            <w:tcW w:type="dxa" w:w="2909"/>
            <w:shd w:fill="16243B"/>
            <w:tcMar>
              <w:top w:w="95" w:type="dxa"/>
              <w:start w:w="90" w:type="dxa"/>
              <w:bottom w:w="95" w:type="dxa"/>
              <w:end w:w="90" w:type="dxa"/>
            </w:tcMar>
            <w:vAlign w:val="center"/>
          </w:tcPr>
          <w:p>
            <w:r>
              <w:rPr>
                <w:b/>
                <w:color w:val="FFFFFF"/>
                <w:sz w:val="16"/>
              </w:rPr>
              <w:t>Existing Inspection Text</w:t>
            </w:r>
          </w:p>
        </w:tc>
        <w:tc>
          <w:tcPr>
            <w:tcW w:type="dxa" w:w="3874"/>
            <w:shd w:fill="16243B"/>
            <w:tcMar>
              <w:top w:w="95" w:type="dxa"/>
              <w:start w:w="90" w:type="dxa"/>
              <w:bottom w:w="95" w:type="dxa"/>
              <w:end w:w="90" w:type="dxa"/>
            </w:tcMar>
            <w:vAlign w:val="center"/>
          </w:tcPr>
          <w:p>
            <w:r>
              <w:rPr>
                <w:b/>
                <w:color w:val="FFFFFF"/>
                <w:sz w:val="16"/>
              </w:rPr>
              <w:t>Revised Inspection Text</w:t>
            </w:r>
          </w:p>
        </w:tc>
        <w:tc>
          <w:tcPr>
            <w:tcW w:type="dxa" w:w="3830"/>
            <w:shd w:fill="16243B"/>
            <w:tcMar>
              <w:top w:w="95" w:type="dxa"/>
              <w:start w:w="90" w:type="dxa"/>
              <w:bottom w:w="95" w:type="dxa"/>
              <w:end w:w="90" w:type="dxa"/>
            </w:tcMar>
            <w:vAlign w:val="center"/>
          </w:tcPr>
          <w:p>
            <w:r>
              <w:rPr>
                <w:b/>
                <w:color w:val="FFFFFF"/>
                <w:sz w:val="16"/>
              </w:rPr>
              <w:t>Evidence (ISO Closure)</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GAP-001 | P1 — Variant applicability and controlled specification selection</w:t>
              <w:br/>
              <w:br/>
              <w:t>The WI is generic for non-sterile temperature probes while the supplied in-process form is for skin probes only; the TF includes skin, rectal, tympanic and other products with different stated configurations. Applying one check set to all variants risks accepting the wrong build.</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TF-M21-PS pp.1–2, §4 lists different codes/configurations; form header r.4 specifies Skin; WI p.1 §§1–2 is generic.</w:t>
            </w:r>
          </w:p>
        </w:tc>
        <w:tc>
          <w:tcPr>
            <w:tcW w:type="dxa" w:w="2923"/>
            <w:vAlign w:val="top"/>
            <w:tcMar>
              <w:top w:w="95" w:type="dxa"/>
              <w:start w:w="90" w:type="dxa"/>
              <w:bottom w:w="95" w:type="dxa"/>
              <w:end w:w="90" w:type="dxa"/>
            </w:tcMar>
          </w:tcPr>
          <w:p>
            <w:pPr>
              <w:spacing w:after="40"/>
            </w:pPr>
            <w:r>
              <w:rPr>
                <w:rFonts w:ascii="Aptos" w:hAnsi="Aptos"/>
                <w:sz w:val="16"/>
              </w:rPr>
              <w:t>WI p.1 §§1–2: applies to non-sterile Temperature probes manufactured by Saudi Mais; WI p.2 §6 refers all dimensions to TF-M21-PS.</w:t>
            </w:r>
          </w:p>
        </w:tc>
        <w:tc>
          <w:tcPr>
            <w:tcW w:type="dxa" w:w="3989"/>
            <w:vAlign w:val="top"/>
            <w:tcMar>
              <w:top w:w="95" w:type="dxa"/>
              <w:start w:w="90" w:type="dxa"/>
              <w:bottom w:w="95" w:type="dxa"/>
              <w:end w:w="90" w:type="dxa"/>
            </w:tcMar>
          </w:tcPr>
          <w:p>
            <w:pPr>
              <w:spacing w:after="40"/>
            </w:pPr>
            <w:r>
              <w:rPr>
                <w:rFonts w:ascii="Aptos" w:hAnsi="Aptos"/>
                <w:sz w:val="16"/>
              </w:rPr>
              <w:t>Proposed WI §2 / §6.1: Before in-process control, identify the exact product code, intended probe location, compatible equipment, drawing revision, cable-length variant and approved specification. Use F-823-i128 only for product codes formally mapped to the Skin Temperature Probe control plan. For any other variant, use its approved variant-specific record and acceptance criteria. Where mapping is unavailable, hold the affected applicability decision as OPEN TECHNICAL INPUT REQUIRED; do not extrapolate skin-probe limits.</w:t>
            </w:r>
          </w:p>
        </w:tc>
        <w:tc>
          <w:tcPr>
            <w:tcW w:type="dxa" w:w="2909"/>
            <w:vAlign w:val="top"/>
            <w:tcMar>
              <w:top w:w="95" w:type="dxa"/>
              <w:start w:w="90" w:type="dxa"/>
              <w:bottom w:w="95" w:type="dxa"/>
              <w:end w:w="90" w:type="dxa"/>
            </w:tcMar>
          </w:tcPr>
          <w:p>
            <w:pPr>
              <w:spacing w:after="40"/>
            </w:pPr>
            <w:r>
              <w:rPr>
                <w:rFonts w:ascii="Aptos" w:hAnsi="Aptos"/>
                <w:sz w:val="16"/>
              </w:rPr>
              <w:t>F-823-i128 header r.4: “Inprocess control for Temperature Prob (Skin)”; r.6 Type# blank; no controlled list of included codes.</w:t>
            </w:r>
          </w:p>
        </w:tc>
        <w:tc>
          <w:tcPr>
            <w:tcW w:type="dxa" w:w="3874"/>
            <w:vAlign w:val="top"/>
            <w:tcMar>
              <w:top w:w="95" w:type="dxa"/>
              <w:start w:w="90" w:type="dxa"/>
              <w:bottom w:w="95" w:type="dxa"/>
              <w:end w:w="90" w:type="dxa"/>
            </w:tcMar>
          </w:tcPr>
          <w:p>
            <w:pPr>
              <w:spacing w:after="40"/>
            </w:pPr>
            <w:r>
              <w:rPr>
                <w:rFonts w:ascii="Aptos" w:hAnsi="Aptos"/>
                <w:sz w:val="16"/>
              </w:rPr>
              <w:t>Product Code [ ]; Probe / Variant [ ]; Intended Device/Compatibility [ ]; Approved Drawing/Spec ID &amp; Rev [ ]; Form Applicability [Confirmed / Not Applicable / Pending]; Control Plan Ref [ ]; Result [P/F/Pending].</w:t>
            </w:r>
          </w:p>
        </w:tc>
        <w:tc>
          <w:tcPr>
            <w:tcW w:type="dxa" w:w="3830"/>
            <w:vAlign w:val="top"/>
            <w:tcMar>
              <w:top w:w="95" w:type="dxa"/>
              <w:start w:w="90" w:type="dxa"/>
              <w:bottom w:w="95" w:type="dxa"/>
              <w:end w:w="90" w:type="dxa"/>
            </w:tcMar>
          </w:tcPr>
          <w:p>
            <w:pPr>
              <w:spacing w:after="40"/>
            </w:pPr>
            <w:r>
              <w:rPr>
                <w:rFonts w:ascii="Aptos" w:hAnsi="Aptos"/>
                <w:sz w:val="16"/>
              </w:rPr>
              <w:t>Required: Approved code-to-form applicability matrix; current controlled variant drawings and product specifications; filled production lot form. Verify product code and form scope match before use.</w:t>
              <w:br/>
              <w:t>Route: Document / product mapping</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GAP-002 | P1 — Temperature-reading accuracy lacks a verifiable acceptance rule</w:t>
              <w:br/>
              <w:br/>
              <w:t>The WI and form require a working sensor / accurate reading, but neither supplied source defines actual measurement procedure, reference equipment, measurement points or a numerical allowable error for the applicable variant.</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WI p.1 §5.2.4 and p.2 §7; TF-M21-PS p.3 §§7.2–7.5; F-823-i128 r.15.</w:t>
            </w:r>
          </w:p>
        </w:tc>
        <w:tc>
          <w:tcPr>
            <w:tcW w:type="dxa" w:w="2923"/>
            <w:vAlign w:val="top"/>
            <w:tcMar>
              <w:top w:w="95" w:type="dxa"/>
              <w:start w:w="90" w:type="dxa"/>
              <w:bottom w:w="95" w:type="dxa"/>
              <w:end w:w="90" w:type="dxa"/>
            </w:tcMar>
            <w:shd w:fill="F2F6F9"/>
          </w:tcPr>
          <w:p>
            <w:pPr>
              <w:spacing w:after="40"/>
            </w:pPr>
            <w:r>
              <w:rPr>
                <w:rFonts w:ascii="Aptos" w:hAnsi="Aptos"/>
                <w:sz w:val="16"/>
              </w:rPr>
              <w:t>WI p.1 §5.2.4: sensor should be “in working condition”; p.2 §7: sensors “should be in working condition.”</w:t>
            </w:r>
          </w:p>
        </w:tc>
        <w:tc>
          <w:tcPr>
            <w:tcW w:type="dxa" w:w="3989"/>
            <w:vAlign w:val="top"/>
            <w:tcMar>
              <w:top w:w="95" w:type="dxa"/>
              <w:start w:w="90" w:type="dxa"/>
              <w:bottom w:w="95" w:type="dxa"/>
              <w:end w:w="90" w:type="dxa"/>
            </w:tcMar>
            <w:shd w:fill="F2F6F9"/>
          </w:tcPr>
          <w:p>
            <w:pPr>
              <w:spacing w:after="40"/>
            </w:pPr>
            <w:r>
              <w:rPr>
                <w:rFonts w:ascii="Aptos" w:hAnsi="Aptos"/>
                <w:sz w:val="16"/>
              </w:rPr>
              <w:t>Proposed WI §8.3: Verify probe functional output using the approved, variant-specific work/test method and an appropriate identified reference thermometer/monitor or qualified test apparatus. Record each tested sample, equipment ID, setpoint/reference reading, probe reading, units and calculated deviation where applicable. Accept only against the approved source-derived tolerance and defined configuration; until these criteria and test conditions are approved, identify OPEN TECHNICAL INPUT REQUIRED and do not mark functional accuracy Pass. Refer to the applicable qualification evidence when the routine production check is limited to a validated continuity/function screen.</w:t>
            </w:r>
          </w:p>
        </w:tc>
        <w:tc>
          <w:tcPr>
            <w:tcW w:type="dxa" w:w="2909"/>
            <w:vAlign w:val="top"/>
            <w:tcMar>
              <w:top w:w="95" w:type="dxa"/>
              <w:start w:w="90" w:type="dxa"/>
              <w:bottom w:w="95" w:type="dxa"/>
              <w:end w:w="90" w:type="dxa"/>
            </w:tcMar>
            <w:shd w:fill="F2F6F9"/>
          </w:tcPr>
          <w:p>
            <w:pPr>
              <w:spacing w:after="40"/>
            </w:pPr>
            <w:r>
              <w:rPr>
                <w:rFonts w:ascii="Aptos" w:hAnsi="Aptos"/>
                <w:sz w:val="16"/>
              </w:rPr>
              <w:t>Form r.15 Sensor status: “Working conditon, Accurete reading, Properly fix with wire, No loose”; 12 time cells without numerical result.</w:t>
            </w:r>
          </w:p>
        </w:tc>
        <w:tc>
          <w:tcPr>
            <w:tcW w:type="dxa" w:w="3874"/>
            <w:vAlign w:val="top"/>
            <w:tcMar>
              <w:top w:w="95" w:type="dxa"/>
              <w:start w:w="90" w:type="dxa"/>
              <w:bottom w:w="95" w:type="dxa"/>
              <w:end w:w="90" w:type="dxa"/>
            </w:tcMar>
            <w:shd w:fill="F2F6F9"/>
          </w:tcPr>
          <w:p>
            <w:pPr>
              <w:spacing w:after="40"/>
            </w:pPr>
            <w:r>
              <w:rPr>
                <w:rFonts w:ascii="Aptos" w:hAnsi="Aptos"/>
                <w:sz w:val="16"/>
              </w:rPr>
              <w:t>Functional Control: Method/Rev [ ]; compatible monitor/reference ID [ ]; test condition/setpoint [ ]; reference value [ ]; probe value [ ]; unit [ ]; deviation [ ]; allowed tolerance [OPEN]; sample ID [ ]; actual time [ ]; Pass/Fail/Pending [ ]; evidence link [ ].</w:t>
            </w:r>
          </w:p>
        </w:tc>
        <w:tc>
          <w:tcPr>
            <w:tcW w:type="dxa" w:w="3830"/>
            <w:vAlign w:val="top"/>
            <w:tcMar>
              <w:top w:w="95" w:type="dxa"/>
              <w:start w:w="90" w:type="dxa"/>
              <w:bottom w:w="95" w:type="dxa"/>
              <w:end w:w="90" w:type="dxa"/>
            </w:tcMar>
            <w:shd w:fill="F2F6F9"/>
          </w:tcPr>
          <w:p>
            <w:pPr>
              <w:spacing w:after="40"/>
            </w:pPr>
            <w:r>
              <w:rPr>
                <w:rFonts w:ascii="Aptos" w:hAnsi="Aptos"/>
                <w:sz w:val="16"/>
              </w:rPr>
              <w:t>Required: Approved product-variant accuracy criteria and method; instrument calibration; completed readings/worksheet or validated alternate controlled evidence; disposition of any nonconforming result. Actual ISO technical clause remains unverified.</w:t>
              <w:br/>
              <w:t>Route: Routine screen + qualification as approved</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GAP-003 | P1 — Conflicting cable-length specifications across variants</w:t>
              <w:br/>
              <w:br/>
              <w:t>TF §7.3 states 150 cm ±1 cm without variant qualification, while TF §4 explicitly specifies rectal variants of at least 1.6 m or 3 m. The in-process form leaves the required length blank, making an incorrect limit plausible.</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TF-M21-PS p.3 §7.3 (150 cm ±1 cm); pp.1–2 §4 (TP-RP02 ≥1.6 m, TP-RP03 ≥3 m, TP-RA01 ≥1.6 m, TP-RA02 ≥3 m); F-823-i128 r.14.</w:t>
            </w:r>
          </w:p>
        </w:tc>
        <w:tc>
          <w:tcPr>
            <w:tcW w:type="dxa" w:w="2923"/>
            <w:vAlign w:val="top"/>
            <w:tcMar>
              <w:top w:w="95" w:type="dxa"/>
              <w:start w:w="90" w:type="dxa"/>
              <w:bottom w:w="95" w:type="dxa"/>
              <w:end w:w="90" w:type="dxa"/>
            </w:tcMar>
          </w:tcPr>
          <w:p>
            <w:pPr>
              <w:spacing w:after="40"/>
            </w:pPr>
            <w:r>
              <w:rPr>
                <w:rFonts w:ascii="Aptos" w:hAnsi="Aptos"/>
                <w:sz w:val="16"/>
              </w:rPr>
              <w:t>WI p.1 §5.2.3: wire should be “accurate in length”; p.2 §6 directs dimensions to TF-M21-PS. No variant table or selection rule.</w:t>
            </w:r>
          </w:p>
        </w:tc>
        <w:tc>
          <w:tcPr>
            <w:tcW w:type="dxa" w:w="3989"/>
            <w:vAlign w:val="top"/>
            <w:tcMar>
              <w:top w:w="95" w:type="dxa"/>
              <w:start w:w="90" w:type="dxa"/>
              <w:bottom w:w="95" w:type="dxa"/>
              <w:end w:w="90" w:type="dxa"/>
            </w:tcMar>
          </w:tcPr>
          <w:p>
            <w:pPr>
              <w:spacing w:after="40"/>
            </w:pPr>
            <w:r>
              <w:rPr>
                <w:rFonts w:ascii="Aptos" w:hAnsi="Aptos"/>
                <w:sz w:val="16"/>
              </w:rPr>
              <w:t>Proposed WI §8.2: Determine the cable-length requirement by the exact approved product code and drawing; record the specified nominal length, tolerance, measured length and units for each checked sample. TF-M21-PS §7.3 identifies 150 cm ±1 cm but other configurations listed under §4 state different minimum lengths; therefore obtain and approve the variant-specific precedence/length matrix before release of new controlled instructions. Do not apply the 150 cm ±1 cm rule to all variants.</w:t>
            </w:r>
          </w:p>
        </w:tc>
        <w:tc>
          <w:tcPr>
            <w:tcW w:type="dxa" w:w="2909"/>
            <w:vAlign w:val="top"/>
            <w:tcMar>
              <w:top w:w="95" w:type="dxa"/>
              <w:start w:w="90" w:type="dxa"/>
              <w:bottom w:w="95" w:type="dxa"/>
              <w:end w:w="90" w:type="dxa"/>
            </w:tcMar>
          </w:tcPr>
          <w:p>
            <w:pPr>
              <w:spacing w:after="40"/>
            </w:pPr>
            <w:r>
              <w:rPr>
                <w:rFonts w:ascii="Aptos" w:hAnsi="Aptos"/>
                <w:sz w:val="16"/>
              </w:rPr>
              <w:t>Form r.14: “Length of wire is _______________cm”; no actual result or limit selection.</w:t>
            </w:r>
          </w:p>
        </w:tc>
        <w:tc>
          <w:tcPr>
            <w:tcW w:type="dxa" w:w="3874"/>
            <w:vAlign w:val="top"/>
            <w:tcMar>
              <w:top w:w="95" w:type="dxa"/>
              <w:start w:w="90" w:type="dxa"/>
              <w:bottom w:w="95" w:type="dxa"/>
              <w:end w:w="90" w:type="dxa"/>
            </w:tcMar>
          </w:tcPr>
          <w:p>
            <w:pPr>
              <w:spacing w:after="40"/>
            </w:pPr>
            <w:r>
              <w:rPr>
                <w:rFonts w:ascii="Aptos" w:hAnsi="Aptos"/>
                <w:sz w:val="16"/>
              </w:rPr>
              <w:t>Wire Length: Product code [ ]; selected controlled spec [ ]; required length/tolerance [OPEN until mapped]; actual length (cm) [ ]; measuring equipment ID [ ]; sample ID [ ]; Pass/Fail/Pending [ ]; deviation ref [ ].</w:t>
            </w:r>
          </w:p>
        </w:tc>
        <w:tc>
          <w:tcPr>
            <w:tcW w:type="dxa" w:w="3830"/>
            <w:vAlign w:val="top"/>
            <w:tcMar>
              <w:top w:w="95" w:type="dxa"/>
              <w:start w:w="90" w:type="dxa"/>
              <w:bottom w:w="95" w:type="dxa"/>
              <w:end w:w="90" w:type="dxa"/>
            </w:tcMar>
          </w:tcPr>
          <w:p>
            <w:pPr>
              <w:spacing w:after="40"/>
            </w:pPr>
            <w:r>
              <w:rPr>
                <w:rFonts w:ascii="Aptos" w:hAnsi="Aptos"/>
                <w:sz w:val="16"/>
              </w:rPr>
              <w:t>Required: Approved variant-by-variant dimensions/drawings resolving TF internal conflict; completed numeric measurement records; measuring-device calibration / traceability.</w:t>
              <w:br/>
              <w:t>Route: Routine physical measurement</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GAP-004 | P2 — AQL sample selection and two-hour frequency cannot be independently verified</w:t>
              <w:br/>
              <w:br/>
              <w:t>WI refers to AQL for several stages and requires sampling every two hours; it lacks a referenced sampling plan and the in-process form does not show sample count or sampled population at each check.</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WI p.1 §5.1 and p.2 §§7–9; form r.9–10 (clock slots) and header r.6–7.</w:t>
            </w:r>
          </w:p>
        </w:tc>
        <w:tc>
          <w:tcPr>
            <w:tcW w:type="dxa" w:w="2923"/>
            <w:vAlign w:val="top"/>
            <w:tcMar>
              <w:top w:w="95" w:type="dxa"/>
              <w:start w:w="90" w:type="dxa"/>
              <w:bottom w:w="95" w:type="dxa"/>
              <w:end w:w="90" w:type="dxa"/>
            </w:tcMar>
            <w:shd w:fill="F2F6F9"/>
          </w:tcPr>
          <w:p>
            <w:pPr>
              <w:spacing w:after="40"/>
            </w:pPr>
            <w:r>
              <w:rPr>
                <w:rFonts w:ascii="Aptos" w:hAnsi="Aptos"/>
                <w:sz w:val="16"/>
              </w:rPr>
              <w:t>WI p.1 §5.1: “AQL general inspection method” for visual and “AQL special inspection method” for physical; WI p.2 §§7–8: “Every 2 hours QC will take samples”.</w:t>
            </w:r>
          </w:p>
        </w:tc>
        <w:tc>
          <w:tcPr>
            <w:tcW w:type="dxa" w:w="3989"/>
            <w:vAlign w:val="top"/>
            <w:tcMar>
              <w:top w:w="95" w:type="dxa"/>
              <w:start w:w="90" w:type="dxa"/>
              <w:bottom w:w="95" w:type="dxa"/>
              <w:end w:w="90" w:type="dxa"/>
            </w:tcMar>
            <w:shd w:fill="F2F6F9"/>
          </w:tcPr>
          <w:p>
            <w:pPr>
              <w:spacing w:after="40"/>
            </w:pPr>
            <w:r>
              <w:rPr>
                <w:rFonts w:ascii="Aptos" w:hAnsi="Aptos"/>
                <w:sz w:val="16"/>
              </w:rPr>
              <w:t>Proposed WI §7 / §8.1: Perform in-process control at least at each established two-hour checkpoint specified by the existing WI, subject to approved shift/start-up and interruption rules. Record lot, process quantity, actual checkpoint time, sample quantity, sample identification and approved sampling-plan revision. Apply AQL only where an approved plan defines lot formation, inspection level, AQL, code letter and acceptance/rejection numbers; do not invent those values. If the plan is unavailable, record OPEN TECHNICAL INPUT REQUIRED and escalate before using any unsupported sampling decision.</w:t>
            </w:r>
          </w:p>
        </w:tc>
        <w:tc>
          <w:tcPr>
            <w:tcW w:type="dxa" w:w="2909"/>
            <w:vAlign w:val="top"/>
            <w:tcMar>
              <w:top w:w="95" w:type="dxa"/>
              <w:start w:w="90" w:type="dxa"/>
              <w:bottom w:w="95" w:type="dxa"/>
              <w:end w:w="90" w:type="dxa"/>
            </w:tcMar>
            <w:shd w:fill="F2F6F9"/>
          </w:tcPr>
          <w:p>
            <w:pPr>
              <w:spacing w:after="40"/>
            </w:pPr>
            <w:r>
              <w:rPr>
                <w:rFonts w:ascii="Aptos" w:hAnsi="Aptos"/>
                <w:sz w:val="16"/>
              </w:rPr>
              <w:t>Form r.10 lists 7,9,11,1,3,5 twice; no fields for sample quantity, production quantity, AQL level or Ac/Re.</w:t>
            </w:r>
          </w:p>
        </w:tc>
        <w:tc>
          <w:tcPr>
            <w:tcW w:type="dxa" w:w="3874"/>
            <w:vAlign w:val="top"/>
            <w:tcMar>
              <w:top w:w="95" w:type="dxa"/>
              <w:start w:w="90" w:type="dxa"/>
              <w:bottom w:w="95" w:type="dxa"/>
              <w:end w:w="90" w:type="dxa"/>
            </w:tcMar>
            <w:shd w:fill="F2F6F9"/>
          </w:tcPr>
          <w:p>
            <w:pPr>
              <w:spacing w:after="40"/>
            </w:pPr>
            <w:r>
              <w:rPr>
                <w:rFonts w:ascii="Aptos" w:hAnsi="Aptos"/>
                <w:sz w:val="16"/>
              </w:rPr>
              <w:t>Each checkpoint log: Scheduled time [ ]; Actual time/date [ ]; shift [ ]; population/produced qty [ ]; sampled qty [ ]; sample IDs [ ]; sampling-plan ID/rev [ ]; AQL/level/Ac-Re [if applicable]; Pass/Fail/Pending [ ]; reason for missed check [ ].</w:t>
            </w:r>
          </w:p>
        </w:tc>
        <w:tc>
          <w:tcPr>
            <w:tcW w:type="dxa" w:w="3830"/>
            <w:vAlign w:val="top"/>
            <w:tcMar>
              <w:top w:w="95" w:type="dxa"/>
              <w:start w:w="90" w:type="dxa"/>
              <w:bottom w:w="95" w:type="dxa"/>
              <w:end w:w="90" w:type="dxa"/>
            </w:tcMar>
            <w:shd w:fill="F2F6F9"/>
          </w:tcPr>
          <w:p>
            <w:pPr>
              <w:spacing w:after="40"/>
            </w:pPr>
            <w:r>
              <w:rPr>
                <w:rFonts w:ascii="Aptos" w:hAnsi="Aptos"/>
                <w:sz w:val="16"/>
              </w:rPr>
              <w:t>Required: Approved current sampling plan; completed shift control logs with counts and actual times; documented disposition for missed checks and rejects.</w:t>
              <w:br/>
              <w:t>Route: Routine in-process</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GAP-005 | P2 — No per-checkpoint sample identification / measured-result traceability</w:t>
              <w:br/>
              <w:br/>
              <w:t>One symbol cell per characteristic and clock slot cannot tie a failed or accepted result to an identifiable sample, observation value, production interval or corrective action.</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F-823-i128 r.9–18 and r.24; WI p.2 §7 (record results).</w:t>
            </w:r>
          </w:p>
        </w:tc>
        <w:tc>
          <w:tcPr>
            <w:tcW w:type="dxa" w:w="2923"/>
            <w:vAlign w:val="top"/>
            <w:tcMar>
              <w:top w:w="95" w:type="dxa"/>
              <w:start w:w="90" w:type="dxa"/>
              <w:bottom w:w="95" w:type="dxa"/>
              <w:end w:w="90" w:type="dxa"/>
            </w:tcMar>
          </w:tcPr>
          <w:p>
            <w:pPr>
              <w:spacing w:after="40"/>
            </w:pPr>
            <w:r>
              <w:rPr>
                <w:rFonts w:ascii="Aptos" w:hAnsi="Aptos"/>
                <w:sz w:val="16"/>
              </w:rPr>
              <w:t>WI p.2 §7: “record the results into in process control form”; no specific per-sample linkage requirement.</w:t>
            </w:r>
          </w:p>
        </w:tc>
        <w:tc>
          <w:tcPr>
            <w:tcW w:type="dxa" w:w="3989"/>
            <w:vAlign w:val="top"/>
            <w:tcMar>
              <w:top w:w="95" w:type="dxa"/>
              <w:start w:w="90" w:type="dxa"/>
              <w:bottom w:w="95" w:type="dxa"/>
              <w:end w:w="90" w:type="dxa"/>
            </w:tcMar>
          </w:tcPr>
          <w:p>
            <w:pPr>
              <w:spacing w:after="40"/>
            </w:pPr>
            <w:r>
              <w:rPr>
                <w:rFonts w:ascii="Aptos" w:hAnsi="Aptos"/>
                <w:sz w:val="16"/>
              </w:rPr>
              <w:t>Proposed WI §8.1 / §16: For each in-process checkpoint record the inspected product code, lot, operator/line/shift, date/time, sample ID or documented sampling basis, individual actual results where measured, acceptance decision, and an evidence/deviation reference. A summary status alone shall not substitute for a required quantitative measurement. Protect record integrity and identify any failed check with the affected production window.</w:t>
            </w:r>
          </w:p>
        </w:tc>
        <w:tc>
          <w:tcPr>
            <w:tcW w:type="dxa" w:w="2909"/>
            <w:vAlign w:val="top"/>
            <w:tcMar>
              <w:top w:w="95" w:type="dxa"/>
              <w:start w:w="90" w:type="dxa"/>
              <w:bottom w:w="95" w:type="dxa"/>
              <w:end w:w="90" w:type="dxa"/>
            </w:tcMar>
          </w:tcPr>
          <w:p>
            <w:pPr>
              <w:spacing w:after="40"/>
            </w:pPr>
            <w:r>
              <w:rPr>
                <w:rFonts w:ascii="Aptos" w:hAnsi="Aptos"/>
                <w:sz w:val="16"/>
              </w:rPr>
              <w:t>Form r.11–17: seven characteristic lines with empty time cells; r.18 free remarks.</w:t>
            </w:r>
          </w:p>
        </w:tc>
        <w:tc>
          <w:tcPr>
            <w:tcW w:type="dxa" w:w="3874"/>
            <w:vAlign w:val="top"/>
            <w:tcMar>
              <w:top w:w="95" w:type="dxa"/>
              <w:start w:w="90" w:type="dxa"/>
              <w:bottom w:w="95" w:type="dxa"/>
              <w:end w:w="90" w:type="dxa"/>
            </w:tcMar>
          </w:tcPr>
          <w:p>
            <w:pPr>
              <w:spacing w:after="40"/>
            </w:pPr>
            <w:r>
              <w:rPr>
                <w:rFonts w:ascii="Aptos" w:hAnsi="Aptos"/>
                <w:sz w:val="16"/>
              </w:rPr>
              <w:t>Checkpoint Record ID [ ]; lot [ ]; production line [ ]; shift [ ]; check time [ ]; sample IDs/qty [ ]; characteristic [ ]; actual reading/observation [ ]; units [ ]; criterion/ref [ ]; decision [ ]; evidence/NCR ref [ ]; inspector [ ].</w:t>
            </w:r>
          </w:p>
        </w:tc>
        <w:tc>
          <w:tcPr>
            <w:tcW w:type="dxa" w:w="3830"/>
            <w:vAlign w:val="top"/>
            <w:tcMar>
              <w:top w:w="95" w:type="dxa"/>
              <w:start w:w="90" w:type="dxa"/>
              <w:bottom w:w="95" w:type="dxa"/>
              <w:end w:w="90" w:type="dxa"/>
            </w:tcMar>
          </w:tcPr>
          <w:p>
            <w:pPr>
              <w:spacing w:after="40"/>
            </w:pPr>
            <w:r>
              <w:rPr>
                <w:rFonts w:ascii="Aptos" w:hAnsi="Aptos"/>
                <w:sz w:val="16"/>
              </w:rPr>
              <w:t>Required: Completed traceable records for sampled lots; evidence links to failed intervals, results and disposition.</w:t>
              <w:br/>
              <w:t>Route: Routine in-process</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GAP-006 | P2 — Instrument identification and calibration status not sufficiently recorded</w:t>
              <w:br/>
              <w:br/>
              <w:t>Form mentions instruments used but does not ensure each measuring instrument, calibration status and test method is associated with the reported measurements.</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F-823-i128 r.6; TF-M21-PS §7.3 (length), §7.2 (accuracy); WI p.1 §5 and p.2 §7.</w:t>
            </w:r>
          </w:p>
        </w:tc>
        <w:tc>
          <w:tcPr>
            <w:tcW w:type="dxa" w:w="2923"/>
            <w:vAlign w:val="top"/>
            <w:tcMar>
              <w:top w:w="95" w:type="dxa"/>
              <w:start w:w="90" w:type="dxa"/>
              <w:bottom w:w="95" w:type="dxa"/>
              <w:end w:w="90" w:type="dxa"/>
            </w:tcMar>
            <w:shd w:fill="F2F6F9"/>
          </w:tcPr>
          <w:p>
            <w:pPr>
              <w:spacing w:after="40"/>
            </w:pPr>
            <w:r>
              <w:rPr>
                <w:rFonts w:ascii="Aptos" w:hAnsi="Aptos"/>
                <w:sz w:val="16"/>
              </w:rPr>
              <w:t>WI §§5–7 requires visual/physical/working checks but does not name equipment IDs or verification of calibration status.</w:t>
            </w:r>
          </w:p>
        </w:tc>
        <w:tc>
          <w:tcPr>
            <w:tcW w:type="dxa" w:w="3989"/>
            <w:vAlign w:val="top"/>
            <w:tcMar>
              <w:top w:w="95" w:type="dxa"/>
              <w:start w:w="90" w:type="dxa"/>
              <w:bottom w:w="95" w:type="dxa"/>
              <w:end w:w="90" w:type="dxa"/>
            </w:tcMar>
            <w:shd w:fill="F2F6F9"/>
          </w:tcPr>
          <w:p>
            <w:pPr>
              <w:spacing w:after="40"/>
            </w:pPr>
            <w:r>
              <w:rPr>
                <w:rFonts w:ascii="Aptos" w:hAnsi="Aptos"/>
                <w:sz w:val="16"/>
              </w:rPr>
              <w:t>Proposed WI §8.4: Before a measurable in-process check, verify the approved method, instrument identification, calibration/verification status and suitability for the acceptance criterion. Record the equipment ID and calibration due/status or linked register reference on the controlled in-process record. Quarantine any suspect result when equipment validity cannot be demonstrated until Quality decides the impact.</w:t>
            </w:r>
          </w:p>
        </w:tc>
        <w:tc>
          <w:tcPr>
            <w:tcW w:type="dxa" w:w="2909"/>
            <w:vAlign w:val="top"/>
            <w:tcMar>
              <w:top w:w="95" w:type="dxa"/>
              <w:start w:w="90" w:type="dxa"/>
              <w:bottom w:w="95" w:type="dxa"/>
              <w:end w:w="90" w:type="dxa"/>
            </w:tcMar>
            <w:shd w:fill="F2F6F9"/>
          </w:tcPr>
          <w:p>
            <w:pPr>
              <w:spacing w:after="40"/>
            </w:pPr>
            <w:r>
              <w:rPr>
                <w:rFonts w:ascii="Aptos" w:hAnsi="Aptos"/>
                <w:sz w:val="16"/>
              </w:rPr>
              <w:t>Form r.6: “Instruments Used for Inspection”; no defined equipment ID or validity fields by checkpoint.</w:t>
            </w:r>
          </w:p>
        </w:tc>
        <w:tc>
          <w:tcPr>
            <w:tcW w:type="dxa" w:w="3874"/>
            <w:vAlign w:val="top"/>
            <w:tcMar>
              <w:top w:w="95" w:type="dxa"/>
              <w:start w:w="90" w:type="dxa"/>
              <w:bottom w:w="95" w:type="dxa"/>
              <w:end w:w="90" w:type="dxa"/>
            </w:tcMar>
            <w:shd w:fill="F2F6F9"/>
          </w:tcPr>
          <w:p>
            <w:pPr>
              <w:spacing w:after="40"/>
            </w:pPr>
            <w:r>
              <w:rPr>
                <w:rFonts w:ascii="Aptos" w:hAnsi="Aptos"/>
                <w:sz w:val="16"/>
              </w:rPr>
              <w:t>Method/Rev [ ]; Instrument Type [ ]; Instrument Asset/Serial ID [ ]; Calibration Valid Through [ ]; Status [Valid / Hold / Pending]; Checkpoint ID [ ]; Measurement Ref [ ].</w:t>
            </w:r>
          </w:p>
        </w:tc>
        <w:tc>
          <w:tcPr>
            <w:tcW w:type="dxa" w:w="3830"/>
            <w:vAlign w:val="top"/>
            <w:tcMar>
              <w:top w:w="95" w:type="dxa"/>
              <w:start w:w="90" w:type="dxa"/>
              <w:bottom w:w="95" w:type="dxa"/>
              <w:end w:w="90" w:type="dxa"/>
            </w:tcMar>
            <w:shd w:fill="F2F6F9"/>
          </w:tcPr>
          <w:p>
            <w:pPr>
              <w:spacing w:after="40"/>
            </w:pPr>
            <w:r>
              <w:rPr>
                <w:rFonts w:ascii="Aptos" w:hAnsi="Aptos"/>
                <w:sz w:val="16"/>
              </w:rPr>
              <w:t>Required: Calibration certificates / verification records for referenced instruments and traceable forms; investigation for out-of-calibration use if any.</w:t>
              <w:br/>
              <w:t>Route: Routine equipment suitability</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GAP-007 | P2 — Two-pin connector description may not cover all variants</w:t>
              <w:br/>
              <w:br/>
              <w:t>WI requires a two-pin connector and yellow wire without proof that those properties apply to every variant in the broad TF portfolio.</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WI p.1 §§5.2.1–5.2.3; TF-M21-PS pp.1–2 §4 and p.2 §6.</w:t>
            </w:r>
          </w:p>
        </w:tc>
        <w:tc>
          <w:tcPr>
            <w:tcW w:type="dxa" w:w="2923"/>
            <w:vAlign w:val="top"/>
            <w:tcMar>
              <w:top w:w="95" w:type="dxa"/>
              <w:start w:w="90" w:type="dxa"/>
              <w:bottom w:w="95" w:type="dxa"/>
              <w:end w:w="90" w:type="dxa"/>
            </w:tcMar>
          </w:tcPr>
          <w:p>
            <w:pPr>
              <w:spacing w:after="40"/>
            </w:pPr>
            <w:r>
              <w:rPr>
                <w:rFonts w:ascii="Aptos" w:hAnsi="Aptos"/>
                <w:sz w:val="16"/>
              </w:rPr>
              <w:t>WI p.1 §5.2.1: “2 pins Connector”; §5.2.3: “Yellow jacket wire”; p.2 §6 refers to TF-M21-PS.</w:t>
            </w:r>
          </w:p>
        </w:tc>
        <w:tc>
          <w:tcPr>
            <w:tcW w:type="dxa" w:w="3989"/>
            <w:vAlign w:val="top"/>
            <w:tcMar>
              <w:top w:w="95" w:type="dxa"/>
              <w:start w:w="90" w:type="dxa"/>
              <w:bottom w:w="95" w:type="dxa"/>
              <w:end w:w="90" w:type="dxa"/>
            </w:tcMar>
          </w:tcPr>
          <w:p>
            <w:pPr>
              <w:spacing w:after="40"/>
            </w:pPr>
            <w:r>
              <w:rPr>
                <w:rFonts w:ascii="Aptos" w:hAnsi="Aptos"/>
                <w:sz w:val="16"/>
              </w:rPr>
              <w:t>Proposed WI §6.2 / §8.2: Verify connector configuration, pin count, interface/fit, cable appearance and pin condition against the drawing and product code. Two-pin configuration and yellow PVC-jacket cable may be used only where the approved BOM/drawing confirms applicability. Record variant-specific acceptance and mark nonapplicable features N/A with an approved reason; do not use an assumed common configuration.</w:t>
            </w:r>
          </w:p>
        </w:tc>
        <w:tc>
          <w:tcPr>
            <w:tcW w:type="dxa" w:w="2909"/>
            <w:vAlign w:val="top"/>
            <w:tcMar>
              <w:top w:w="95" w:type="dxa"/>
              <w:start w:w="90" w:type="dxa"/>
              <w:bottom w:w="95" w:type="dxa"/>
              <w:end w:w="90" w:type="dxa"/>
            </w:tcMar>
          </w:tcPr>
          <w:p>
            <w:pPr>
              <w:spacing w:after="40"/>
            </w:pPr>
            <w:r>
              <w:rPr>
                <w:rFonts w:ascii="Aptos" w:hAnsi="Aptos"/>
                <w:sz w:val="16"/>
              </w:rPr>
              <w:t>Form r.16 Connector status and r.17 Connector Pin status are generic and lack product variant acceptance reference.</w:t>
            </w:r>
          </w:p>
        </w:tc>
        <w:tc>
          <w:tcPr>
            <w:tcW w:type="dxa" w:w="3874"/>
            <w:vAlign w:val="top"/>
            <w:tcMar>
              <w:top w:w="95" w:type="dxa"/>
              <w:start w:w="90" w:type="dxa"/>
              <w:bottom w:w="95" w:type="dxa"/>
              <w:end w:w="90" w:type="dxa"/>
            </w:tcMar>
          </w:tcPr>
          <w:p>
            <w:pPr>
              <w:spacing w:after="40"/>
            </w:pPr>
            <w:r>
              <w:rPr>
                <w:rFonts w:ascii="Aptos" w:hAnsi="Aptos"/>
                <w:sz w:val="16"/>
              </w:rPr>
              <w:t>Connector Type/Pin Count [ ]; variant drawing/BOM ref [ ]; visual/fit observation [ ]; Pin condition [ ]; N/A justification [ ]; decision [ ]; sample ID [ ].</w:t>
            </w:r>
          </w:p>
        </w:tc>
        <w:tc>
          <w:tcPr>
            <w:tcW w:type="dxa" w:w="3830"/>
            <w:vAlign w:val="top"/>
            <w:tcMar>
              <w:top w:w="95" w:type="dxa"/>
              <w:start w:w="90" w:type="dxa"/>
              <w:bottom w:w="95" w:type="dxa"/>
              <w:end w:w="90" w:type="dxa"/>
            </w:tcMar>
          </w:tcPr>
          <w:p>
            <w:pPr>
              <w:spacing w:after="40"/>
            </w:pPr>
            <w:r>
              <w:rPr>
                <w:rFonts w:ascii="Aptos" w:hAnsi="Aptos"/>
                <w:sz w:val="16"/>
              </w:rPr>
              <w:t>Required: Approved BOM/drawing per variant; traceable fit/visual checks and nonapplicability justification.</w:t>
              <w:br/>
              <w:t>Route: Routine visual and fit</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GAP-008 | P2 — Attachment quality described qualitatively without a method/criterion</w:t>
              <w:br/>
              <w:br/>
              <w:t>“Strong attachment” and “properly fix” do not determine how cable, pin and sensor joint integrity is assessed, or whether a separate validated verification is needed.</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WI p.1 §§5.2.1–5.2.4; TF-M21-PS p.3 §§7.2–7.5; form r.13,15–16.</w:t>
            </w:r>
          </w:p>
        </w:tc>
        <w:tc>
          <w:tcPr>
            <w:tcW w:type="dxa" w:w="2923"/>
            <w:vAlign w:val="top"/>
            <w:tcMar>
              <w:top w:w="95" w:type="dxa"/>
              <w:start w:w="90" w:type="dxa"/>
              <w:bottom w:w="95" w:type="dxa"/>
              <w:end w:w="90" w:type="dxa"/>
            </w:tcMar>
            <w:shd w:fill="F2F6F9"/>
          </w:tcPr>
          <w:p>
            <w:pPr>
              <w:spacing w:after="40"/>
            </w:pPr>
            <w:r>
              <w:rPr>
                <w:rFonts w:ascii="Aptos" w:hAnsi="Aptos"/>
                <w:sz w:val="16"/>
              </w:rPr>
              <w:t>WI p.1 §5.2.1 “good fitting with wire”; §5.2.4 “proper assembled”; TF p.3 §§7.2–7.5: good/strong attachment.</w:t>
            </w:r>
          </w:p>
        </w:tc>
        <w:tc>
          <w:tcPr>
            <w:tcW w:type="dxa" w:w="3989"/>
            <w:vAlign w:val="top"/>
            <w:tcMar>
              <w:top w:w="95" w:type="dxa"/>
              <w:start w:w="90" w:type="dxa"/>
              <w:bottom w:w="95" w:type="dxa"/>
              <w:end w:w="90" w:type="dxa"/>
            </w:tcMar>
            <w:shd w:fill="F2F6F9"/>
          </w:tcPr>
          <w:p>
            <w:pPr>
              <w:spacing w:after="40"/>
            </w:pPr>
            <w:r>
              <w:rPr>
                <w:rFonts w:ascii="Aptos" w:hAnsi="Aptos"/>
                <w:sz w:val="16"/>
              </w:rPr>
              <w:t>Proposed WI §8.2 / §8.5: At each required in-process visual check, confirm that sensor, cable and connector assemblies are secure, fully seated and free from observable looseness or damage according to the approved visual/fit work standard. Where product risk or design requirements establish a quantified retention test, use its approved method, frequency and acceptance limit in the designated controlled record. Define the observational method/illustrated defect criteria before implementation; OPEN TECHNICAL INPUT REQUIRED for any missing numerical strength limit.</w:t>
            </w:r>
          </w:p>
        </w:tc>
        <w:tc>
          <w:tcPr>
            <w:tcW w:type="dxa" w:w="2909"/>
            <w:vAlign w:val="top"/>
            <w:tcMar>
              <w:top w:w="95" w:type="dxa"/>
              <w:start w:w="90" w:type="dxa"/>
              <w:bottom w:w="95" w:type="dxa"/>
              <w:end w:w="90" w:type="dxa"/>
            </w:tcMar>
            <w:shd w:fill="F2F6F9"/>
          </w:tcPr>
          <w:p>
            <w:pPr>
              <w:spacing w:after="40"/>
            </w:pPr>
            <w:r>
              <w:rPr>
                <w:rFonts w:ascii="Aptos" w:hAnsi="Aptos"/>
                <w:sz w:val="16"/>
              </w:rPr>
              <w:t>Form r.13: “Strong attachments”; r.15: “No loose”; r.16: “Strong attachment”.</w:t>
            </w:r>
          </w:p>
        </w:tc>
        <w:tc>
          <w:tcPr>
            <w:tcW w:type="dxa" w:w="3874"/>
            <w:vAlign w:val="top"/>
            <w:tcMar>
              <w:top w:w="95" w:type="dxa"/>
              <w:start w:w="90" w:type="dxa"/>
              <w:bottom w:w="95" w:type="dxa"/>
              <w:end w:w="90" w:type="dxa"/>
            </w:tcMar>
            <w:shd w:fill="F2F6F9"/>
          </w:tcPr>
          <w:p>
            <w:pPr>
              <w:spacing w:after="40"/>
            </w:pPr>
            <w:r>
              <w:rPr>
                <w:rFonts w:ascii="Aptos" w:hAnsi="Aptos"/>
                <w:sz w:val="16"/>
              </w:rPr>
              <w:t>Assembly Integrity: observation [Secure/Loose/Damaged]; approved defect reference [ ]; retention test required? [Y/N per plan]; alternate test record ID [ ]; quantitative criteria [OPEN if required]; result [ ].</w:t>
            </w:r>
          </w:p>
        </w:tc>
        <w:tc>
          <w:tcPr>
            <w:tcW w:type="dxa" w:w="3830"/>
            <w:vAlign w:val="top"/>
            <w:tcMar>
              <w:top w:w="95" w:type="dxa"/>
              <w:start w:w="90" w:type="dxa"/>
              <w:bottom w:w="95" w:type="dxa"/>
              <w:end w:w="90" w:type="dxa"/>
            </w:tcMar>
            <w:shd w:fill="F2F6F9"/>
          </w:tcPr>
          <w:p>
            <w:pPr>
              <w:spacing w:after="40"/>
            </w:pPr>
            <w:r>
              <w:rPr>
                <w:rFonts w:ascii="Aptos" w:hAnsi="Aptos"/>
                <w:sz w:val="16"/>
              </w:rPr>
              <w:t>Required: Approved defect standard and, if needed, validated strength/retention evidence linked to product design and frequency; filled in-process inspection record.</w:t>
              <w:br/>
              <w:t>Route: Routine visual + qualification where applicable</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GAP-009 | P2 — Incoming material and supplier documentation are not linked to the in-process lot</w:t>
              <w:br/>
              <w:br/>
              <w:t>WI requires PO conformance, COA and receiving checks, but no verified record supplied ties those incoming approvals to a specific finished/in-process lot.</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WI p.1 §5.1; TF-M21-PS p.2 §6 materials; source set lacks incoming/COA records.</w:t>
            </w:r>
          </w:p>
        </w:tc>
        <w:tc>
          <w:tcPr>
            <w:tcW w:type="dxa" w:w="2923"/>
            <w:vAlign w:val="top"/>
            <w:tcMar>
              <w:top w:w="95" w:type="dxa"/>
              <w:start w:w="90" w:type="dxa"/>
              <w:bottom w:w="95" w:type="dxa"/>
              <w:end w:w="90" w:type="dxa"/>
            </w:tcMar>
          </w:tcPr>
          <w:p>
            <w:pPr>
              <w:spacing w:after="40"/>
            </w:pPr>
            <w:r>
              <w:rPr>
                <w:rFonts w:ascii="Aptos" w:hAnsi="Aptos"/>
                <w:sz w:val="16"/>
              </w:rPr>
              <w:t>WI p.1 §5.1: compare PO, packaging/labels, AQL, and “Make sure the received product COA available”.</w:t>
            </w:r>
          </w:p>
        </w:tc>
        <w:tc>
          <w:tcPr>
            <w:tcW w:type="dxa" w:w="3989"/>
            <w:vAlign w:val="top"/>
            <w:tcMar>
              <w:top w:w="95" w:type="dxa"/>
              <w:start w:w="90" w:type="dxa"/>
              <w:bottom w:w="95" w:type="dxa"/>
              <w:end w:w="90" w:type="dxa"/>
            </w:tcMar>
          </w:tcPr>
          <w:p>
            <w:pPr>
              <w:spacing w:after="40"/>
            </w:pPr>
            <w:r>
              <w:rPr>
                <w:rFonts w:ascii="Aptos" w:hAnsi="Aptos"/>
                <w:sz w:val="16"/>
              </w:rPr>
              <w:t>Proposed WI §7: Verify materials and received probe assemblies using the approved Incoming Inspection route, including purchase-order identity, supplier/lot, incoming status, material/configuration acceptance and COA availability where required. Do not duplicate incoming tests at every in-process checkpoint. Before using materials, record the accepted incoming lot/receipt reference and confirm release status. Refer missing COA/approved receipt to Supplier Quality/QA for controlled disposition.</w:t>
            </w:r>
          </w:p>
        </w:tc>
        <w:tc>
          <w:tcPr>
            <w:tcW w:type="dxa" w:w="2909"/>
            <w:vAlign w:val="top"/>
            <w:tcMar>
              <w:top w:w="95" w:type="dxa"/>
              <w:start w:w="90" w:type="dxa"/>
              <w:bottom w:w="95" w:type="dxa"/>
              <w:end w:w="90" w:type="dxa"/>
            </w:tcMar>
          </w:tcPr>
          <w:p>
            <w:pPr>
              <w:spacing w:after="40"/>
            </w:pPr>
            <w:r>
              <w:rPr>
                <w:rFonts w:ascii="Aptos" w:hAnsi="Aptos"/>
                <w:sz w:val="16"/>
              </w:rPr>
              <w:t>F-823-i128 header r.7 shows only production lot; no incoming supplier/receipt/COA linkage.</w:t>
            </w:r>
          </w:p>
        </w:tc>
        <w:tc>
          <w:tcPr>
            <w:tcW w:type="dxa" w:w="3874"/>
            <w:vAlign w:val="top"/>
            <w:tcMar>
              <w:top w:w="95" w:type="dxa"/>
              <w:start w:w="90" w:type="dxa"/>
              <w:bottom w:w="95" w:type="dxa"/>
              <w:end w:w="90" w:type="dxa"/>
            </w:tcMar>
          </w:tcPr>
          <w:p>
            <w:pPr>
              <w:spacing w:after="40"/>
            </w:pPr>
            <w:r>
              <w:rPr>
                <w:rFonts w:ascii="Aptos" w:hAnsi="Aptos"/>
                <w:sz w:val="16"/>
              </w:rPr>
              <w:t>Incoming Approval Reference [ ]; Supplier Lot / Material Batch [ ]; COA Ref [ ]; status [Released/Hold/Pending]; material-to-production lot linkage [ ]. No new routine incoming test on this skin-probe form.</w:t>
            </w:r>
          </w:p>
        </w:tc>
        <w:tc>
          <w:tcPr>
            <w:tcW w:type="dxa" w:w="3830"/>
            <w:vAlign w:val="top"/>
            <w:tcMar>
              <w:top w:w="95" w:type="dxa"/>
              <w:start w:w="90" w:type="dxa"/>
              <w:bottom w:w="95" w:type="dxa"/>
              <w:end w:w="90" w:type="dxa"/>
            </w:tcMar>
          </w:tcPr>
          <w:p>
            <w:pPr>
              <w:spacing w:after="40"/>
            </w:pPr>
            <w:r>
              <w:rPr>
                <w:rFonts w:ascii="Aptos" w:hAnsi="Aptos"/>
                <w:sz w:val="16"/>
              </w:rPr>
              <w:t>Required: Approved incoming inspection record; supplier lot/COA where required; material release and traceability records.</w:t>
              <w:br/>
              <w:t>Route: Incoming / supplier verification</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GAP-010 | P2 — Packaging and labeling control route not traceably connected to the skin in-process record</w:t>
              <w:br/>
              <w:br/>
              <w:t>TF specifies pouch, label fields and quantities while the supplied skin form is assembly-focused. WI references separate packaging and final records; these have not been provided to verify coverage.</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TF-M21-PS p.3 §8 and p.4 §9; WI p.2 §§8–10; F-823-i128 r.11–17 lacks packaging fields.</w:t>
            </w:r>
          </w:p>
        </w:tc>
        <w:tc>
          <w:tcPr>
            <w:tcW w:type="dxa" w:w="2923"/>
            <w:vAlign w:val="top"/>
            <w:tcMar>
              <w:top w:w="95" w:type="dxa"/>
              <w:start w:w="90" w:type="dxa"/>
              <w:bottom w:w="95" w:type="dxa"/>
              <w:end w:w="90" w:type="dxa"/>
            </w:tcMar>
            <w:shd w:fill="F2F6F9"/>
          </w:tcPr>
          <w:p>
            <w:pPr>
              <w:spacing w:after="40"/>
            </w:pPr>
            <w:r>
              <w:rPr>
                <w:rFonts w:ascii="Aptos" w:hAnsi="Aptos"/>
                <w:sz w:val="16"/>
              </w:rPr>
              <w:t>WI p.2 §§8–9 requires approved labels, pouch seal/quantity checks and links other forms F-823-i4 and F-823-F247.</w:t>
            </w:r>
          </w:p>
        </w:tc>
        <w:tc>
          <w:tcPr>
            <w:tcW w:type="dxa" w:w="3989"/>
            <w:vAlign w:val="top"/>
            <w:tcMar>
              <w:top w:w="95" w:type="dxa"/>
              <w:start w:w="90" w:type="dxa"/>
              <w:bottom w:w="95" w:type="dxa"/>
              <w:end w:w="90" w:type="dxa"/>
            </w:tcMar>
            <w:shd w:fill="F2F6F9"/>
          </w:tcPr>
          <w:p>
            <w:pPr>
              <w:spacing w:after="40"/>
            </w:pPr>
            <w:r>
              <w:rPr>
                <w:rFonts w:ascii="Aptos" w:hAnsi="Aptos"/>
                <w:sz w:val="16"/>
              </w:rPr>
              <w:t>Proposed WI §13 / §15: Verify packaging and label details against the approved master artwork, controlled specification and product-code/lot data using the designated packaging in-process record and final release record. Link those records to the same manufacturing lot on F-823-i128. Do not turn packaging validation or product qualification into an undocumented two-hour skin-probe test. Escalate unverified packaging/label record availability as OPEN — EVIDENCE.</w:t>
            </w:r>
          </w:p>
        </w:tc>
        <w:tc>
          <w:tcPr>
            <w:tcW w:type="dxa" w:w="2909"/>
            <w:vAlign w:val="top"/>
            <w:tcMar>
              <w:top w:w="95" w:type="dxa"/>
              <w:start w:w="90" w:type="dxa"/>
              <w:bottom w:w="95" w:type="dxa"/>
              <w:end w:w="90" w:type="dxa"/>
            </w:tcMar>
            <w:shd w:fill="F2F6F9"/>
          </w:tcPr>
          <w:p>
            <w:pPr>
              <w:spacing w:after="40"/>
            </w:pPr>
            <w:r>
              <w:rPr>
                <w:rFonts w:ascii="Aptos" w:hAnsi="Aptos"/>
                <w:sz w:val="16"/>
              </w:rPr>
              <w:t>F-823-i128 r.11–17 contains assembly characteristics only; no packaging/label or alternate record reference.</w:t>
            </w:r>
          </w:p>
        </w:tc>
        <w:tc>
          <w:tcPr>
            <w:tcW w:type="dxa" w:w="3874"/>
            <w:vAlign w:val="top"/>
            <w:tcMar>
              <w:top w:w="95" w:type="dxa"/>
              <w:start w:w="90" w:type="dxa"/>
              <w:bottom w:w="95" w:type="dxa"/>
              <w:end w:w="90" w:type="dxa"/>
            </w:tcMar>
            <w:shd w:fill="F2F6F9"/>
          </w:tcPr>
          <w:p>
            <w:pPr>
              <w:spacing w:after="40"/>
            </w:pPr>
            <w:r>
              <w:rPr>
                <w:rFonts w:ascii="Aptos" w:hAnsi="Aptos"/>
                <w:sz w:val="16"/>
              </w:rPr>
              <w:t>Packaging In-Process Record [F-823-i4 or verified successor: ___]; Final Release Record [F-823-F247 or verified successor: ___]; lot linkage [ ]; approved label/artwork ID [ ]; Status [Verified / Pending].</w:t>
            </w:r>
          </w:p>
        </w:tc>
        <w:tc>
          <w:tcPr>
            <w:tcW w:type="dxa" w:w="3830"/>
            <w:vAlign w:val="top"/>
            <w:tcMar>
              <w:top w:w="95" w:type="dxa"/>
              <w:start w:w="90" w:type="dxa"/>
              <w:bottom w:w="95" w:type="dxa"/>
              <w:end w:w="90" w:type="dxa"/>
            </w:tcMar>
            <w:shd w:fill="F2F6F9"/>
          </w:tcPr>
          <w:p>
            <w:pPr>
              <w:spacing w:after="40"/>
            </w:pPr>
            <w:r>
              <w:rPr>
                <w:rFonts w:ascii="Aptos" w:hAnsi="Aptos"/>
                <w:sz w:val="16"/>
              </w:rPr>
              <w:t>Required: Completed controlled packaging and release records; approved artwork; sample labels; validated sealing/packaging evidence when applicable; no duplicate routine testing.</w:t>
              <w:br/>
              <w:t>Route: Packaging in-process and final release</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GAP-011 | P1 — Nonconforming in-process output lacks an explicit containment and recheck path</w:t>
              <w:br/>
              <w:br/>
              <w:t>The reviewed WI covers checking and approval but does not specify stop/segregate, interval containment, escalation, retest permission or final disposition upon failed measurements.</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WI pp.1–2 §§4,7–9; F-823-i128 r.18 remarks and r.24 sign-off fields.</w:t>
            </w:r>
          </w:p>
        </w:tc>
        <w:tc>
          <w:tcPr>
            <w:tcW w:type="dxa" w:w="2923"/>
            <w:vAlign w:val="top"/>
            <w:tcMar>
              <w:top w:w="95" w:type="dxa"/>
              <w:start w:w="90" w:type="dxa"/>
              <w:bottom w:w="95" w:type="dxa"/>
              <w:end w:w="90" w:type="dxa"/>
            </w:tcMar>
          </w:tcPr>
          <w:p>
            <w:pPr>
              <w:spacing w:after="40"/>
            </w:pPr>
            <w:r>
              <w:rPr>
                <w:rFonts w:ascii="Aptos" w:hAnsi="Aptos"/>
                <w:sz w:val="16"/>
              </w:rPr>
              <w:t>WI p.1 §4 defines QC/supervisor/QCM/QAM roles; p.2 §7 requires recording and §9 final inspection, but does not state a failed in-process action sequence.</w:t>
            </w:r>
          </w:p>
        </w:tc>
        <w:tc>
          <w:tcPr>
            <w:tcW w:type="dxa" w:w="3989"/>
            <w:vAlign w:val="top"/>
            <w:tcMar>
              <w:top w:w="95" w:type="dxa"/>
              <w:start w:w="90" w:type="dxa"/>
              <w:bottom w:w="95" w:type="dxa"/>
              <w:end w:w="90" w:type="dxa"/>
            </w:tcMar>
          </w:tcPr>
          <w:p>
            <w:pPr>
              <w:spacing w:after="40"/>
            </w:pPr>
            <w:r>
              <w:rPr>
                <w:rFonts w:ascii="Aptos" w:hAnsi="Aptos"/>
                <w:sz w:val="16"/>
              </w:rPr>
              <w:t>Proposed WI §12: When an in-process characteristic fails or cannot be verified, immediately identify and segregate suspect units from the last verified acceptable checkpoint to the failure discovery (or a justified narrower traceable population), inform the responsible Production and QC supervisor, initiate the approved nonconforming-product record and prevent unintended use or progression pending authorized disposition. Record line/lot, affected quantity/window, failed result, disposition reference and documented re-verification when required. Only an authorized quality role may approve controlled release based on verified evidence.</w:t>
            </w:r>
          </w:p>
        </w:tc>
        <w:tc>
          <w:tcPr>
            <w:tcW w:type="dxa" w:w="2909"/>
            <w:vAlign w:val="top"/>
            <w:tcMar>
              <w:top w:w="95" w:type="dxa"/>
              <w:start w:w="90" w:type="dxa"/>
              <w:bottom w:w="95" w:type="dxa"/>
              <w:end w:w="90" w:type="dxa"/>
            </w:tcMar>
          </w:tcPr>
          <w:p>
            <w:pPr>
              <w:spacing w:after="40"/>
            </w:pPr>
            <w:r>
              <w:rPr>
                <w:rFonts w:ascii="Aptos" w:hAnsi="Aptos"/>
                <w:sz w:val="16"/>
              </w:rPr>
              <w:t>Form r.18 “Remarks”; no specific Hold/NCR/affected interval/disposition fields.</w:t>
            </w:r>
          </w:p>
        </w:tc>
        <w:tc>
          <w:tcPr>
            <w:tcW w:type="dxa" w:w="3874"/>
            <w:vAlign w:val="top"/>
            <w:tcMar>
              <w:top w:w="95" w:type="dxa"/>
              <w:start w:w="90" w:type="dxa"/>
              <w:bottom w:w="95" w:type="dxa"/>
              <w:end w:w="90" w:type="dxa"/>
            </w:tcMar>
          </w:tcPr>
          <w:p>
            <w:pPr>
              <w:spacing w:after="40"/>
            </w:pPr>
            <w:r>
              <w:rPr>
                <w:rFonts w:ascii="Aptos" w:hAnsi="Aptos"/>
                <w:sz w:val="16"/>
              </w:rPr>
              <w:t>Deviation / NCR No. [ ]; Time Detected [ ]; Last Accepted Check [ ]; Affected Interval/Qty [ ]; Segregation ID [ ]; Quality Disposition [ ]; Recheck Record [ ]; Release Authorization Ref [ ]; Status [HOLD/Pending/Released by authorization].</w:t>
            </w:r>
          </w:p>
        </w:tc>
        <w:tc>
          <w:tcPr>
            <w:tcW w:type="dxa" w:w="3830"/>
            <w:vAlign w:val="top"/>
            <w:tcMar>
              <w:top w:w="95" w:type="dxa"/>
              <w:start w:w="90" w:type="dxa"/>
              <w:bottom w:w="95" w:type="dxa"/>
              <w:end w:w="90" w:type="dxa"/>
            </w:tcMar>
          </w:tcPr>
          <w:p>
            <w:pPr>
              <w:spacing w:after="40"/>
            </w:pPr>
            <w:r>
              <w:rPr>
                <w:rFonts w:ascii="Aptos" w:hAnsi="Aptos"/>
                <w:sz w:val="16"/>
              </w:rPr>
              <w:t>Required: Completed NCR, traceable containment records, approved disposition and any recheck/release evidence. Draft WI does not authorize release.</w:t>
              <w:br/>
              <w:t>Route: Nonconformance handling</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GAP-012 | P2 — Current controlled-form references and approval roles require reconciliation</w:t>
              <w:br/>
              <w:br/>
              <w:t>WI §10 lists F-823-T90, F-823-i4 and F-823-F247 but not the supplied F-823-i128; the form cites TF-M21-PDBM, which is not provided. Approval role mapping between WI and form is not fully demonstrated.</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WI p.2 §10; WI p.1 §4; F-823-i128 r.3 and r.24.</w:t>
            </w:r>
          </w:p>
        </w:tc>
        <w:tc>
          <w:tcPr>
            <w:tcW w:type="dxa" w:w="2923"/>
            <w:vAlign w:val="top"/>
            <w:tcMar>
              <w:top w:w="95" w:type="dxa"/>
              <w:start w:w="90" w:type="dxa"/>
              <w:bottom w:w="95" w:type="dxa"/>
              <w:end w:w="90" w:type="dxa"/>
            </w:tcMar>
            <w:shd w:fill="F2F6F9"/>
          </w:tcPr>
          <w:p>
            <w:pPr>
              <w:spacing w:after="40"/>
            </w:pPr>
            <w:r>
              <w:rPr>
                <w:rFonts w:ascii="Aptos" w:hAnsi="Aptos"/>
                <w:sz w:val="16"/>
              </w:rPr>
              <w:t>WI p.2 §10: F-823-T90, F-823-i4 and F-823-F247; §4 names controllers, supervisors, QCM and QAM.</w:t>
            </w:r>
          </w:p>
        </w:tc>
        <w:tc>
          <w:tcPr>
            <w:tcW w:type="dxa" w:w="3989"/>
            <w:vAlign w:val="top"/>
            <w:tcMar>
              <w:top w:w="95" w:type="dxa"/>
              <w:start w:w="90" w:type="dxa"/>
              <w:bottom w:w="95" w:type="dxa"/>
              <w:end w:w="90" w:type="dxa"/>
            </w:tcMar>
            <w:shd w:fill="F2F6F9"/>
          </w:tcPr>
          <w:p>
            <w:pPr>
              <w:spacing w:after="40"/>
            </w:pPr>
            <w:r>
              <w:rPr>
                <w:rFonts w:ascii="Aptos" w:hAnsi="Aptos"/>
                <w:sz w:val="16"/>
              </w:rPr>
              <w:t>Proposed WI §3 / §17: Identify F-823-i128 as the proposed skin-probe in-process record only after Document Control verifies its effective revision and relationship to F-823-T90, F-823-i4 and F-823-F247. Retain other valid controlled references; include TF-M21-PDBM only after verifying its identity and applicability. Specify QC execution, supervisor review and QCM/QAM approval according to the actual current authorization matrix; do not invent supersession, signatures or effective dates.</w:t>
            </w:r>
          </w:p>
        </w:tc>
        <w:tc>
          <w:tcPr>
            <w:tcW w:type="dxa" w:w="2909"/>
            <w:vAlign w:val="top"/>
            <w:tcMar>
              <w:top w:w="95" w:type="dxa"/>
              <w:start w:w="90" w:type="dxa"/>
              <w:bottom w:w="95" w:type="dxa"/>
              <w:end w:w="90" w:type="dxa"/>
            </w:tcMar>
            <w:shd w:fill="F2F6F9"/>
          </w:tcPr>
          <w:p>
            <w:pPr>
              <w:spacing w:after="40"/>
            </w:pPr>
            <w:r>
              <w:rPr>
                <w:rFonts w:ascii="Aptos" w:hAnsi="Aptos"/>
                <w:sz w:val="16"/>
              </w:rPr>
              <w:t>F-823-i128 header r.3 references WI-8-2-2-M21-1 / TF-M21-PS / TF-M21-PDBM; r.24 includes “Checked by Q.C.” and “Reviewed by Q.C.M.”</w:t>
            </w:r>
          </w:p>
        </w:tc>
        <w:tc>
          <w:tcPr>
            <w:tcW w:type="dxa" w:w="3874"/>
            <w:vAlign w:val="top"/>
            <w:tcMar>
              <w:top w:w="95" w:type="dxa"/>
              <w:start w:w="90" w:type="dxa"/>
              <w:bottom w:w="95" w:type="dxa"/>
              <w:end w:w="90" w:type="dxa"/>
            </w:tcMar>
            <w:shd w:fill="F2F6F9"/>
          </w:tcPr>
          <w:p>
            <w:pPr>
              <w:spacing w:after="40"/>
            </w:pPr>
            <w:r>
              <w:rPr>
                <w:rFonts w:ascii="Aptos" w:hAnsi="Aptos"/>
                <w:sz w:val="16"/>
              </w:rPr>
              <w:t>Controlled refs table: WI &amp; Rev [ ]; Form &amp; effective Rev [ ]; Technical File &amp; Rev [ ]; Packaging / Final form IDs [ ]; Approval Matrix Ref [ ]; Document Control verification [Pending/Complete].</w:t>
            </w:r>
          </w:p>
        </w:tc>
        <w:tc>
          <w:tcPr>
            <w:tcW w:type="dxa" w:w="3830"/>
            <w:vAlign w:val="top"/>
            <w:tcMar>
              <w:top w:w="95" w:type="dxa"/>
              <w:start w:w="90" w:type="dxa"/>
              <w:bottom w:w="95" w:type="dxa"/>
              <w:end w:w="90" w:type="dxa"/>
            </w:tcMar>
            <w:shd w:fill="F2F6F9"/>
          </w:tcPr>
          <w:p>
            <w:pPr>
              <w:spacing w:after="40"/>
            </w:pPr>
            <w:r>
              <w:rPr>
                <w:rFonts w:ascii="Aptos" w:hAnsi="Aptos"/>
                <w:sz w:val="16"/>
              </w:rPr>
              <w:t>Required: Effective controlled master list, TF-M21-PDBM or a documented clarification, verified form successor relationship, approved approval matrix.</w:t>
              <w:br/>
              <w:t>Route: Document control</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GAP-013 | P2 — Form tab/header revision conflict</w:t>
              <w:br/>
              <w:br/>
              <w:t>Excel tab reads F-823-i128 (Rev.1) while the form header claims Revision 2 dated 14-Dec-2025, creating uncertainty on current controlled template identity.</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F-823-i128 sheet tab “F-823-i128 (Rev.1)”; cells O3–Q4 header “Rev. 2”, date “14.12.2025”.</w:t>
            </w:r>
          </w:p>
        </w:tc>
        <w:tc>
          <w:tcPr>
            <w:tcW w:type="dxa" w:w="2923"/>
            <w:vAlign w:val="top"/>
            <w:tcMar>
              <w:top w:w="95" w:type="dxa"/>
              <w:start w:w="90" w:type="dxa"/>
              <w:bottom w:w="95" w:type="dxa"/>
              <w:end w:w="90" w:type="dxa"/>
            </w:tcMar>
          </w:tcPr>
          <w:p>
            <w:pPr>
              <w:spacing w:after="40"/>
            </w:pPr>
            <w:r>
              <w:rPr>
                <w:rFonts w:ascii="Aptos" w:hAnsi="Aptos"/>
                <w:sz w:val="16"/>
              </w:rPr>
              <w:t>WI p.2 §10 does not identify F-823-i128 or its revision. No controlled master index supplied.</w:t>
            </w:r>
          </w:p>
        </w:tc>
        <w:tc>
          <w:tcPr>
            <w:tcW w:type="dxa" w:w="3989"/>
            <w:vAlign w:val="top"/>
            <w:tcMar>
              <w:top w:w="95" w:type="dxa"/>
              <w:start w:w="90" w:type="dxa"/>
              <w:bottom w:w="95" w:type="dxa"/>
              <w:end w:w="90" w:type="dxa"/>
            </w:tcMar>
          </w:tcPr>
          <w:p>
            <w:pPr>
              <w:spacing w:after="40"/>
            </w:pPr>
            <w:r>
              <w:rPr>
                <w:rFonts w:ascii="Aptos" w:hAnsi="Aptos"/>
                <w:sz w:val="16"/>
              </w:rPr>
              <w:t>Proposed WI §17: Require controlled revision verification before use. The template name, displayed revision/date and controlled-document master register shall match. Resolve Rev.1 tab versus Rev.2 header through Document Control; label the proposed revised form DRAFT (not effective) until approved.</w:t>
            </w:r>
          </w:p>
        </w:tc>
        <w:tc>
          <w:tcPr>
            <w:tcW w:type="dxa" w:w="2909"/>
            <w:vAlign w:val="top"/>
            <w:tcMar>
              <w:top w:w="95" w:type="dxa"/>
              <w:start w:w="90" w:type="dxa"/>
              <w:bottom w:w="95" w:type="dxa"/>
              <w:end w:w="90" w:type="dxa"/>
            </w:tcMar>
          </w:tcPr>
          <w:p>
            <w:pPr>
              <w:spacing w:after="40"/>
            </w:pPr>
            <w:r>
              <w:rPr>
                <w:rFonts w:ascii="Aptos" w:hAnsi="Aptos"/>
                <w:sz w:val="16"/>
              </w:rPr>
              <w:t>Actual workbook shows tab suffix “(Rev.1)” and form header “Rev. 2”; dated 14.12.2025.</w:t>
            </w:r>
          </w:p>
        </w:tc>
        <w:tc>
          <w:tcPr>
            <w:tcW w:type="dxa" w:w="3874"/>
            <w:vAlign w:val="top"/>
            <w:tcMar>
              <w:top w:w="95" w:type="dxa"/>
              <w:start w:w="90" w:type="dxa"/>
              <w:bottom w:w="95" w:type="dxa"/>
              <w:end w:w="90" w:type="dxa"/>
            </w:tcMar>
          </w:tcPr>
          <w:p>
            <w:pPr>
              <w:spacing w:after="40"/>
            </w:pPr>
            <w:r>
              <w:rPr>
                <w:rFonts w:ascii="Aptos" w:hAnsi="Aptos"/>
                <w:sz w:val="16"/>
              </w:rPr>
              <w:t>Form Revision [OPEN]; Effective Date [OPEN]; Master List / Approval Ref [ ]; Draft Marking [DRAFT—NOT EFFECTIVE]; verification status [ ].</w:t>
            </w:r>
          </w:p>
        </w:tc>
        <w:tc>
          <w:tcPr>
            <w:tcW w:type="dxa" w:w="3830"/>
            <w:vAlign w:val="top"/>
            <w:tcMar>
              <w:top w:w="95" w:type="dxa"/>
              <w:start w:w="90" w:type="dxa"/>
              <w:bottom w:w="95" w:type="dxa"/>
              <w:end w:w="90" w:type="dxa"/>
            </w:tcMar>
          </w:tcPr>
          <w:p>
            <w:pPr>
              <w:spacing w:after="40"/>
            </w:pPr>
            <w:r>
              <w:rPr>
                <w:rFonts w:ascii="Aptos" w:hAnsi="Aptos"/>
                <w:sz w:val="16"/>
              </w:rPr>
              <w:t>Required: Approved revision history/master-document register; correctly controlled blank master once released; no assumptions from filename/tab alone.</w:t>
              <w:br/>
              <w:t>Route: Document revision control</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shd w:fill="F2F6F9"/>
          </w:tcPr>
          <w:p>
            <w:pPr>
              <w:spacing w:after="40"/>
            </w:pPr>
            <w:r>
              <w:rPr>
                <w:rFonts w:ascii="Aptos" w:hAnsi="Aptos"/>
                <w:sz w:val="16"/>
              </w:rPr>
              <w:t>GAP-014 | P2 — Product-material/appearance criteria are not linked to controlled inspection standards</w:t>
              <w:br/>
              <w:br/>
              <w:t>TF lists stainless-steel sensor, copper/PVC jacket, PP connector and copper pins and contains visual defect descriptions, but the in-process form does not link a relevant controlled defect/variant material reference or clarify what is verified upstream.</w:t>
            </w:r>
          </w:p>
        </w:tc>
        <w:tc>
          <w:tcPr>
            <w:tcW w:type="dxa" w:w="2851"/>
            <w:vAlign w:val="top"/>
            <w:tcMar>
              <w:top w:w="95" w:type="dxa"/>
              <w:start w:w="90" w:type="dxa"/>
              <w:bottom w:w="95" w:type="dxa"/>
              <w:end w:w="90" w:type="dxa"/>
            </w:tcMar>
            <w:shd w:fill="F2F6F9"/>
          </w:tcPr>
          <w:p>
            <w:pPr>
              <w:spacing w:after="40"/>
            </w:pPr>
            <w:r>
              <w:rPr>
                <w:rFonts w:ascii="Aptos" w:hAnsi="Aptos"/>
                <w:sz w:val="16"/>
              </w:rPr>
              <w:t>ISO: CLAUSE/PAGE NOT VERIFIED; primary standard absent. DO NOT treat internal values as ISO.</w:t>
              <w:br/>
              <w:br/>
              <w:t>Verified INTERNAL source:</w:t>
              <w:br/>
              <w:t>TF-M21-PS p.2 §6 and pp.2–3 §§7.1–7.5; F-823-i128 r.11–17.</w:t>
            </w:r>
          </w:p>
        </w:tc>
        <w:tc>
          <w:tcPr>
            <w:tcW w:type="dxa" w:w="2923"/>
            <w:vAlign w:val="top"/>
            <w:tcMar>
              <w:top w:w="95" w:type="dxa"/>
              <w:start w:w="90" w:type="dxa"/>
              <w:bottom w:w="95" w:type="dxa"/>
              <w:end w:w="90" w:type="dxa"/>
            </w:tcMar>
            <w:shd w:fill="F2F6F9"/>
          </w:tcPr>
          <w:p>
            <w:pPr>
              <w:spacing w:after="40"/>
            </w:pPr>
            <w:r>
              <w:rPr>
                <w:rFonts w:ascii="Aptos" w:hAnsi="Aptos"/>
                <w:sz w:val="16"/>
              </w:rPr>
              <w:t>WI p.1 §§5.2.1–5.2.4 has visual appearance and connection checks; p.2 §6 references TF-M21-PS generically.</w:t>
            </w:r>
          </w:p>
        </w:tc>
        <w:tc>
          <w:tcPr>
            <w:tcW w:type="dxa" w:w="3989"/>
            <w:vAlign w:val="top"/>
            <w:tcMar>
              <w:top w:w="95" w:type="dxa"/>
              <w:start w:w="90" w:type="dxa"/>
              <w:bottom w:w="95" w:type="dxa"/>
              <w:end w:w="90" w:type="dxa"/>
            </w:tcMar>
            <w:shd w:fill="F2F6F9"/>
          </w:tcPr>
          <w:p>
            <w:pPr>
              <w:spacing w:after="40"/>
            </w:pPr>
            <w:r>
              <w:rPr>
                <w:rFonts w:ascii="Aptos" w:hAnsi="Aptos"/>
                <w:sz w:val="16"/>
              </w:rPr>
              <w:t>Proposed WI §6 / §8.2: Check assembled parts for the specified visible defects—cuts, cracks, bent pins, corrosion/rust particles, black spots, sharp edges and other applicable defects—against approved photographs/acceptance examples or controlled material specifications. Verify material grades/composition through approved receiving, supplier or qualification evidence where visual assessment cannot confirm composition. Identify source ref and N/A justification per configured variant.</w:t>
            </w:r>
          </w:p>
        </w:tc>
        <w:tc>
          <w:tcPr>
            <w:tcW w:type="dxa" w:w="2909"/>
            <w:vAlign w:val="top"/>
            <w:tcMar>
              <w:top w:w="95" w:type="dxa"/>
              <w:start w:w="90" w:type="dxa"/>
              <w:bottom w:w="95" w:type="dxa"/>
              <w:end w:w="90" w:type="dxa"/>
            </w:tcMar>
            <w:shd w:fill="F2F6F9"/>
          </w:tcPr>
          <w:p>
            <w:pPr>
              <w:spacing w:after="40"/>
            </w:pPr>
            <w:r>
              <w:rPr>
                <w:rFonts w:ascii="Aptos" w:hAnsi="Aptos"/>
                <w:sz w:val="16"/>
              </w:rPr>
              <w:t>F-823-i128 r.11 “good appearance”; r.12 “No damaged, No defected”; r.13–17 qualitative criteria.</w:t>
            </w:r>
          </w:p>
        </w:tc>
        <w:tc>
          <w:tcPr>
            <w:tcW w:type="dxa" w:w="3874"/>
            <w:vAlign w:val="top"/>
            <w:tcMar>
              <w:top w:w="95" w:type="dxa"/>
              <w:start w:w="90" w:type="dxa"/>
              <w:bottom w:w="95" w:type="dxa"/>
              <w:end w:w="90" w:type="dxa"/>
            </w:tcMar>
            <w:shd w:fill="F2F6F9"/>
          </w:tcPr>
          <w:p>
            <w:pPr>
              <w:spacing w:after="40"/>
            </w:pPr>
            <w:r>
              <w:rPr>
                <w:rFonts w:ascii="Aptos" w:hAnsi="Aptos"/>
                <w:sz w:val="16"/>
              </w:rPr>
              <w:t>Visual Defect Ref [ ]; observed defect [None/Description]; assembly characteristic result [P/F/N/A]; material verification route [Incoming/Supplier/Qualification]; controlled evidence ref [ ].</w:t>
            </w:r>
          </w:p>
        </w:tc>
        <w:tc>
          <w:tcPr>
            <w:tcW w:type="dxa" w:w="3830"/>
            <w:vAlign w:val="top"/>
            <w:tcMar>
              <w:top w:w="95" w:type="dxa"/>
              <w:start w:w="90" w:type="dxa"/>
              <w:bottom w:w="95" w:type="dxa"/>
              <w:end w:w="90" w:type="dxa"/>
            </w:tcMar>
            <w:shd w:fill="F2F6F9"/>
          </w:tcPr>
          <w:p>
            <w:pPr>
              <w:spacing w:after="40"/>
            </w:pPr>
            <w:r>
              <w:rPr>
                <w:rFonts w:ascii="Aptos" w:hAnsi="Aptos"/>
                <w:sz w:val="16"/>
              </w:rPr>
              <w:t>Required: Approved material/visual defect specifications; component receipts/certificates and photographs/drawings; filled observed results.</w:t>
              <w:br/>
              <w:t>Route: Routine visual + incoming material</w:t>
              <w:br/>
              <w:t>Available evidence: Source documents only; completed records NOT supplied.</w:t>
              <w:br/>
              <w:t>Status: Open — Technical Input / Evidence</w:t>
              <w:br/>
              <w:t>ISO closure: NOT VERIFIED.</w:t>
            </w:r>
          </w:p>
        </w:tc>
      </w:tr>
      <w:tr>
        <w:trPr>
          <w:cantSplit/>
        </w:trPr>
        <w:tc>
          <w:tcPr>
            <w:tcW w:type="dxa" w:w="2851"/>
            <w:vAlign w:val="top"/>
            <w:tcMar>
              <w:top w:w="95" w:type="dxa"/>
              <w:start w:w="90" w:type="dxa"/>
              <w:bottom w:w="95" w:type="dxa"/>
              <w:end w:w="90" w:type="dxa"/>
            </w:tcMar>
          </w:tcPr>
          <w:p>
            <w:pPr>
              <w:spacing w:after="40"/>
            </w:pPr>
            <w:r>
              <w:rPr>
                <w:rFonts w:ascii="Aptos" w:hAnsi="Aptos"/>
                <w:sz w:val="16"/>
              </w:rPr>
              <w:t>GAP-015 | P2 — Expiry claim and storage/packaging specifications require release-record linkage</w:t>
              <w:br/>
              <w:br/>
              <w:t>TF defines a three-year expiry claim and storage/carton conditions; the skin in-process form is not intended to verify shelf-life substantiation or final printed expiry, but related approved records are absent.</w:t>
            </w:r>
          </w:p>
        </w:tc>
        <w:tc>
          <w:tcPr>
            <w:tcW w:type="dxa" w:w="2851"/>
            <w:vAlign w:val="top"/>
            <w:tcMar>
              <w:top w:w="95" w:type="dxa"/>
              <w:start w:w="90" w:type="dxa"/>
              <w:bottom w:w="95" w:type="dxa"/>
              <w:end w:w="90" w:type="dxa"/>
            </w:tcMar>
          </w:tcPr>
          <w:p>
            <w:pPr>
              <w:spacing w:after="40"/>
            </w:pPr>
            <w:r>
              <w:rPr>
                <w:rFonts w:ascii="Aptos" w:hAnsi="Aptos"/>
                <w:sz w:val="16"/>
              </w:rPr>
              <w:t>ISO: CLAUSE/PAGE NOT VERIFIED; primary standard absent. DO NOT treat internal values as ISO.</w:t>
              <w:br/>
              <w:br/>
              <w:t>Verified INTERNAL source:</w:t>
              <w:br/>
              <w:t>TF-M21-PS p.3 §§8–8.1 and p.4 §9; WI p.2 §8–9.</w:t>
            </w:r>
          </w:p>
        </w:tc>
        <w:tc>
          <w:tcPr>
            <w:tcW w:type="dxa" w:w="2923"/>
            <w:vAlign w:val="top"/>
            <w:tcMar>
              <w:top w:w="95" w:type="dxa"/>
              <w:start w:w="90" w:type="dxa"/>
              <w:bottom w:w="95" w:type="dxa"/>
              <w:end w:w="90" w:type="dxa"/>
            </w:tcMar>
          </w:tcPr>
          <w:p>
            <w:pPr>
              <w:spacing w:after="40"/>
            </w:pPr>
            <w:r>
              <w:rPr>
                <w:rFonts w:ascii="Aptos" w:hAnsi="Aptos"/>
                <w:sz w:val="16"/>
              </w:rPr>
              <w:t>WI p.2 §8: requires label production and expiry dates; §9 requires final inspection/release. It does not describe evidence link proving claimed lifetime.</w:t>
            </w:r>
          </w:p>
        </w:tc>
        <w:tc>
          <w:tcPr>
            <w:tcW w:type="dxa" w:w="3989"/>
            <w:vAlign w:val="top"/>
            <w:tcMar>
              <w:top w:w="95" w:type="dxa"/>
              <w:start w:w="90" w:type="dxa"/>
              <w:bottom w:w="95" w:type="dxa"/>
              <w:end w:w="90" w:type="dxa"/>
            </w:tcMar>
          </w:tcPr>
          <w:p>
            <w:pPr>
              <w:spacing w:after="40"/>
            </w:pPr>
            <w:r>
              <w:rPr>
                <w:rFonts w:ascii="Aptos" w:hAnsi="Aptos"/>
                <w:sz w:val="16"/>
              </w:rPr>
              <w:t>Proposed WI §13 / §15: The approved product specification states a three-year period from manufacture for the products in scope; verify that manufacture/expiry calculation and label printing follow the currently approved product-specific shelf-life rationale and artwork. Evidence of shelf-life qualification is held in a controlled file and not generated by routine two-hour assembly checks. Link the approved final packaging/release record and shelf-life evidence to the applicable code/lot. If suitability for every variant is unproven, OPEN TECHNICAL INPUT REQUIRED.</w:t>
            </w:r>
          </w:p>
        </w:tc>
        <w:tc>
          <w:tcPr>
            <w:tcW w:type="dxa" w:w="2909"/>
            <w:vAlign w:val="top"/>
            <w:tcMar>
              <w:top w:w="95" w:type="dxa"/>
              <w:start w:w="90" w:type="dxa"/>
              <w:bottom w:w="95" w:type="dxa"/>
              <w:end w:w="90" w:type="dxa"/>
            </w:tcMar>
          </w:tcPr>
          <w:p>
            <w:pPr>
              <w:spacing w:after="40"/>
            </w:pPr>
            <w:r>
              <w:rPr>
                <w:rFonts w:ascii="Aptos" w:hAnsi="Aptos"/>
                <w:sz w:val="16"/>
              </w:rPr>
              <w:t>F-823-i128 r.11–17 has no shelf-life/expiry field; alternate F-823-F247 is cited by WI but not provided.</w:t>
            </w:r>
          </w:p>
        </w:tc>
        <w:tc>
          <w:tcPr>
            <w:tcW w:type="dxa" w:w="3874"/>
            <w:vAlign w:val="top"/>
            <w:tcMar>
              <w:top w:w="95" w:type="dxa"/>
              <w:start w:w="90" w:type="dxa"/>
              <w:bottom w:w="95" w:type="dxa"/>
              <w:end w:w="90" w:type="dxa"/>
            </w:tcMar>
          </w:tcPr>
          <w:p>
            <w:pPr>
              <w:spacing w:after="40"/>
            </w:pPr>
            <w:r>
              <w:rPr>
                <w:rFonts w:ascii="Aptos" w:hAnsi="Aptos"/>
                <w:sz w:val="16"/>
              </w:rPr>
              <w:t>Final Label / Release Record [ ]; Approved Shelf-Life Evidence Ref [ ]; Production Date [ ]; Label Expiry Verified [Y/N/Pending in final record]; code/lot [ ]; alternative controlled route [ ].</w:t>
            </w:r>
          </w:p>
        </w:tc>
        <w:tc>
          <w:tcPr>
            <w:tcW w:type="dxa" w:w="3830"/>
            <w:vAlign w:val="top"/>
            <w:tcMar>
              <w:top w:w="95" w:type="dxa"/>
              <w:start w:w="90" w:type="dxa"/>
              <w:bottom w:w="95" w:type="dxa"/>
              <w:end w:w="90" w:type="dxa"/>
            </w:tcMar>
          </w:tcPr>
          <w:p>
            <w:pPr>
              <w:spacing w:after="40"/>
            </w:pPr>
            <w:r>
              <w:rPr>
                <w:rFonts w:ascii="Aptos" w:hAnsi="Aptos"/>
                <w:sz w:val="16"/>
              </w:rPr>
              <w:t>Required: Approved shelf-life substantiation covering relevant material/configuration, final label/expiry verification, production/release records; no inference that 3-year claim is validated.</w:t>
              <w:br/>
              <w:t>Route: Qualification + final release</w:t>
              <w:br/>
              <w:t>Available evidence: Source documents only; completed records NOT supplied.</w:t>
              <w:br/>
              <w:t>Status: Open — Technical Input / Evidence</w:t>
              <w:br/>
              <w:t>ISO closure: NOT VERIFIED.</w:t>
            </w:r>
          </w:p>
        </w:tc>
      </w:tr>
    </w:tbl>
    <w:p>
      <w:pPr>
        <w:spacing w:after="0"/>
      </w:pPr>
    </w:p>
    <w:p>
      <w:pPr>
        <w:sectPr>
          <w:pgSz w:w="23811" w:h="16838"/>
          <w:pgMar w:top="965" w:right="792" w:bottom="893" w:left="792" w:header="518" w:footer="518" w:gutter="0"/>
          <w:cols w:space="720"/>
          <w:docGrid w:linePitch="360"/>
        </w:sectPr>
      </w:pPr>
    </w:p>
    <w:p>
      <w:pPr>
        <w:pStyle w:val="Heading1"/>
      </w:pPr>
      <w:r>
        <w:t>6. In-Process and Alternative Verification Strategy</w:t>
      </w:r>
    </w:p>
    <w:p>
      <w:pPr>
        <w:pStyle w:val="ListBullet"/>
      </w:pPr>
      <w:r>
        <w:t>Routine in-process: two-hour checkpoint process maintained from WI §7; assess appearance, visual integrity, cable length and an approved, documented functional check only where required by the accepted control plan. Numeric readings require actual values.</w:t>
      </w:r>
    </w:p>
    <w:p>
      <w:pPr>
        <w:pStyle w:val="ListBullet"/>
      </w:pPr>
      <w:r>
        <w:t>Incoming/supplier: materials, purchase order, incoming acceptance, COA and component traceability belong to their receiving control and must be linked to production lots.</w:t>
      </w:r>
    </w:p>
    <w:p>
      <w:pPr>
        <w:pStyle w:val="ListBullet"/>
      </w:pPr>
      <w:r>
        <w:t>Packaging/final release: labeling, pouch condition, quantity, expiry and final product release remain linked to F-823-i4 / F-823-F247 (or document-controlled successors). These forms were not supplied and their effectiveness cannot be verified.</w:t>
      </w:r>
    </w:p>
    <w:p>
      <w:pPr>
        <w:pStyle w:val="ListBullet"/>
      </w:pPr>
      <w:r>
        <w:t>Qualification / periodic: monitor/probe compatibility, accuracy validation, quantitative retention strength (if required), biocompatibility and shelf life require an approved verification strategy rather than default every-lot testing.</w:t>
      </w:r>
    </w:p>
    <w:p>
      <w:pPr>
        <w:pStyle w:val="ListBullet"/>
      </w:pPr>
      <w:r>
        <w:t>Sampling: no AQL level, sample size, acceptance number or monitoring tolerance is invented in this report.</w:t>
      </w:r>
    </w:p>
    <w:p>
      <w:pPr>
        <w:pStyle w:val="Heading1"/>
      </w:pPr>
      <w:r>
        <w:t>7. WI / In-Process Form Revision Overview</w:t>
      </w:r>
    </w:p>
    <w:p>
      <w:pPr/>
      <w:r>
        <w:t>The separate Revised WI reconstructs 18 sections while preserving valid original manufacturing, incoming, packaging, final inspection and approval controls. The separate draft F-823-i128 has actual measured-result fields, sample/checkpoint traceability, linked evidence and hold/deviation controls. Neither is an approved effective document.</w:t>
      </w:r>
    </w:p>
    <w:p>
      <w:pPr>
        <w:pStyle w:val="Heading1"/>
      </w:pPr>
      <w:r>
        <w:t>8. ISO Closure Review</w:t>
      </w:r>
    </w:p>
    <w:p>
      <w:pPr/>
      <w:r>
        <w:t>ISO documentary coverage: NOT ASSESSABLE (applicable standard absent). Company-document proposed coverage: 15 proposed remediations defined; none is verified implemented. Operational product conformity: NOT VERIFIED (no executed data). Approved implementation: NOT VERIFIED. Do not interpret the gap count as the total number of ISO nonconformities.</w:t>
      </w:r>
    </w:p>
    <w:tbl>
      <w:tblPr>
        <w:tblStyle w:val="TableGrid"/>
        <w:tblW w:type="auto" w:w="0"/>
        <w:jc w:val="center"/>
        <w:tblLayout w:type="fixed"/>
        <w:tblLook w:firstColumn="1" w:firstRow="1" w:lastColumn="0" w:lastRow="0" w:noHBand="0" w:noVBand="1" w:val="04A0"/>
      </w:tblPr>
      <w:tblGrid>
        <w:gridCol w:w="3312"/>
        <w:gridCol w:w="6768"/>
      </w:tblGrid>
      <w:tr>
        <w:trPr>
          <w:tblHeader w:val="true"/>
          <w:cantSplit/>
        </w:trPr>
        <w:tc>
          <w:tcPr>
            <w:tcW w:type="dxa" w:w="3312"/>
            <w:shd w:fill="16243B"/>
            <w:tcMar>
              <w:top w:w="95" w:type="dxa"/>
              <w:start w:w="90" w:type="dxa"/>
              <w:bottom w:w="95" w:type="dxa"/>
              <w:end w:w="90" w:type="dxa"/>
            </w:tcMar>
            <w:vAlign w:val="center"/>
          </w:tcPr>
          <w:p>
            <w:r>
              <w:rPr>
                <w:b/>
                <w:color w:val="FFFFFF"/>
                <w:sz w:val="16"/>
              </w:rPr>
              <w:t>Closure category</w:t>
            </w:r>
          </w:p>
        </w:tc>
        <w:tc>
          <w:tcPr>
            <w:tcW w:type="dxa" w:w="6768"/>
            <w:shd w:fill="16243B"/>
            <w:tcMar>
              <w:top w:w="95" w:type="dxa"/>
              <w:start w:w="90" w:type="dxa"/>
              <w:bottom w:w="95" w:type="dxa"/>
              <w:end w:w="90" w:type="dxa"/>
            </w:tcMar>
            <w:vAlign w:val="center"/>
          </w:tcPr>
          <w:p>
            <w:r>
              <w:rPr>
                <w:b/>
                <w:color w:val="FFFFFF"/>
                <w:sz w:val="16"/>
              </w:rPr>
              <w:t>Result / limitation</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ISO clause coverage</w:t>
            </w:r>
          </w:p>
        </w:tc>
        <w:tc>
          <w:tcPr>
            <w:tcW w:type="dxa" w:w="6768"/>
            <w:vAlign w:val="top"/>
            <w:tcMar>
              <w:top w:w="95" w:type="dxa"/>
              <w:start w:w="90" w:type="dxa"/>
              <w:bottom w:w="95" w:type="dxa"/>
              <w:end w:w="90" w:type="dxa"/>
            </w:tcMar>
          </w:tcPr>
          <w:p>
            <w:pPr>
              <w:spacing w:after="40"/>
            </w:pPr>
            <w:r>
              <w:rPr>
                <w:rFonts w:ascii="Aptos" w:hAnsi="Aptos"/>
                <w:sz w:val="16"/>
              </w:rPr>
              <w:t>Pending standard selection + full clause/page audit</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Proposed company-document fixes</w:t>
            </w:r>
          </w:p>
        </w:tc>
        <w:tc>
          <w:tcPr>
            <w:tcW w:type="dxa" w:w="6768"/>
            <w:vAlign w:val="top"/>
            <w:tcMar>
              <w:top w:w="95" w:type="dxa"/>
              <w:start w:w="90" w:type="dxa"/>
              <w:bottom w:w="95" w:type="dxa"/>
              <w:end w:w="90" w:type="dxa"/>
            </w:tcMar>
            <w:shd w:fill="F2F6F9"/>
          </w:tcPr>
          <w:p>
            <w:pPr>
              <w:spacing w:after="40"/>
            </w:pPr>
            <w:r>
              <w:rPr>
                <w:rFonts w:ascii="Aptos" w:hAnsi="Aptos"/>
                <w:sz w:val="16"/>
              </w:rPr>
              <w:t>15 described in Draft WI and Draft In-Process Form</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Approved revisions</w:t>
            </w:r>
          </w:p>
        </w:tc>
        <w:tc>
          <w:tcPr>
            <w:tcW w:type="dxa" w:w="6768"/>
            <w:vAlign w:val="top"/>
            <w:tcMar>
              <w:top w:w="95" w:type="dxa"/>
              <w:start w:w="90" w:type="dxa"/>
              <w:bottom w:w="95" w:type="dxa"/>
              <w:end w:w="90" w:type="dxa"/>
            </w:tcMar>
          </w:tcPr>
          <w:p>
            <w:pPr>
              <w:spacing w:after="40"/>
            </w:pPr>
            <w:r>
              <w:rPr>
                <w:rFonts w:ascii="Aptos" w:hAnsi="Aptos"/>
                <w:sz w:val="16"/>
              </w:rPr>
              <w:t>None supplied; all drafts pending QA/QC review</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Actual test evidence</w:t>
            </w:r>
          </w:p>
        </w:tc>
        <w:tc>
          <w:tcPr>
            <w:tcW w:type="dxa" w:w="6768"/>
            <w:vAlign w:val="top"/>
            <w:tcMar>
              <w:top w:w="95" w:type="dxa"/>
              <w:start w:w="90" w:type="dxa"/>
              <w:bottom w:w="95" w:type="dxa"/>
              <w:end w:w="90" w:type="dxa"/>
            </w:tcMar>
            <w:shd w:fill="F2F6F9"/>
          </w:tcPr>
          <w:p>
            <w:pPr>
              <w:spacing w:after="40"/>
            </w:pPr>
            <w:r>
              <w:rPr>
                <w:rFonts w:ascii="Aptos" w:hAnsi="Aptos"/>
                <w:sz w:val="16"/>
              </w:rPr>
              <w:t>None supplied</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Confirmed ISO closures</w:t>
            </w:r>
          </w:p>
        </w:tc>
        <w:tc>
          <w:tcPr>
            <w:tcW w:type="dxa" w:w="6768"/>
            <w:vAlign w:val="top"/>
            <w:tcMar>
              <w:top w:w="95" w:type="dxa"/>
              <w:start w:w="90" w:type="dxa"/>
              <w:bottom w:w="95" w:type="dxa"/>
              <w:end w:w="90" w:type="dxa"/>
            </w:tcMar>
          </w:tcPr>
          <w:p>
            <w:pPr>
              <w:spacing w:after="40"/>
            </w:pPr>
            <w:r>
              <w:rPr>
                <w:rFonts w:ascii="Aptos" w:hAnsi="Aptos"/>
                <w:sz w:val="16"/>
              </w:rPr>
              <w:t>0 verified; not equivalent to proven nonconformity</w:t>
            </w:r>
          </w:p>
        </w:tc>
      </w:tr>
    </w:tbl>
    <w:p>
      <w:pPr>
        <w:spacing w:after="0"/>
      </w:pPr>
    </w:p>
    <w:p>
      <w:pPr>
        <w:pStyle w:val="Heading1"/>
      </w:pPr>
      <w:r>
        <w:t>9. QC Manager Decision and Action Plan</w:t>
      </w:r>
    </w:p>
    <w:tbl>
      <w:tblPr>
        <w:tblStyle w:val="TableGrid"/>
        <w:tblW w:type="auto" w:w="0"/>
        <w:jc w:val="center"/>
        <w:tblLayout w:type="fixed"/>
        <w:tblLook w:firstColumn="1" w:firstRow="1" w:lastColumn="0" w:lastRow="0" w:noHBand="0" w:noVBand="1" w:val="04A0"/>
      </w:tblPr>
      <w:tblGrid>
        <w:gridCol w:w="1080"/>
        <w:gridCol w:w="893"/>
        <w:gridCol w:w="2160"/>
        <w:gridCol w:w="1613"/>
        <w:gridCol w:w="2520"/>
        <w:gridCol w:w="1814"/>
      </w:tblGrid>
      <w:tr>
        <w:trPr>
          <w:tblHeader w:val="true"/>
          <w:cantSplit/>
        </w:trPr>
        <w:tc>
          <w:tcPr>
            <w:tcW w:type="dxa" w:w="1080"/>
            <w:shd w:fill="16243B"/>
            <w:tcMar>
              <w:top w:w="95" w:type="dxa"/>
              <w:start w:w="90" w:type="dxa"/>
              <w:bottom w:w="95" w:type="dxa"/>
              <w:end w:w="90" w:type="dxa"/>
            </w:tcMar>
            <w:vAlign w:val="center"/>
          </w:tcPr>
          <w:p>
            <w:r>
              <w:rPr>
                <w:b/>
                <w:color w:val="FFFFFF"/>
                <w:sz w:val="15"/>
              </w:rPr>
              <w:t>Gap ID</w:t>
            </w:r>
          </w:p>
        </w:tc>
        <w:tc>
          <w:tcPr>
            <w:tcW w:type="dxa" w:w="893"/>
            <w:shd w:fill="16243B"/>
            <w:tcMar>
              <w:top w:w="95" w:type="dxa"/>
              <w:start w:w="90" w:type="dxa"/>
              <w:bottom w:w="95" w:type="dxa"/>
              <w:end w:w="90" w:type="dxa"/>
            </w:tcMar>
            <w:vAlign w:val="center"/>
          </w:tcPr>
          <w:p>
            <w:r>
              <w:rPr>
                <w:b/>
                <w:color w:val="FFFFFF"/>
                <w:sz w:val="15"/>
              </w:rPr>
              <w:t>Priority</w:t>
            </w:r>
          </w:p>
        </w:tc>
        <w:tc>
          <w:tcPr>
            <w:tcW w:type="dxa" w:w="2160"/>
            <w:shd w:fill="16243B"/>
            <w:tcMar>
              <w:top w:w="95" w:type="dxa"/>
              <w:start w:w="90" w:type="dxa"/>
              <w:bottom w:w="95" w:type="dxa"/>
              <w:end w:w="90" w:type="dxa"/>
            </w:tcMar>
            <w:vAlign w:val="center"/>
          </w:tcPr>
          <w:p>
            <w:r>
              <w:rPr>
                <w:b/>
                <w:color w:val="FFFFFF"/>
                <w:sz w:val="15"/>
              </w:rPr>
              <w:t>Required Action</w:t>
            </w:r>
          </w:p>
        </w:tc>
        <w:tc>
          <w:tcPr>
            <w:tcW w:type="dxa" w:w="1613"/>
            <w:shd w:fill="16243B"/>
            <w:tcMar>
              <w:top w:w="95" w:type="dxa"/>
              <w:start w:w="90" w:type="dxa"/>
              <w:bottom w:w="95" w:type="dxa"/>
              <w:end w:w="90" w:type="dxa"/>
            </w:tcMar>
            <w:vAlign w:val="center"/>
          </w:tcPr>
          <w:p>
            <w:r>
              <w:rPr>
                <w:b/>
                <w:color w:val="FFFFFF"/>
                <w:sz w:val="15"/>
              </w:rPr>
              <w:t>Responsible Function</w:t>
            </w:r>
          </w:p>
        </w:tc>
        <w:tc>
          <w:tcPr>
            <w:tcW w:type="dxa" w:w="2520"/>
            <w:shd w:fill="16243B"/>
            <w:tcMar>
              <w:top w:w="95" w:type="dxa"/>
              <w:start w:w="90" w:type="dxa"/>
              <w:bottom w:w="95" w:type="dxa"/>
              <w:end w:w="90" w:type="dxa"/>
            </w:tcMar>
            <w:vAlign w:val="center"/>
          </w:tcPr>
          <w:p>
            <w:r>
              <w:rPr>
                <w:b/>
                <w:color w:val="FFFFFF"/>
                <w:sz w:val="15"/>
              </w:rPr>
              <w:t>Required Evidence</w:t>
            </w:r>
          </w:p>
        </w:tc>
        <w:tc>
          <w:tcPr>
            <w:tcW w:type="dxa" w:w="1814"/>
            <w:shd w:fill="16243B"/>
            <w:tcMar>
              <w:top w:w="95" w:type="dxa"/>
              <w:start w:w="90" w:type="dxa"/>
              <w:bottom w:w="95" w:type="dxa"/>
              <w:end w:w="90" w:type="dxa"/>
            </w:tcMar>
            <w:vAlign w:val="center"/>
          </w:tcPr>
          <w:p>
            <w:r>
              <w:rPr>
                <w:b/>
                <w:color w:val="FFFFFF"/>
                <w:sz w:val="15"/>
              </w:rPr>
              <w:t>Closure Status</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GAP-001</w:t>
            </w:r>
          </w:p>
        </w:tc>
        <w:tc>
          <w:tcPr>
            <w:tcW w:type="dxa" w:w="893"/>
            <w:vAlign w:val="top"/>
            <w:tcMar>
              <w:top w:w="95" w:type="dxa"/>
              <w:start w:w="90" w:type="dxa"/>
              <w:bottom w:w="95" w:type="dxa"/>
              <w:end w:w="90" w:type="dxa"/>
            </w:tcMar>
          </w:tcPr>
          <w:p>
            <w:pPr>
              <w:spacing w:after="40"/>
            </w:pPr>
            <w:r>
              <w:rPr>
                <w:rFonts w:ascii="Aptos" w:hAnsi="Aptos"/>
                <w:sz w:val="15"/>
              </w:rPr>
              <w:t>P1</w:t>
            </w:r>
          </w:p>
        </w:tc>
        <w:tc>
          <w:tcPr>
            <w:tcW w:type="dxa" w:w="2160"/>
            <w:vAlign w:val="top"/>
            <w:tcMar>
              <w:top w:w="95" w:type="dxa"/>
              <w:start w:w="90" w:type="dxa"/>
              <w:bottom w:w="95" w:type="dxa"/>
              <w:end w:w="90" w:type="dxa"/>
            </w:tcMar>
          </w:tcPr>
          <w:p>
            <w:pPr>
              <w:spacing w:after="40"/>
            </w:pPr>
            <w:r>
              <w:rPr>
                <w:rFonts w:ascii="Aptos" w:hAnsi="Aptos"/>
                <w:sz w:val="15"/>
              </w:rPr>
              <w:t>Variant applicability and controlled specification selection</w:t>
            </w:r>
          </w:p>
        </w:tc>
        <w:tc>
          <w:tcPr>
            <w:tcW w:type="dxa" w:w="1613"/>
            <w:vAlign w:val="top"/>
            <w:tcMar>
              <w:top w:w="95" w:type="dxa"/>
              <w:start w:w="90" w:type="dxa"/>
              <w:bottom w:w="95" w:type="dxa"/>
              <w:end w:w="90" w:type="dxa"/>
            </w:tcMar>
          </w:tcPr>
          <w:p>
            <w:pPr>
              <w:spacing w:after="40"/>
            </w:pPr>
            <w:r>
              <w:rPr>
                <w:rFonts w:ascii="Aptos" w:hAnsi="Aptos"/>
                <w:sz w:val="15"/>
              </w:rPr>
              <w:t>Engineering / QA</w:t>
            </w:r>
          </w:p>
        </w:tc>
        <w:tc>
          <w:tcPr>
            <w:tcW w:type="dxa" w:w="2520"/>
            <w:vAlign w:val="top"/>
            <w:tcMar>
              <w:top w:w="95" w:type="dxa"/>
              <w:start w:w="90" w:type="dxa"/>
              <w:bottom w:w="95" w:type="dxa"/>
              <w:end w:w="90" w:type="dxa"/>
            </w:tcMar>
          </w:tcPr>
          <w:p>
            <w:pPr>
              <w:spacing w:after="40"/>
            </w:pPr>
            <w:r>
              <w:rPr>
                <w:rFonts w:ascii="Aptos" w:hAnsi="Aptos"/>
                <w:sz w:val="15"/>
              </w:rPr>
              <w:t>Approved code-to-form applicability matrix; current controlled variant drawings and product specifications; fi</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GAP-002</w:t>
            </w:r>
          </w:p>
        </w:tc>
        <w:tc>
          <w:tcPr>
            <w:tcW w:type="dxa" w:w="893"/>
            <w:vAlign w:val="top"/>
            <w:tcMar>
              <w:top w:w="95" w:type="dxa"/>
              <w:start w:w="90" w:type="dxa"/>
              <w:bottom w:w="95" w:type="dxa"/>
              <w:end w:w="90" w:type="dxa"/>
            </w:tcMar>
            <w:shd w:fill="F2F6F9"/>
          </w:tcPr>
          <w:p>
            <w:pPr>
              <w:spacing w:after="40"/>
            </w:pPr>
            <w:r>
              <w:rPr>
                <w:rFonts w:ascii="Aptos" w:hAnsi="Aptos"/>
                <w:sz w:val="15"/>
              </w:rPr>
              <w:t>P1</w:t>
            </w:r>
          </w:p>
        </w:tc>
        <w:tc>
          <w:tcPr>
            <w:tcW w:type="dxa" w:w="2160"/>
            <w:vAlign w:val="top"/>
            <w:tcMar>
              <w:top w:w="95" w:type="dxa"/>
              <w:start w:w="90" w:type="dxa"/>
              <w:bottom w:w="95" w:type="dxa"/>
              <w:end w:w="90" w:type="dxa"/>
            </w:tcMar>
            <w:shd w:fill="F2F6F9"/>
          </w:tcPr>
          <w:p>
            <w:pPr>
              <w:spacing w:after="40"/>
            </w:pPr>
            <w:r>
              <w:rPr>
                <w:rFonts w:ascii="Aptos" w:hAnsi="Aptos"/>
                <w:sz w:val="15"/>
              </w:rPr>
              <w:t>Temperature-reading accuracy lacks a verifiable acceptance rule</w:t>
            </w:r>
          </w:p>
        </w:tc>
        <w:tc>
          <w:tcPr>
            <w:tcW w:type="dxa" w:w="1613"/>
            <w:vAlign w:val="top"/>
            <w:tcMar>
              <w:top w:w="95" w:type="dxa"/>
              <w:start w:w="90" w:type="dxa"/>
              <w:bottom w:w="95" w:type="dxa"/>
              <w:end w:w="90" w:type="dxa"/>
            </w:tcMar>
            <w:shd w:fill="F2F6F9"/>
          </w:tcPr>
          <w:p>
            <w:pPr>
              <w:spacing w:after="40"/>
            </w:pPr>
            <w:r>
              <w:rPr>
                <w:rFonts w:ascii="Aptos" w:hAnsi="Aptos"/>
                <w:sz w:val="15"/>
              </w:rPr>
              <w:t>Engineering / QC / QA</w:t>
            </w:r>
          </w:p>
        </w:tc>
        <w:tc>
          <w:tcPr>
            <w:tcW w:type="dxa" w:w="2520"/>
            <w:vAlign w:val="top"/>
            <w:tcMar>
              <w:top w:w="95" w:type="dxa"/>
              <w:start w:w="90" w:type="dxa"/>
              <w:bottom w:w="95" w:type="dxa"/>
              <w:end w:w="90" w:type="dxa"/>
            </w:tcMar>
            <w:shd w:fill="F2F6F9"/>
          </w:tcPr>
          <w:p>
            <w:pPr>
              <w:spacing w:after="40"/>
            </w:pPr>
            <w:r>
              <w:rPr>
                <w:rFonts w:ascii="Aptos" w:hAnsi="Aptos"/>
                <w:sz w:val="15"/>
              </w:rPr>
              <w:t>Approved product-variant accuracy criteria and method; instrument calibration; completed readings/worksheet or</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GAP-003</w:t>
            </w:r>
          </w:p>
        </w:tc>
        <w:tc>
          <w:tcPr>
            <w:tcW w:type="dxa" w:w="893"/>
            <w:vAlign w:val="top"/>
            <w:tcMar>
              <w:top w:w="95" w:type="dxa"/>
              <w:start w:w="90" w:type="dxa"/>
              <w:bottom w:w="95" w:type="dxa"/>
              <w:end w:w="90" w:type="dxa"/>
            </w:tcMar>
          </w:tcPr>
          <w:p>
            <w:pPr>
              <w:spacing w:after="40"/>
            </w:pPr>
            <w:r>
              <w:rPr>
                <w:rFonts w:ascii="Aptos" w:hAnsi="Aptos"/>
                <w:sz w:val="15"/>
              </w:rPr>
              <w:t>P1</w:t>
            </w:r>
          </w:p>
        </w:tc>
        <w:tc>
          <w:tcPr>
            <w:tcW w:type="dxa" w:w="2160"/>
            <w:vAlign w:val="top"/>
            <w:tcMar>
              <w:top w:w="95" w:type="dxa"/>
              <w:start w:w="90" w:type="dxa"/>
              <w:bottom w:w="95" w:type="dxa"/>
              <w:end w:w="90" w:type="dxa"/>
            </w:tcMar>
          </w:tcPr>
          <w:p>
            <w:pPr>
              <w:spacing w:after="40"/>
            </w:pPr>
            <w:r>
              <w:rPr>
                <w:rFonts w:ascii="Aptos" w:hAnsi="Aptos"/>
                <w:sz w:val="15"/>
              </w:rPr>
              <w:t>Conflicting cable-length specifications across variants</w:t>
            </w:r>
          </w:p>
        </w:tc>
        <w:tc>
          <w:tcPr>
            <w:tcW w:type="dxa" w:w="1613"/>
            <w:vAlign w:val="top"/>
            <w:tcMar>
              <w:top w:w="95" w:type="dxa"/>
              <w:start w:w="90" w:type="dxa"/>
              <w:bottom w:w="95" w:type="dxa"/>
              <w:end w:w="90" w:type="dxa"/>
            </w:tcMar>
          </w:tcPr>
          <w:p>
            <w:pPr>
              <w:spacing w:after="40"/>
            </w:pPr>
            <w:r>
              <w:rPr>
                <w:rFonts w:ascii="Aptos" w:hAnsi="Aptos"/>
                <w:sz w:val="15"/>
              </w:rPr>
              <w:t>Engineering / QA / QC</w:t>
            </w:r>
          </w:p>
        </w:tc>
        <w:tc>
          <w:tcPr>
            <w:tcW w:type="dxa" w:w="2520"/>
            <w:vAlign w:val="top"/>
            <w:tcMar>
              <w:top w:w="95" w:type="dxa"/>
              <w:start w:w="90" w:type="dxa"/>
              <w:bottom w:w="95" w:type="dxa"/>
              <w:end w:w="90" w:type="dxa"/>
            </w:tcMar>
          </w:tcPr>
          <w:p>
            <w:pPr>
              <w:spacing w:after="40"/>
            </w:pPr>
            <w:r>
              <w:rPr>
                <w:rFonts w:ascii="Aptos" w:hAnsi="Aptos"/>
                <w:sz w:val="15"/>
              </w:rPr>
              <w:t xml:space="preserve">Approved variant-by-variant dimensions/drawings resolving TF internal conflict; completed numeric measurement </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GAP-004</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AQL sample selection and two-hour frequency cannot be independently verified</w:t>
            </w:r>
          </w:p>
        </w:tc>
        <w:tc>
          <w:tcPr>
            <w:tcW w:type="dxa" w:w="1613"/>
            <w:vAlign w:val="top"/>
            <w:tcMar>
              <w:top w:w="95" w:type="dxa"/>
              <w:start w:w="90" w:type="dxa"/>
              <w:bottom w:w="95" w:type="dxa"/>
              <w:end w:w="90" w:type="dxa"/>
            </w:tcMar>
            <w:shd w:fill="F2F6F9"/>
          </w:tcPr>
          <w:p>
            <w:pPr>
              <w:spacing w:after="40"/>
            </w:pPr>
            <w:r>
              <w:rPr>
                <w:rFonts w:ascii="Aptos" w:hAnsi="Aptos"/>
                <w:sz w:val="15"/>
              </w:rPr>
              <w:t>QC / QA / Production</w:t>
            </w:r>
          </w:p>
        </w:tc>
        <w:tc>
          <w:tcPr>
            <w:tcW w:type="dxa" w:w="2520"/>
            <w:vAlign w:val="top"/>
            <w:tcMar>
              <w:top w:w="95" w:type="dxa"/>
              <w:start w:w="90" w:type="dxa"/>
              <w:bottom w:w="95" w:type="dxa"/>
              <w:end w:w="90" w:type="dxa"/>
            </w:tcMar>
            <w:shd w:fill="F2F6F9"/>
          </w:tcPr>
          <w:p>
            <w:pPr>
              <w:spacing w:after="40"/>
            </w:pPr>
            <w:r>
              <w:rPr>
                <w:rFonts w:ascii="Aptos" w:hAnsi="Aptos"/>
                <w:sz w:val="15"/>
              </w:rPr>
              <w:t>Approved current sampling plan; completed shift control logs with counts and actual times; documented disposit</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GAP-005</w:t>
            </w:r>
          </w:p>
        </w:tc>
        <w:tc>
          <w:tcPr>
            <w:tcW w:type="dxa" w:w="893"/>
            <w:vAlign w:val="top"/>
            <w:tcMar>
              <w:top w:w="95" w:type="dxa"/>
              <w:start w:w="90" w:type="dxa"/>
              <w:bottom w:w="95" w:type="dxa"/>
              <w:end w:w="90" w:type="dxa"/>
            </w:tcMar>
          </w:tcPr>
          <w:p>
            <w:pPr>
              <w:spacing w:after="40"/>
            </w:pPr>
            <w:r>
              <w:rPr>
                <w:rFonts w:ascii="Aptos" w:hAnsi="Aptos"/>
                <w:sz w:val="15"/>
              </w:rPr>
              <w:t>P2</w:t>
            </w:r>
          </w:p>
        </w:tc>
        <w:tc>
          <w:tcPr>
            <w:tcW w:type="dxa" w:w="2160"/>
            <w:vAlign w:val="top"/>
            <w:tcMar>
              <w:top w:w="95" w:type="dxa"/>
              <w:start w:w="90" w:type="dxa"/>
              <w:bottom w:w="95" w:type="dxa"/>
              <w:end w:w="90" w:type="dxa"/>
            </w:tcMar>
          </w:tcPr>
          <w:p>
            <w:pPr>
              <w:spacing w:after="40"/>
            </w:pPr>
            <w:r>
              <w:rPr>
                <w:rFonts w:ascii="Aptos" w:hAnsi="Aptos"/>
                <w:sz w:val="15"/>
              </w:rPr>
              <w:t>No per-checkpoint sample identification / measured-result traceability</w:t>
            </w:r>
          </w:p>
        </w:tc>
        <w:tc>
          <w:tcPr>
            <w:tcW w:type="dxa" w:w="1613"/>
            <w:vAlign w:val="top"/>
            <w:tcMar>
              <w:top w:w="95" w:type="dxa"/>
              <w:start w:w="90" w:type="dxa"/>
              <w:bottom w:w="95" w:type="dxa"/>
              <w:end w:w="90" w:type="dxa"/>
            </w:tcMar>
          </w:tcPr>
          <w:p>
            <w:pPr>
              <w:spacing w:after="40"/>
            </w:pPr>
            <w:r>
              <w:rPr>
                <w:rFonts w:ascii="Aptos" w:hAnsi="Aptos"/>
                <w:sz w:val="15"/>
              </w:rPr>
              <w:t>QC / Production</w:t>
            </w:r>
          </w:p>
        </w:tc>
        <w:tc>
          <w:tcPr>
            <w:tcW w:type="dxa" w:w="2520"/>
            <w:vAlign w:val="top"/>
            <w:tcMar>
              <w:top w:w="95" w:type="dxa"/>
              <w:start w:w="90" w:type="dxa"/>
              <w:bottom w:w="95" w:type="dxa"/>
              <w:end w:w="90" w:type="dxa"/>
            </w:tcMar>
          </w:tcPr>
          <w:p>
            <w:pPr>
              <w:spacing w:after="40"/>
            </w:pPr>
            <w:r>
              <w:rPr>
                <w:rFonts w:ascii="Aptos" w:hAnsi="Aptos"/>
                <w:sz w:val="15"/>
              </w:rPr>
              <w:t>Completed traceable records for sampled lots; evidence links to failed intervals, results and disposition.</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GAP-006</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Instrument identification and calibration status not sufficiently recorded</w:t>
            </w:r>
          </w:p>
        </w:tc>
        <w:tc>
          <w:tcPr>
            <w:tcW w:type="dxa" w:w="1613"/>
            <w:vAlign w:val="top"/>
            <w:tcMar>
              <w:top w:w="95" w:type="dxa"/>
              <w:start w:w="90" w:type="dxa"/>
              <w:bottom w:w="95" w:type="dxa"/>
              <w:end w:w="90" w:type="dxa"/>
            </w:tcMar>
            <w:shd w:fill="F2F6F9"/>
          </w:tcPr>
          <w:p>
            <w:pPr>
              <w:spacing w:after="40"/>
            </w:pPr>
            <w:r>
              <w:rPr>
                <w:rFonts w:ascii="Aptos" w:hAnsi="Aptos"/>
                <w:sz w:val="15"/>
              </w:rPr>
              <w:t>QC / Calibration / QA</w:t>
            </w:r>
          </w:p>
        </w:tc>
        <w:tc>
          <w:tcPr>
            <w:tcW w:type="dxa" w:w="2520"/>
            <w:vAlign w:val="top"/>
            <w:tcMar>
              <w:top w:w="95" w:type="dxa"/>
              <w:start w:w="90" w:type="dxa"/>
              <w:bottom w:w="95" w:type="dxa"/>
              <w:end w:w="90" w:type="dxa"/>
            </w:tcMar>
            <w:shd w:fill="F2F6F9"/>
          </w:tcPr>
          <w:p>
            <w:pPr>
              <w:spacing w:after="40"/>
            </w:pPr>
            <w:r>
              <w:rPr>
                <w:rFonts w:ascii="Aptos" w:hAnsi="Aptos"/>
                <w:sz w:val="15"/>
              </w:rPr>
              <w:t xml:space="preserve">Calibration certificates / verification records for referenced instruments and traceable forms; investigation </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GAP-007</w:t>
            </w:r>
          </w:p>
        </w:tc>
        <w:tc>
          <w:tcPr>
            <w:tcW w:type="dxa" w:w="893"/>
            <w:vAlign w:val="top"/>
            <w:tcMar>
              <w:top w:w="95" w:type="dxa"/>
              <w:start w:w="90" w:type="dxa"/>
              <w:bottom w:w="95" w:type="dxa"/>
              <w:end w:w="90" w:type="dxa"/>
            </w:tcMar>
          </w:tcPr>
          <w:p>
            <w:pPr>
              <w:spacing w:after="40"/>
            </w:pPr>
            <w:r>
              <w:rPr>
                <w:rFonts w:ascii="Aptos" w:hAnsi="Aptos"/>
                <w:sz w:val="15"/>
              </w:rPr>
              <w:t>P2</w:t>
            </w:r>
          </w:p>
        </w:tc>
        <w:tc>
          <w:tcPr>
            <w:tcW w:type="dxa" w:w="2160"/>
            <w:vAlign w:val="top"/>
            <w:tcMar>
              <w:top w:w="95" w:type="dxa"/>
              <w:start w:w="90" w:type="dxa"/>
              <w:bottom w:w="95" w:type="dxa"/>
              <w:end w:w="90" w:type="dxa"/>
            </w:tcMar>
          </w:tcPr>
          <w:p>
            <w:pPr>
              <w:spacing w:after="40"/>
            </w:pPr>
            <w:r>
              <w:rPr>
                <w:rFonts w:ascii="Aptos" w:hAnsi="Aptos"/>
                <w:sz w:val="15"/>
              </w:rPr>
              <w:t>Two-pin connector description may not cover all variants</w:t>
            </w:r>
          </w:p>
        </w:tc>
        <w:tc>
          <w:tcPr>
            <w:tcW w:type="dxa" w:w="1613"/>
            <w:vAlign w:val="top"/>
            <w:tcMar>
              <w:top w:w="95" w:type="dxa"/>
              <w:start w:w="90" w:type="dxa"/>
              <w:bottom w:w="95" w:type="dxa"/>
              <w:end w:w="90" w:type="dxa"/>
            </w:tcMar>
          </w:tcPr>
          <w:p>
            <w:pPr>
              <w:spacing w:after="40"/>
            </w:pPr>
            <w:r>
              <w:rPr>
                <w:rFonts w:ascii="Aptos" w:hAnsi="Aptos"/>
                <w:sz w:val="15"/>
              </w:rPr>
              <w:t>Engineering / QC</w:t>
            </w:r>
          </w:p>
        </w:tc>
        <w:tc>
          <w:tcPr>
            <w:tcW w:type="dxa" w:w="2520"/>
            <w:vAlign w:val="top"/>
            <w:tcMar>
              <w:top w:w="95" w:type="dxa"/>
              <w:start w:w="90" w:type="dxa"/>
              <w:bottom w:w="95" w:type="dxa"/>
              <w:end w:w="90" w:type="dxa"/>
            </w:tcMar>
          </w:tcPr>
          <w:p>
            <w:pPr>
              <w:spacing w:after="40"/>
            </w:pPr>
            <w:r>
              <w:rPr>
                <w:rFonts w:ascii="Aptos" w:hAnsi="Aptos"/>
                <w:sz w:val="15"/>
              </w:rPr>
              <w:t>Approved BOM/drawing per variant; traceable fit/visual checks and nonapplicability justification.</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GAP-008</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Attachment quality described qualitatively without a method/criterion</w:t>
            </w:r>
          </w:p>
        </w:tc>
        <w:tc>
          <w:tcPr>
            <w:tcW w:type="dxa" w:w="1613"/>
            <w:vAlign w:val="top"/>
            <w:tcMar>
              <w:top w:w="95" w:type="dxa"/>
              <w:start w:w="90" w:type="dxa"/>
              <w:bottom w:w="95" w:type="dxa"/>
              <w:end w:w="90" w:type="dxa"/>
            </w:tcMar>
            <w:shd w:fill="F2F6F9"/>
          </w:tcPr>
          <w:p>
            <w:pPr>
              <w:spacing w:after="40"/>
            </w:pPr>
            <w:r>
              <w:rPr>
                <w:rFonts w:ascii="Aptos" w:hAnsi="Aptos"/>
                <w:sz w:val="15"/>
              </w:rPr>
              <w:t>Engineering / QC / QA</w:t>
            </w:r>
          </w:p>
        </w:tc>
        <w:tc>
          <w:tcPr>
            <w:tcW w:type="dxa" w:w="2520"/>
            <w:vAlign w:val="top"/>
            <w:tcMar>
              <w:top w:w="95" w:type="dxa"/>
              <w:start w:w="90" w:type="dxa"/>
              <w:bottom w:w="95" w:type="dxa"/>
              <w:end w:w="90" w:type="dxa"/>
            </w:tcMar>
            <w:shd w:fill="F2F6F9"/>
          </w:tcPr>
          <w:p>
            <w:pPr>
              <w:spacing w:after="40"/>
            </w:pPr>
            <w:r>
              <w:rPr>
                <w:rFonts w:ascii="Aptos" w:hAnsi="Aptos"/>
                <w:sz w:val="15"/>
              </w:rPr>
              <w:t>Approved defect standard and, if needed, validated strength/retention evidence linked to product design and fr</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GAP-009</w:t>
            </w:r>
          </w:p>
        </w:tc>
        <w:tc>
          <w:tcPr>
            <w:tcW w:type="dxa" w:w="893"/>
            <w:vAlign w:val="top"/>
            <w:tcMar>
              <w:top w:w="95" w:type="dxa"/>
              <w:start w:w="90" w:type="dxa"/>
              <w:bottom w:w="95" w:type="dxa"/>
              <w:end w:w="90" w:type="dxa"/>
            </w:tcMar>
          </w:tcPr>
          <w:p>
            <w:pPr>
              <w:spacing w:after="40"/>
            </w:pPr>
            <w:r>
              <w:rPr>
                <w:rFonts w:ascii="Aptos" w:hAnsi="Aptos"/>
                <w:sz w:val="15"/>
              </w:rPr>
              <w:t>P2</w:t>
            </w:r>
          </w:p>
        </w:tc>
        <w:tc>
          <w:tcPr>
            <w:tcW w:type="dxa" w:w="2160"/>
            <w:vAlign w:val="top"/>
            <w:tcMar>
              <w:top w:w="95" w:type="dxa"/>
              <w:start w:w="90" w:type="dxa"/>
              <w:bottom w:w="95" w:type="dxa"/>
              <w:end w:w="90" w:type="dxa"/>
            </w:tcMar>
          </w:tcPr>
          <w:p>
            <w:pPr>
              <w:spacing w:after="40"/>
            </w:pPr>
            <w:r>
              <w:rPr>
                <w:rFonts w:ascii="Aptos" w:hAnsi="Aptos"/>
                <w:sz w:val="15"/>
              </w:rPr>
              <w:t>Incoming material and supplier documentation are not linked to the in-process lot</w:t>
            </w:r>
          </w:p>
        </w:tc>
        <w:tc>
          <w:tcPr>
            <w:tcW w:type="dxa" w:w="1613"/>
            <w:vAlign w:val="top"/>
            <w:tcMar>
              <w:top w:w="95" w:type="dxa"/>
              <w:start w:w="90" w:type="dxa"/>
              <w:bottom w:w="95" w:type="dxa"/>
              <w:end w:w="90" w:type="dxa"/>
            </w:tcMar>
          </w:tcPr>
          <w:p>
            <w:pPr>
              <w:spacing w:after="40"/>
            </w:pPr>
            <w:r>
              <w:rPr>
                <w:rFonts w:ascii="Aptos" w:hAnsi="Aptos"/>
                <w:sz w:val="15"/>
              </w:rPr>
              <w:t>Incoming QC / Supplier Quality / Warehouse</w:t>
            </w:r>
          </w:p>
        </w:tc>
        <w:tc>
          <w:tcPr>
            <w:tcW w:type="dxa" w:w="2520"/>
            <w:vAlign w:val="top"/>
            <w:tcMar>
              <w:top w:w="95" w:type="dxa"/>
              <w:start w:w="90" w:type="dxa"/>
              <w:bottom w:w="95" w:type="dxa"/>
              <w:end w:w="90" w:type="dxa"/>
            </w:tcMar>
          </w:tcPr>
          <w:p>
            <w:pPr>
              <w:spacing w:after="40"/>
            </w:pPr>
            <w:r>
              <w:rPr>
                <w:rFonts w:ascii="Aptos" w:hAnsi="Aptos"/>
                <w:sz w:val="15"/>
              </w:rPr>
              <w:t>Approved incoming inspection record; supplier lot/COA where required; material release and traceability record</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GAP-010</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Packaging and labeling control route not traceably connected to the skin in-process record</w:t>
            </w:r>
          </w:p>
        </w:tc>
        <w:tc>
          <w:tcPr>
            <w:tcW w:type="dxa" w:w="1613"/>
            <w:vAlign w:val="top"/>
            <w:tcMar>
              <w:top w:w="95" w:type="dxa"/>
              <w:start w:w="90" w:type="dxa"/>
              <w:bottom w:w="95" w:type="dxa"/>
              <w:end w:w="90" w:type="dxa"/>
            </w:tcMar>
            <w:shd w:fill="F2F6F9"/>
          </w:tcPr>
          <w:p>
            <w:pPr>
              <w:spacing w:after="40"/>
            </w:pPr>
            <w:r>
              <w:rPr>
                <w:rFonts w:ascii="Aptos" w:hAnsi="Aptos"/>
                <w:sz w:val="15"/>
              </w:rPr>
              <w:t>Packaging QC / QA / Production</w:t>
            </w:r>
          </w:p>
        </w:tc>
        <w:tc>
          <w:tcPr>
            <w:tcW w:type="dxa" w:w="2520"/>
            <w:vAlign w:val="top"/>
            <w:tcMar>
              <w:top w:w="95" w:type="dxa"/>
              <w:start w:w="90" w:type="dxa"/>
              <w:bottom w:w="95" w:type="dxa"/>
              <w:end w:w="90" w:type="dxa"/>
            </w:tcMar>
            <w:shd w:fill="F2F6F9"/>
          </w:tcPr>
          <w:p>
            <w:pPr>
              <w:spacing w:after="40"/>
            </w:pPr>
            <w:r>
              <w:rPr>
                <w:rFonts w:ascii="Aptos" w:hAnsi="Aptos"/>
                <w:sz w:val="15"/>
              </w:rPr>
              <w:t>Completed controlled packaging and release records; approved artwork; sample labels; validated sealing/packagi</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GAP-011</w:t>
            </w:r>
          </w:p>
        </w:tc>
        <w:tc>
          <w:tcPr>
            <w:tcW w:type="dxa" w:w="893"/>
            <w:vAlign w:val="top"/>
            <w:tcMar>
              <w:top w:w="95" w:type="dxa"/>
              <w:start w:w="90" w:type="dxa"/>
              <w:bottom w:w="95" w:type="dxa"/>
              <w:end w:w="90" w:type="dxa"/>
            </w:tcMar>
          </w:tcPr>
          <w:p>
            <w:pPr>
              <w:spacing w:after="40"/>
            </w:pPr>
            <w:r>
              <w:rPr>
                <w:rFonts w:ascii="Aptos" w:hAnsi="Aptos"/>
                <w:sz w:val="15"/>
              </w:rPr>
              <w:t>P1</w:t>
            </w:r>
          </w:p>
        </w:tc>
        <w:tc>
          <w:tcPr>
            <w:tcW w:type="dxa" w:w="2160"/>
            <w:vAlign w:val="top"/>
            <w:tcMar>
              <w:top w:w="95" w:type="dxa"/>
              <w:start w:w="90" w:type="dxa"/>
              <w:bottom w:w="95" w:type="dxa"/>
              <w:end w:w="90" w:type="dxa"/>
            </w:tcMar>
          </w:tcPr>
          <w:p>
            <w:pPr>
              <w:spacing w:after="40"/>
            </w:pPr>
            <w:r>
              <w:rPr>
                <w:rFonts w:ascii="Aptos" w:hAnsi="Aptos"/>
                <w:sz w:val="15"/>
              </w:rPr>
              <w:t>Nonconforming in-process output lacks an explicit containment and recheck path</w:t>
            </w:r>
          </w:p>
        </w:tc>
        <w:tc>
          <w:tcPr>
            <w:tcW w:type="dxa" w:w="1613"/>
            <w:vAlign w:val="top"/>
            <w:tcMar>
              <w:top w:w="95" w:type="dxa"/>
              <w:start w:w="90" w:type="dxa"/>
              <w:bottom w:w="95" w:type="dxa"/>
              <w:end w:w="90" w:type="dxa"/>
            </w:tcMar>
          </w:tcPr>
          <w:p>
            <w:pPr>
              <w:spacing w:after="40"/>
            </w:pPr>
            <w:r>
              <w:rPr>
                <w:rFonts w:ascii="Aptos" w:hAnsi="Aptos"/>
                <w:sz w:val="15"/>
              </w:rPr>
              <w:t>Production / QC / QA</w:t>
            </w:r>
          </w:p>
        </w:tc>
        <w:tc>
          <w:tcPr>
            <w:tcW w:type="dxa" w:w="2520"/>
            <w:vAlign w:val="top"/>
            <w:tcMar>
              <w:top w:w="95" w:type="dxa"/>
              <w:start w:w="90" w:type="dxa"/>
              <w:bottom w:w="95" w:type="dxa"/>
              <w:end w:w="90" w:type="dxa"/>
            </w:tcMar>
          </w:tcPr>
          <w:p>
            <w:pPr>
              <w:spacing w:after="40"/>
            </w:pPr>
            <w:r>
              <w:rPr>
                <w:rFonts w:ascii="Aptos" w:hAnsi="Aptos"/>
                <w:sz w:val="15"/>
              </w:rPr>
              <w:t xml:space="preserve">Completed NCR, traceable containment records, approved disposition and any recheck/release evidence. Draft WI </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GAP-012</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Current controlled-form references and approval roles require reconciliation</w:t>
            </w:r>
          </w:p>
        </w:tc>
        <w:tc>
          <w:tcPr>
            <w:tcW w:type="dxa" w:w="1613"/>
            <w:vAlign w:val="top"/>
            <w:tcMar>
              <w:top w:w="95" w:type="dxa"/>
              <w:start w:w="90" w:type="dxa"/>
              <w:bottom w:w="95" w:type="dxa"/>
              <w:end w:w="90" w:type="dxa"/>
            </w:tcMar>
            <w:shd w:fill="F2F6F9"/>
          </w:tcPr>
          <w:p>
            <w:pPr>
              <w:spacing w:after="40"/>
            </w:pPr>
            <w:r>
              <w:rPr>
                <w:rFonts w:ascii="Aptos" w:hAnsi="Aptos"/>
                <w:sz w:val="15"/>
              </w:rPr>
              <w:t>Document Control / QA</w:t>
            </w:r>
          </w:p>
        </w:tc>
        <w:tc>
          <w:tcPr>
            <w:tcW w:type="dxa" w:w="2520"/>
            <w:vAlign w:val="top"/>
            <w:tcMar>
              <w:top w:w="95" w:type="dxa"/>
              <w:start w:w="90" w:type="dxa"/>
              <w:bottom w:w="95" w:type="dxa"/>
              <w:end w:w="90" w:type="dxa"/>
            </w:tcMar>
            <w:shd w:fill="F2F6F9"/>
          </w:tcPr>
          <w:p>
            <w:pPr>
              <w:spacing w:after="40"/>
            </w:pPr>
            <w:r>
              <w:rPr>
                <w:rFonts w:ascii="Aptos" w:hAnsi="Aptos"/>
                <w:sz w:val="15"/>
              </w:rPr>
              <w:t>Effective controlled master list, TF-M21-PDBM or a documented clarification, verified form successor relations</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GAP-013</w:t>
            </w:r>
          </w:p>
        </w:tc>
        <w:tc>
          <w:tcPr>
            <w:tcW w:type="dxa" w:w="893"/>
            <w:vAlign w:val="top"/>
            <w:tcMar>
              <w:top w:w="95" w:type="dxa"/>
              <w:start w:w="90" w:type="dxa"/>
              <w:bottom w:w="95" w:type="dxa"/>
              <w:end w:w="90" w:type="dxa"/>
            </w:tcMar>
          </w:tcPr>
          <w:p>
            <w:pPr>
              <w:spacing w:after="40"/>
            </w:pPr>
            <w:r>
              <w:rPr>
                <w:rFonts w:ascii="Aptos" w:hAnsi="Aptos"/>
                <w:sz w:val="15"/>
              </w:rPr>
              <w:t>P2</w:t>
            </w:r>
          </w:p>
        </w:tc>
        <w:tc>
          <w:tcPr>
            <w:tcW w:type="dxa" w:w="2160"/>
            <w:vAlign w:val="top"/>
            <w:tcMar>
              <w:top w:w="95" w:type="dxa"/>
              <w:start w:w="90" w:type="dxa"/>
              <w:bottom w:w="95" w:type="dxa"/>
              <w:end w:w="90" w:type="dxa"/>
            </w:tcMar>
          </w:tcPr>
          <w:p>
            <w:pPr>
              <w:spacing w:after="40"/>
            </w:pPr>
            <w:r>
              <w:rPr>
                <w:rFonts w:ascii="Aptos" w:hAnsi="Aptos"/>
                <w:sz w:val="15"/>
              </w:rPr>
              <w:t>Form tab/header revision conflict</w:t>
            </w:r>
          </w:p>
        </w:tc>
        <w:tc>
          <w:tcPr>
            <w:tcW w:type="dxa" w:w="1613"/>
            <w:vAlign w:val="top"/>
            <w:tcMar>
              <w:top w:w="95" w:type="dxa"/>
              <w:start w:w="90" w:type="dxa"/>
              <w:bottom w:w="95" w:type="dxa"/>
              <w:end w:w="90" w:type="dxa"/>
            </w:tcMar>
          </w:tcPr>
          <w:p>
            <w:pPr>
              <w:spacing w:after="40"/>
            </w:pPr>
            <w:r>
              <w:rPr>
                <w:rFonts w:ascii="Aptos" w:hAnsi="Aptos"/>
                <w:sz w:val="15"/>
              </w:rPr>
              <w:t>Document Control / QA</w:t>
            </w:r>
          </w:p>
        </w:tc>
        <w:tc>
          <w:tcPr>
            <w:tcW w:type="dxa" w:w="2520"/>
            <w:vAlign w:val="top"/>
            <w:tcMar>
              <w:top w:w="95" w:type="dxa"/>
              <w:start w:w="90" w:type="dxa"/>
              <w:bottom w:w="95" w:type="dxa"/>
              <w:end w:w="90" w:type="dxa"/>
            </w:tcMar>
          </w:tcPr>
          <w:p>
            <w:pPr>
              <w:spacing w:after="40"/>
            </w:pPr>
            <w:r>
              <w:rPr>
                <w:rFonts w:ascii="Aptos" w:hAnsi="Aptos"/>
                <w:sz w:val="15"/>
              </w:rPr>
              <w:t>Approved revision history/master-document register; correctly controlled blank master once released; no assump</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shd w:fill="F2F6F9"/>
          </w:tcPr>
          <w:p>
            <w:pPr>
              <w:spacing w:after="40"/>
            </w:pPr>
            <w:r>
              <w:rPr>
                <w:rFonts w:ascii="Aptos" w:hAnsi="Aptos"/>
                <w:sz w:val="15"/>
              </w:rPr>
              <w:t>GAP-014</w:t>
            </w:r>
          </w:p>
        </w:tc>
        <w:tc>
          <w:tcPr>
            <w:tcW w:type="dxa" w:w="893"/>
            <w:vAlign w:val="top"/>
            <w:tcMar>
              <w:top w:w="95" w:type="dxa"/>
              <w:start w:w="90" w:type="dxa"/>
              <w:bottom w:w="95" w:type="dxa"/>
              <w:end w:w="90" w:type="dxa"/>
            </w:tcMar>
            <w:shd w:fill="F2F6F9"/>
          </w:tcPr>
          <w:p>
            <w:pPr>
              <w:spacing w:after="40"/>
            </w:pPr>
            <w:r>
              <w:rPr>
                <w:rFonts w:ascii="Aptos" w:hAnsi="Aptos"/>
                <w:sz w:val="15"/>
              </w:rPr>
              <w:t>P2</w:t>
            </w:r>
          </w:p>
        </w:tc>
        <w:tc>
          <w:tcPr>
            <w:tcW w:type="dxa" w:w="2160"/>
            <w:vAlign w:val="top"/>
            <w:tcMar>
              <w:top w:w="95" w:type="dxa"/>
              <w:start w:w="90" w:type="dxa"/>
              <w:bottom w:w="95" w:type="dxa"/>
              <w:end w:w="90" w:type="dxa"/>
            </w:tcMar>
            <w:shd w:fill="F2F6F9"/>
          </w:tcPr>
          <w:p>
            <w:pPr>
              <w:spacing w:after="40"/>
            </w:pPr>
            <w:r>
              <w:rPr>
                <w:rFonts w:ascii="Aptos" w:hAnsi="Aptos"/>
                <w:sz w:val="15"/>
              </w:rPr>
              <w:t>Product-material/appearance criteria are not linked to controlled inspection standards</w:t>
            </w:r>
          </w:p>
        </w:tc>
        <w:tc>
          <w:tcPr>
            <w:tcW w:type="dxa" w:w="1613"/>
            <w:vAlign w:val="top"/>
            <w:tcMar>
              <w:top w:w="95" w:type="dxa"/>
              <w:start w:w="90" w:type="dxa"/>
              <w:bottom w:w="95" w:type="dxa"/>
              <w:end w:w="90" w:type="dxa"/>
            </w:tcMar>
            <w:shd w:fill="F2F6F9"/>
          </w:tcPr>
          <w:p>
            <w:pPr>
              <w:spacing w:after="40"/>
            </w:pPr>
            <w:r>
              <w:rPr>
                <w:rFonts w:ascii="Aptos" w:hAnsi="Aptos"/>
                <w:sz w:val="15"/>
              </w:rPr>
              <w:t>QC / Incoming QC / Engineering</w:t>
            </w:r>
          </w:p>
        </w:tc>
        <w:tc>
          <w:tcPr>
            <w:tcW w:type="dxa" w:w="2520"/>
            <w:vAlign w:val="top"/>
            <w:tcMar>
              <w:top w:w="95" w:type="dxa"/>
              <w:start w:w="90" w:type="dxa"/>
              <w:bottom w:w="95" w:type="dxa"/>
              <w:end w:w="90" w:type="dxa"/>
            </w:tcMar>
            <w:shd w:fill="F2F6F9"/>
          </w:tcPr>
          <w:p>
            <w:pPr>
              <w:spacing w:after="40"/>
            </w:pPr>
            <w:r>
              <w:rPr>
                <w:rFonts w:ascii="Aptos" w:hAnsi="Aptos"/>
                <w:sz w:val="15"/>
              </w:rPr>
              <w:t>Approved material/visual defect specifications; component receipts/certificates and photographs/drawings; fill</w:t>
            </w:r>
          </w:p>
        </w:tc>
        <w:tc>
          <w:tcPr>
            <w:tcW w:type="dxa" w:w="1814"/>
            <w:vAlign w:val="top"/>
            <w:tcMar>
              <w:top w:w="95" w:type="dxa"/>
              <w:start w:w="90" w:type="dxa"/>
              <w:bottom w:w="95" w:type="dxa"/>
              <w:end w:w="90" w:type="dxa"/>
            </w:tcMar>
            <w:shd w:fill="F2F6F9"/>
          </w:tcPr>
          <w:p>
            <w:pPr>
              <w:spacing w:after="40"/>
            </w:pPr>
            <w:r>
              <w:rPr>
                <w:rFonts w:ascii="Aptos" w:hAnsi="Aptos"/>
                <w:sz w:val="15"/>
              </w:rPr>
              <w:t>Open — Technical Input / Evidence</w:t>
            </w:r>
          </w:p>
        </w:tc>
      </w:tr>
      <w:tr>
        <w:trPr>
          <w:cantSplit/>
        </w:trPr>
        <w:tc>
          <w:tcPr>
            <w:tcW w:type="dxa" w:w="1080"/>
            <w:vAlign w:val="top"/>
            <w:tcMar>
              <w:top w:w="95" w:type="dxa"/>
              <w:start w:w="90" w:type="dxa"/>
              <w:bottom w:w="95" w:type="dxa"/>
              <w:end w:w="90" w:type="dxa"/>
            </w:tcMar>
          </w:tcPr>
          <w:p>
            <w:pPr>
              <w:spacing w:after="40"/>
            </w:pPr>
            <w:r>
              <w:rPr>
                <w:rFonts w:ascii="Aptos" w:hAnsi="Aptos"/>
                <w:sz w:val="15"/>
              </w:rPr>
              <w:t>GAP-015</w:t>
            </w:r>
          </w:p>
        </w:tc>
        <w:tc>
          <w:tcPr>
            <w:tcW w:type="dxa" w:w="893"/>
            <w:vAlign w:val="top"/>
            <w:tcMar>
              <w:top w:w="95" w:type="dxa"/>
              <w:start w:w="90" w:type="dxa"/>
              <w:bottom w:w="95" w:type="dxa"/>
              <w:end w:w="90" w:type="dxa"/>
            </w:tcMar>
          </w:tcPr>
          <w:p>
            <w:pPr>
              <w:spacing w:after="40"/>
            </w:pPr>
            <w:r>
              <w:rPr>
                <w:rFonts w:ascii="Aptos" w:hAnsi="Aptos"/>
                <w:sz w:val="15"/>
              </w:rPr>
              <w:t>P2</w:t>
            </w:r>
          </w:p>
        </w:tc>
        <w:tc>
          <w:tcPr>
            <w:tcW w:type="dxa" w:w="2160"/>
            <w:vAlign w:val="top"/>
            <w:tcMar>
              <w:top w:w="95" w:type="dxa"/>
              <w:start w:w="90" w:type="dxa"/>
              <w:bottom w:w="95" w:type="dxa"/>
              <w:end w:w="90" w:type="dxa"/>
            </w:tcMar>
          </w:tcPr>
          <w:p>
            <w:pPr>
              <w:spacing w:after="40"/>
            </w:pPr>
            <w:r>
              <w:rPr>
                <w:rFonts w:ascii="Aptos" w:hAnsi="Aptos"/>
                <w:sz w:val="15"/>
              </w:rPr>
              <w:t>Expiry claim and storage/packaging specifications require release-record linkage</w:t>
            </w:r>
          </w:p>
        </w:tc>
        <w:tc>
          <w:tcPr>
            <w:tcW w:type="dxa" w:w="1613"/>
            <w:vAlign w:val="top"/>
            <w:tcMar>
              <w:top w:w="95" w:type="dxa"/>
              <w:start w:w="90" w:type="dxa"/>
              <w:bottom w:w="95" w:type="dxa"/>
              <w:end w:w="90" w:type="dxa"/>
            </w:tcMar>
          </w:tcPr>
          <w:p>
            <w:pPr>
              <w:spacing w:after="40"/>
            </w:pPr>
            <w:r>
              <w:rPr>
                <w:rFonts w:ascii="Aptos" w:hAnsi="Aptos"/>
                <w:sz w:val="15"/>
              </w:rPr>
              <w:t>QA / Engineering / Packaging QC</w:t>
            </w:r>
          </w:p>
        </w:tc>
        <w:tc>
          <w:tcPr>
            <w:tcW w:type="dxa" w:w="2520"/>
            <w:vAlign w:val="top"/>
            <w:tcMar>
              <w:top w:w="95" w:type="dxa"/>
              <w:start w:w="90" w:type="dxa"/>
              <w:bottom w:w="95" w:type="dxa"/>
              <w:end w:w="90" w:type="dxa"/>
            </w:tcMar>
          </w:tcPr>
          <w:p>
            <w:pPr>
              <w:spacing w:after="40"/>
            </w:pPr>
            <w:r>
              <w:rPr>
                <w:rFonts w:ascii="Aptos" w:hAnsi="Aptos"/>
                <w:sz w:val="15"/>
              </w:rPr>
              <w:t xml:space="preserve">Approved shelf-life substantiation covering relevant material/configuration, final label/expiry verification, </w:t>
            </w:r>
          </w:p>
        </w:tc>
        <w:tc>
          <w:tcPr>
            <w:tcW w:type="dxa" w:w="1814"/>
            <w:vAlign w:val="top"/>
            <w:tcMar>
              <w:top w:w="95" w:type="dxa"/>
              <w:start w:w="90" w:type="dxa"/>
              <w:bottom w:w="95" w:type="dxa"/>
              <w:end w:w="90" w:type="dxa"/>
            </w:tcMar>
          </w:tcPr>
          <w:p>
            <w:pPr>
              <w:spacing w:after="40"/>
            </w:pPr>
            <w:r>
              <w:rPr>
                <w:rFonts w:ascii="Aptos" w:hAnsi="Aptos"/>
                <w:sz w:val="15"/>
              </w:rPr>
              <w:t>Open — Technical Input / Evidence</w:t>
            </w:r>
          </w:p>
        </w:tc>
      </w:tr>
    </w:tbl>
    <w:p>
      <w:pPr>
        <w:spacing w:after="0"/>
      </w:pPr>
    </w:p>
    <w:p>
      <w:pPr/>
      <w:r>
        <w:t>Key decisions: approve exact product/variant scope and the authoritative length table; approve functional method/accuracy limits and sampling plan; clarify the current revision of F-823-i128 and the missing TF-M21-PDBM; decide the applicable ISO standards and provide controlled editions; confirm QC/QA signature/release roles. Do not release any revised master or lot solely on this analysis.</w:t>
      </w:r>
    </w:p>
    <w:p>
      <w:pPr>
        <w:pStyle w:val="Heading1"/>
      </w:pPr>
      <w:r>
        <w:t>10. Final Conclusion</w:t>
      </w:r>
    </w:p>
    <w:p>
      <w:pPr/>
      <w:r>
        <w:t>Existing documents demonstrate that controls are intended at receiving, in-process, packaging and final release stages, but evidence remains insufficient to demonstrate consistent measurable acceptance and closure. All 15 items remain open pending approved technical inputs / source document reconciliation / objective evidence. No ISO compliance percentage or product conformity claim is supportable today.</w:t>
      </w:r>
    </w:p>
    <w:p>
      <w:pPr>
        <w:pStyle w:val="Heading1"/>
      </w:pPr>
      <w:r>
        <w:t>11. Source Traceability</w:t>
      </w:r>
    </w:p>
    <w:p>
      <w:pPr>
        <w:pStyle w:val="ListBullet"/>
      </w:pPr>
      <w:r>
        <w:t>WI-8-2-2-M21-1, Rev.0, 18-Feb-2025 (3 pages)</w:t>
      </w:r>
    </w:p>
    <w:p>
      <w:pPr>
        <w:pStyle w:val="ListBullet"/>
      </w:pPr>
      <w:r>
        <w:t>F-823-i128, header Rev.2, 14-Dec-2025 (Excel sheet tab states Rev.1), 1 page</w:t>
      </w:r>
    </w:p>
    <w:p>
      <w:pPr>
        <w:pStyle w:val="ListBullet"/>
      </w:pPr>
      <w:r>
        <w:t>TF-M21-PS, Rev.00, 18-Feb-2025 (4 pages)</w:t>
      </w:r>
    </w:p>
    <w:p>
      <w:pPr/>
      <w:r>
        <w:t>Not supplied / not verified: full applicable ISO standard; TF-M21-PDBM; drawings and BOM by product code; complete AQL sampling plan; method/tolerance for functional measurement; incoming records and COAs; F-823-T90; F-823-i4; F-823-F247; calibration records; qualification/shelf-life substantiation; approval/document-control matrix.</w:t>
      </w:r>
    </w:p>
    <w:p>
      <w:pPr/>
      <w:r>
        <w:t>Source anchors: WI p.1 §§1–5; WI p.2 §§6–11; TF p.1 §4; TF p.2 §§4–7.1; TF p.3 §§7.2–8.1; TF p.4 §9; workbook rows 2–7, 9–18, 24 and worksheet tab name.</w:t>
      </w:r>
    </w:p>
    <w:p>
      <w:pPr>
        <w:pStyle w:val="ListBullet"/>
      </w:pPr>
      <w:r>
        <w:t>ISO 80601-2-56:2017 (official ISO) explicit abstract, no clauses extracted: https://committee.iso.org/standard/67348.html</w:t>
      </w:r>
    </w:p>
    <w:p>
      <w:pPr>
        <w:pStyle w:val="ListBullet"/>
      </w:pPr>
      <w:r>
        <w:t>ISO 14971:2019 (official ISO) abstract: https://www.iso.org/standard/72704.html</w:t>
      </w:r>
    </w:p>
    <w:p>
      <w:pPr>
        <w:pStyle w:val="ListBullet"/>
      </w:pPr>
      <w:r>
        <w:t>ISO 10993-1:2025 (official ISO) abstract: https://www.iso.org/standard/10993-1</w:t>
      </w:r>
    </w:p>
    <w:sectPr w:rsidR="00FC693F" w:rsidRPr="0006063C" w:rsidSect="00034616">
      <w:pgSz w:w="11906" w:h="16838"/>
      <w:pgMar w:top="965" w:right="1008" w:bottom="893" w:left="100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DRAFT  •  NOT EFFECTIVE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SAUDI MAIS  /  QC TECHNICAL REVIEW     •     QC MANAGER MASTER GAP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24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43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243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24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Manager Master Gap Report – Temperature Probe</dc:title>
  <dc:subject>Source based documentation gap review — ISO pending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