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SAUDI MAIS CO. FOR MEDICAL PRODUCTS</w:t>
      </w:r>
    </w:p>
    <w:p>
      <w:pPr>
        <w:pStyle w:val="Subtitle"/>
      </w:pPr>
      <w:r>
        <w:t>QUALITY CONTROL  /  DOCUMENTARY GAP ASSESSMENT</w:t>
      </w:r>
    </w:p>
    <w:p>
      <w:pPr>
        <w:pStyle w:val="Title"/>
      </w:pPr>
      <w:r>
        <w:t>Temperature Probe — Revised Work Instruction</w:t>
      </w:r>
    </w:p>
    <w:p>
      <w:pPr/>
      <w:r>
        <w:t>Source WI WI-8-2-2-M21-1 Rev.0; PROPOSED, NON-EFFECTIVE rewrite for technical review</w:t>
      </w:r>
    </w:p>
    <w:p>
      <w:pPr/>
      <w:r>
        <w:t>REPORT ISSUED: 25 October 2026     |     STATUS: DRAFT FOR QC / QA TECHNICAL REVIEW</w:t>
      </w:r>
    </w:p>
    <w:p>
      <w:pPr/>
      <w:r>
        <w:t>Source documents: WI-8-2-2-M21-1, Rev.0, 18-Feb-2025 (3 pages); F-823-i128, header Rev.2, 14-Dec-2025 (Excel sheet tab states Rev.1), 1 page; TF-M21-PS, Rev.00, 18-Feb-2025 (4 pages).</w:t>
      </w:r>
    </w:p>
    <w:tbl>
      <w:tblPr>
        <w:tblStyle w:val="TableGrid"/>
        <w:tblW w:type="auto" w:w="0"/>
        <w:jc w:val="center"/>
        <w:tblLayout w:type="fixed"/>
        <w:tblLook w:firstColumn="1" w:firstRow="1" w:lastColumn="0" w:lastRow="0" w:noHBand="0" w:noVBand="1" w:val="04A0"/>
      </w:tblPr>
      <w:tblGrid>
        <w:gridCol w:w="3312"/>
        <w:gridCol w:w="6768"/>
      </w:tblGrid>
      <w:tr>
        <w:trPr>
          <w:tblHeader w:val="true"/>
          <w:cantSplit/>
        </w:trPr>
        <w:tc>
          <w:tcPr>
            <w:tcW w:type="dxa" w:w="3312"/>
            <w:shd w:fill="16243B"/>
            <w:tcMar>
              <w:top w:w="95" w:type="dxa"/>
              <w:start w:w="90" w:type="dxa"/>
              <w:bottom w:w="95" w:type="dxa"/>
              <w:end w:w="90" w:type="dxa"/>
            </w:tcMar>
            <w:vAlign w:val="center"/>
          </w:tcPr>
          <w:p>
            <w:r>
              <w:rPr>
                <w:b/>
                <w:color w:val="FFFFFF"/>
                <w:sz w:val="16"/>
              </w:rPr>
              <w:t>ASSESSMENT GATE</w:t>
            </w:r>
          </w:p>
        </w:tc>
        <w:tc>
          <w:tcPr>
            <w:tcW w:type="dxa" w:w="6768"/>
            <w:shd w:fill="16243B"/>
            <w:tcMar>
              <w:top w:w="95" w:type="dxa"/>
              <w:start w:w="90" w:type="dxa"/>
              <w:bottom w:w="95" w:type="dxa"/>
              <w:end w:w="90" w:type="dxa"/>
            </w:tcMar>
            <w:vAlign w:val="center"/>
          </w:tcPr>
          <w:p>
            <w:r>
              <w:rPr>
                <w:b/>
                <w:color w:val="FFFFFF"/>
                <w:sz w:val="16"/>
              </w:rPr>
              <w:t>CURRENT STATUS</w:t>
            </w:r>
          </w:p>
        </w:tc>
      </w:tr>
      <w:tr>
        <w:trPr>
          <w:cantSplit/>
        </w:trPr>
        <w:tc>
          <w:tcPr>
            <w:tcW w:type="dxa" w:w="3312"/>
            <w:vAlign w:val="top"/>
            <w:tcMar>
              <w:top w:w="95" w:type="dxa"/>
              <w:start w:w="90" w:type="dxa"/>
              <w:bottom w:w="95" w:type="dxa"/>
              <w:end w:w="90" w:type="dxa"/>
            </w:tcMar>
          </w:tcPr>
          <w:p>
            <w:pPr>
              <w:spacing w:after="40"/>
            </w:pPr>
            <w:r>
              <w:rPr>
                <w:rFonts w:ascii="Aptos" w:hAnsi="Aptos"/>
                <w:sz w:val="16"/>
              </w:rPr>
              <w:t>Primary ISO standard</w:t>
            </w:r>
          </w:p>
        </w:tc>
        <w:tc>
          <w:tcPr>
            <w:tcW w:type="dxa" w:w="6768"/>
            <w:vAlign w:val="top"/>
            <w:tcMar>
              <w:top w:w="95" w:type="dxa"/>
              <w:start w:w="90" w:type="dxa"/>
              <w:bottom w:w="95" w:type="dxa"/>
              <w:end w:w="90" w:type="dxa"/>
            </w:tcMar>
          </w:tcPr>
          <w:p>
            <w:pPr>
              <w:spacing w:after="40"/>
            </w:pPr>
            <w:r>
              <w:rPr>
                <w:rFonts w:ascii="Aptos" w:hAnsi="Aptos"/>
                <w:sz w:val="16"/>
              </w:rPr>
              <w:t>Not supplied; applicability/clauses not verified</w:t>
            </w:r>
          </w:p>
        </w:tc>
      </w:tr>
      <w:tr>
        <w:trPr>
          <w:cantSplit/>
        </w:trPr>
        <w:tc>
          <w:tcPr>
            <w:tcW w:type="dxa" w:w="3312"/>
            <w:vAlign w:val="top"/>
            <w:tcMar>
              <w:top w:w="95" w:type="dxa"/>
              <w:start w:w="90" w:type="dxa"/>
              <w:bottom w:w="95" w:type="dxa"/>
              <w:end w:w="90" w:type="dxa"/>
            </w:tcMar>
            <w:shd w:fill="F2F6F9"/>
          </w:tcPr>
          <w:p>
            <w:pPr>
              <w:spacing w:after="40"/>
            </w:pPr>
            <w:r>
              <w:rPr>
                <w:rFonts w:ascii="Aptos" w:hAnsi="Aptos"/>
                <w:sz w:val="16"/>
              </w:rPr>
              <w:t>Target control route</w:t>
            </w:r>
          </w:p>
        </w:tc>
        <w:tc>
          <w:tcPr>
            <w:tcW w:type="dxa" w:w="6768"/>
            <w:vAlign w:val="top"/>
            <w:tcMar>
              <w:top w:w="95" w:type="dxa"/>
              <w:start w:w="90" w:type="dxa"/>
              <w:bottom w:w="95" w:type="dxa"/>
              <w:end w:w="90" w:type="dxa"/>
            </w:tcMar>
            <w:shd w:fill="F2F6F9"/>
          </w:tcPr>
          <w:p>
            <w:pPr>
              <w:spacing w:after="40"/>
            </w:pPr>
            <w:r>
              <w:rPr>
                <w:rFonts w:ascii="Aptos" w:hAnsi="Aptos"/>
                <w:sz w:val="16"/>
              </w:rPr>
              <w:t>In-process manufacturing checks (not a Final Inspection Report)</w:t>
            </w:r>
          </w:p>
        </w:tc>
      </w:tr>
      <w:tr>
        <w:trPr>
          <w:cantSplit/>
        </w:trPr>
        <w:tc>
          <w:tcPr>
            <w:tcW w:type="dxa" w:w="3312"/>
            <w:vAlign w:val="top"/>
            <w:tcMar>
              <w:top w:w="95" w:type="dxa"/>
              <w:start w:w="90" w:type="dxa"/>
              <w:bottom w:w="95" w:type="dxa"/>
              <w:end w:w="90" w:type="dxa"/>
            </w:tcMar>
          </w:tcPr>
          <w:p>
            <w:pPr>
              <w:spacing w:after="40"/>
            </w:pPr>
            <w:r>
              <w:rPr>
                <w:rFonts w:ascii="Aptos" w:hAnsi="Aptos"/>
                <w:sz w:val="16"/>
              </w:rPr>
              <w:t>Conformity conclusion</w:t>
            </w:r>
          </w:p>
        </w:tc>
        <w:tc>
          <w:tcPr>
            <w:tcW w:type="dxa" w:w="6768"/>
            <w:vAlign w:val="top"/>
            <w:tcMar>
              <w:top w:w="95" w:type="dxa"/>
              <w:start w:w="90" w:type="dxa"/>
              <w:bottom w:w="95" w:type="dxa"/>
              <w:end w:w="90" w:type="dxa"/>
            </w:tcMar>
          </w:tcPr>
          <w:p>
            <w:pPr>
              <w:spacing w:after="40"/>
            </w:pPr>
            <w:r>
              <w:rPr>
                <w:rFonts w:ascii="Aptos" w:hAnsi="Aptos"/>
                <w:sz w:val="16"/>
              </w:rPr>
              <w:t>No ISO conformance or operational release claim</w:t>
            </w:r>
          </w:p>
        </w:tc>
      </w:tr>
      <w:tr>
        <w:trPr>
          <w:cantSplit/>
        </w:trPr>
        <w:tc>
          <w:tcPr>
            <w:tcW w:type="dxa" w:w="3312"/>
            <w:vAlign w:val="top"/>
            <w:tcMar>
              <w:top w:w="95" w:type="dxa"/>
              <w:start w:w="90" w:type="dxa"/>
              <w:bottom w:w="95" w:type="dxa"/>
              <w:end w:w="90" w:type="dxa"/>
            </w:tcMar>
            <w:shd w:fill="F2F6F9"/>
          </w:tcPr>
          <w:p>
            <w:pPr>
              <w:spacing w:after="40"/>
            </w:pPr>
            <w:r>
              <w:rPr>
                <w:rFonts w:ascii="Aptos" w:hAnsi="Aptos"/>
                <w:sz w:val="16"/>
              </w:rPr>
              <w:t>Original source files</w:t>
            </w:r>
          </w:p>
        </w:tc>
        <w:tc>
          <w:tcPr>
            <w:tcW w:type="dxa" w:w="6768"/>
            <w:vAlign w:val="top"/>
            <w:tcMar>
              <w:top w:w="95" w:type="dxa"/>
              <w:start w:w="90" w:type="dxa"/>
              <w:bottom w:w="95" w:type="dxa"/>
              <w:end w:w="90" w:type="dxa"/>
            </w:tcMar>
            <w:shd w:fill="F2F6F9"/>
          </w:tcPr>
          <w:p>
            <w:pPr>
              <w:spacing w:after="40"/>
            </w:pPr>
            <w:r>
              <w:rPr>
                <w:rFonts w:ascii="Aptos" w:hAnsi="Aptos"/>
                <w:sz w:val="16"/>
              </w:rPr>
              <w:t>Read-only; no changes made</w:t>
            </w:r>
          </w:p>
        </w:tc>
      </w:tr>
    </w:tbl>
    <w:p>
      <w:pPr>
        <w:spacing w:after="0"/>
      </w:pPr>
    </w:p>
    <w:p>
      <w:pPr/>
      <w:r>
        <w:t>Document ID: WI-8-2-2-M21-1 (source identity, NOT an assigned new revision). Proposed revision: DRAFT – revision designation pending Document Control. Scope: manufacturing in-process controls, with linked incoming/packaging/final routes.</w:t>
      </w:r>
    </w:p>
    <w:p>
      <w:pPr>
        <w:pStyle w:val="Heading1"/>
      </w:pPr>
      <w:r>
        <w:t>1. Purpose</w:t>
      </w:r>
    </w:p>
    <w:p>
      <w:pPr/>
      <w:r>
        <w:t>Establish a traceable, repeatable method for controlling non-sterile Temperature Probe manufacturing quality, emphasizing in-process verification and transparent linkage to receiving and final release. No draft instruction may be used to justify conformity without approved criteria and objective execution evidence.</w:t>
      </w:r>
    </w:p>
    <w:p>
      <w:pPr>
        <w:pStyle w:val="Heading1"/>
      </w:pPr>
      <w:r>
        <w:t>2. Scope and Variant Controls</w:t>
      </w:r>
    </w:p>
    <w:p>
      <w:pPr/>
      <w:r>
        <w:t>Applies to the company Temperature Probe manufacturing family only within verified code-specific specifications and approved manufacturing/control routes. The attached form F-823-i128 is restricted to skin-temperature-probe codes that QA/Engineering confirm as applicable; other product types require their own approved route.</w:t>
      </w:r>
    </w:p>
    <w:p>
      <w:pPr/>
      <w:r>
        <w:t>Proposed WI §2 / §6.1: Before in-process control, identify the exact product code, intended probe location, compatible equipment, drawing revision, cable-length variant and approved specification. Use F-823-i128 only for product codes formally mapped to the Skin Temperature Probe control plan. For any other variant, use its approved variant-specific record and acceptance criteria. Where mapping is unavailable, hold the affected applicability decision as OPEN TECHNICAL INPUT REQUIRED; do not extrapolate skin-probe limits.</w:t>
      </w:r>
    </w:p>
    <w:p>
      <w:pPr>
        <w:pStyle w:val="Heading1"/>
      </w:pPr>
      <w:r>
        <w:t>3. References</w:t>
      </w:r>
    </w:p>
    <w:p>
      <w:pPr>
        <w:pStyle w:val="ListBullet"/>
      </w:pPr>
      <w:r>
        <w:t>TF-M21-PS, Rev.00, 18-Feb-2025 (4 pages)</w:t>
      </w:r>
    </w:p>
    <w:p>
      <w:pPr>
        <w:pStyle w:val="ListBullet"/>
      </w:pPr>
      <w:r>
        <w:t>WI-8-2-2-M21-1, Rev.0, 18-Feb-2025 (3 pages)</w:t>
      </w:r>
    </w:p>
    <w:p>
      <w:pPr>
        <w:pStyle w:val="ListBullet"/>
      </w:pPr>
      <w:r>
        <w:t>F-823-i128, header Rev.2, 14-Dec-2025 (Excel sheet tab states Rev.1), 1 page</w:t>
      </w:r>
    </w:p>
    <w:p>
      <w:pPr>
        <w:pStyle w:val="ListBullet"/>
      </w:pPr>
      <w:r>
        <w:t>F-823-T90 (existing WI reference; original record not supplied)</w:t>
      </w:r>
    </w:p>
    <w:p>
      <w:pPr>
        <w:pStyle w:val="ListBullet"/>
      </w:pPr>
      <w:r>
        <w:t>F-823-i4 (packaging in-process; not supplied)</w:t>
      </w:r>
    </w:p>
    <w:p>
      <w:pPr>
        <w:pStyle w:val="ListBullet"/>
      </w:pPr>
      <w:r>
        <w:t>F-823-F247 (final inspection/release; not supplied)</w:t>
      </w:r>
    </w:p>
    <w:p>
      <w:pPr>
        <w:pStyle w:val="ListBullet"/>
      </w:pPr>
      <w:r>
        <w:t>TF-M21-PDBM (cited by F-823-i128; not supplied)</w:t>
      </w:r>
    </w:p>
    <w:p>
      <w:pPr>
        <w:pStyle w:val="ListBullet"/>
      </w:pPr>
      <w:r>
        <w:t>Current approved sampling-plan register, device drawings, monitor compatibility documents, calibration registry, NCR procedure (unverified)</w:t>
      </w:r>
    </w:p>
    <w:p>
      <w:pPr>
        <w:pStyle w:val="Heading1"/>
      </w:pPr>
      <w:r>
        <w:t>4. Definitions</w:t>
      </w:r>
    </w:p>
    <w:p>
      <w:pPr/>
      <w:r>
        <w:t>In-process checkpoint: a production-stage quality verification made during manufacture; not equivalent to final batch/product release. Product variant: the exact approved code, compatible device/interface, design revision and relevant dimensions. Pending: acceptance cannot be concluded from available verified technical criteria or objective result. Alternate controlled evidence: traceable quality record that controls a requirement without duplicating a test on the routine form.</w:t>
      </w:r>
    </w:p>
    <w:p>
      <w:pPr>
        <w:pStyle w:val="Heading1"/>
      </w:pPr>
      <w:r>
        <w:t>5. Responsibilities</w:t>
      </w:r>
    </w:p>
    <w:tbl>
      <w:tblPr>
        <w:tblStyle w:val="TableGrid"/>
        <w:tblW w:type="auto" w:w="0"/>
        <w:jc w:val="center"/>
        <w:tblLayout w:type="fixed"/>
        <w:tblLook w:firstColumn="1" w:firstRow="1" w:lastColumn="0" w:lastRow="0" w:noHBand="0" w:noVBand="1" w:val="04A0"/>
      </w:tblPr>
      <w:tblGrid>
        <w:gridCol w:w="2232"/>
        <w:gridCol w:w="7848"/>
      </w:tblGrid>
      <w:tr>
        <w:trPr>
          <w:tblHeader w:val="true"/>
          <w:cantSplit/>
        </w:trPr>
        <w:tc>
          <w:tcPr>
            <w:tcW w:type="dxa" w:w="2232"/>
            <w:shd w:fill="16243B"/>
            <w:tcMar>
              <w:top w:w="95" w:type="dxa"/>
              <w:start w:w="90" w:type="dxa"/>
              <w:bottom w:w="95" w:type="dxa"/>
              <w:end w:w="90" w:type="dxa"/>
            </w:tcMar>
            <w:vAlign w:val="center"/>
          </w:tcPr>
          <w:p>
            <w:r>
              <w:rPr>
                <w:b/>
                <w:color w:val="FFFFFF"/>
                <w:sz w:val="16"/>
              </w:rPr>
              <w:t>Function</w:t>
            </w:r>
          </w:p>
        </w:tc>
        <w:tc>
          <w:tcPr>
            <w:tcW w:type="dxa" w:w="7848"/>
            <w:shd w:fill="16243B"/>
            <w:tcMar>
              <w:top w:w="95" w:type="dxa"/>
              <w:start w:w="90" w:type="dxa"/>
              <w:bottom w:w="95" w:type="dxa"/>
              <w:end w:w="90" w:type="dxa"/>
            </w:tcMar>
            <w:vAlign w:val="center"/>
          </w:tcPr>
          <w:p>
            <w:r>
              <w:rPr>
                <w:b/>
                <w:color w:val="FFFFFF"/>
                <w:sz w:val="16"/>
              </w:rPr>
              <w:t>Proposed responsibility / source linkage</w:t>
            </w:r>
          </w:p>
        </w:tc>
      </w:tr>
      <w:tr>
        <w:trPr>
          <w:cantSplit/>
        </w:trPr>
        <w:tc>
          <w:tcPr>
            <w:tcW w:type="dxa" w:w="2232"/>
            <w:vAlign w:val="top"/>
            <w:tcMar>
              <w:top w:w="95" w:type="dxa"/>
              <w:start w:w="90" w:type="dxa"/>
              <w:bottom w:w="95" w:type="dxa"/>
              <w:end w:w="90" w:type="dxa"/>
            </w:tcMar>
          </w:tcPr>
          <w:p>
            <w:pPr>
              <w:spacing w:after="40"/>
            </w:pPr>
            <w:r>
              <w:rPr>
                <w:rFonts w:ascii="Aptos" w:hAnsi="Aptos"/>
                <w:sz w:val="16"/>
              </w:rPr>
              <w:t>QC Controller</w:t>
            </w:r>
          </w:p>
        </w:tc>
        <w:tc>
          <w:tcPr>
            <w:tcW w:type="dxa" w:w="7848"/>
            <w:vAlign w:val="top"/>
            <w:tcMar>
              <w:top w:w="95" w:type="dxa"/>
              <w:start w:w="90" w:type="dxa"/>
              <w:bottom w:w="95" w:type="dxa"/>
              <w:end w:w="90" w:type="dxa"/>
            </w:tcMar>
          </w:tcPr>
          <w:p>
            <w:pPr>
              <w:spacing w:after="40"/>
            </w:pPr>
            <w:r>
              <w:rPr>
                <w:rFonts w:ascii="Aptos" w:hAnsi="Aptos"/>
                <w:sz w:val="16"/>
              </w:rPr>
              <w:t>Sample, inspect/test, identify equipment and actual results; preserve existing WI p.1 §4.1.</w:t>
            </w:r>
          </w:p>
        </w:tc>
      </w:tr>
      <w:tr>
        <w:trPr>
          <w:cantSplit/>
        </w:trPr>
        <w:tc>
          <w:tcPr>
            <w:tcW w:type="dxa" w:w="2232"/>
            <w:vAlign w:val="top"/>
            <w:tcMar>
              <w:top w:w="95" w:type="dxa"/>
              <w:start w:w="90" w:type="dxa"/>
              <w:bottom w:w="95" w:type="dxa"/>
              <w:end w:w="90" w:type="dxa"/>
            </w:tcMar>
            <w:shd w:fill="F2F6F9"/>
          </w:tcPr>
          <w:p>
            <w:pPr>
              <w:spacing w:after="40"/>
            </w:pPr>
            <w:r>
              <w:rPr>
                <w:rFonts w:ascii="Aptos" w:hAnsi="Aptos"/>
                <w:sz w:val="16"/>
              </w:rPr>
              <w:t>QC Supervisor</w:t>
            </w:r>
          </w:p>
        </w:tc>
        <w:tc>
          <w:tcPr>
            <w:tcW w:type="dxa" w:w="7848"/>
            <w:vAlign w:val="top"/>
            <w:tcMar>
              <w:top w:w="95" w:type="dxa"/>
              <w:start w:w="90" w:type="dxa"/>
              <w:bottom w:w="95" w:type="dxa"/>
              <w:end w:w="90" w:type="dxa"/>
            </w:tcMar>
            <w:shd w:fill="F2F6F9"/>
          </w:tcPr>
          <w:p>
            <w:pPr>
              <w:spacing w:after="40"/>
            </w:pPr>
            <w:r>
              <w:rPr>
                <w:rFonts w:ascii="Aptos" w:hAnsi="Aptos"/>
                <w:sz w:val="16"/>
              </w:rPr>
              <w:t>Review QC results/checkpoint completeness; original WI p.1 §4.2.</w:t>
            </w:r>
          </w:p>
        </w:tc>
      </w:tr>
      <w:tr>
        <w:trPr>
          <w:cantSplit/>
        </w:trPr>
        <w:tc>
          <w:tcPr>
            <w:tcW w:type="dxa" w:w="2232"/>
            <w:vAlign w:val="top"/>
            <w:tcMar>
              <w:top w:w="95" w:type="dxa"/>
              <w:start w:w="90" w:type="dxa"/>
              <w:bottom w:w="95" w:type="dxa"/>
              <w:end w:w="90" w:type="dxa"/>
            </w:tcMar>
          </w:tcPr>
          <w:p>
            <w:pPr>
              <w:spacing w:after="40"/>
            </w:pPr>
            <w:r>
              <w:rPr>
                <w:rFonts w:ascii="Aptos" w:hAnsi="Aptos"/>
                <w:sz w:val="16"/>
              </w:rPr>
              <w:t>QCM / QAM</w:t>
            </w:r>
          </w:p>
        </w:tc>
        <w:tc>
          <w:tcPr>
            <w:tcW w:type="dxa" w:w="7848"/>
            <w:vAlign w:val="top"/>
            <w:tcMar>
              <w:top w:w="95" w:type="dxa"/>
              <w:start w:w="90" w:type="dxa"/>
              <w:bottom w:w="95" w:type="dxa"/>
              <w:end w:w="90" w:type="dxa"/>
            </w:tcMar>
          </w:tcPr>
          <w:p>
            <w:pPr>
              <w:spacing w:after="40"/>
            </w:pPr>
            <w:r>
              <w:rPr>
                <w:rFonts w:ascii="Aptos" w:hAnsi="Aptos"/>
                <w:sz w:val="16"/>
              </w:rPr>
              <w:t>Approval/release responsibilities per verified current authorization matrix; WI p.1 §4.3 and p.2 §9.</w:t>
            </w:r>
          </w:p>
        </w:tc>
      </w:tr>
      <w:tr>
        <w:trPr>
          <w:cantSplit/>
        </w:trPr>
        <w:tc>
          <w:tcPr>
            <w:tcW w:type="dxa" w:w="2232"/>
            <w:vAlign w:val="top"/>
            <w:tcMar>
              <w:top w:w="95" w:type="dxa"/>
              <w:start w:w="90" w:type="dxa"/>
              <w:bottom w:w="95" w:type="dxa"/>
              <w:end w:w="90" w:type="dxa"/>
            </w:tcMar>
            <w:shd w:fill="F2F6F9"/>
          </w:tcPr>
          <w:p>
            <w:pPr>
              <w:spacing w:after="40"/>
            </w:pPr>
            <w:r>
              <w:rPr>
                <w:rFonts w:ascii="Aptos" w:hAnsi="Aptos"/>
                <w:sz w:val="16"/>
              </w:rPr>
              <w:t>Production</w:t>
            </w:r>
          </w:p>
        </w:tc>
        <w:tc>
          <w:tcPr>
            <w:tcW w:type="dxa" w:w="7848"/>
            <w:vAlign w:val="top"/>
            <w:tcMar>
              <w:top w:w="95" w:type="dxa"/>
              <w:start w:w="90" w:type="dxa"/>
              <w:bottom w:w="95" w:type="dxa"/>
              <w:end w:w="90" w:type="dxa"/>
            </w:tcMar>
            <w:shd w:fill="F2F6F9"/>
          </w:tcPr>
          <w:p>
            <w:pPr>
              <w:spacing w:after="40"/>
            </w:pPr>
            <w:r>
              <w:rPr>
                <w:rFonts w:ascii="Aptos" w:hAnsi="Aptos"/>
                <w:sz w:val="16"/>
              </w:rPr>
              <w:t>Identify lots/stations and segregate failed output; procedure / authority pending local approval.</w:t>
            </w:r>
          </w:p>
        </w:tc>
      </w:tr>
      <w:tr>
        <w:trPr>
          <w:cantSplit/>
        </w:trPr>
        <w:tc>
          <w:tcPr>
            <w:tcW w:type="dxa" w:w="2232"/>
            <w:vAlign w:val="top"/>
            <w:tcMar>
              <w:top w:w="95" w:type="dxa"/>
              <w:start w:w="90" w:type="dxa"/>
              <w:bottom w:w="95" w:type="dxa"/>
              <w:end w:w="90" w:type="dxa"/>
            </w:tcMar>
          </w:tcPr>
          <w:p>
            <w:pPr>
              <w:spacing w:after="40"/>
            </w:pPr>
            <w:r>
              <w:rPr>
                <w:rFonts w:ascii="Aptos" w:hAnsi="Aptos"/>
                <w:sz w:val="16"/>
              </w:rPr>
              <w:t>Engineering / QA</w:t>
            </w:r>
          </w:p>
        </w:tc>
        <w:tc>
          <w:tcPr>
            <w:tcW w:type="dxa" w:w="7848"/>
            <w:vAlign w:val="top"/>
            <w:tcMar>
              <w:top w:w="95" w:type="dxa"/>
              <w:start w:w="90" w:type="dxa"/>
              <w:bottom w:w="95" w:type="dxa"/>
              <w:end w:w="90" w:type="dxa"/>
            </w:tcMar>
          </w:tcPr>
          <w:p>
            <w:pPr>
              <w:spacing w:after="40"/>
            </w:pPr>
            <w:r>
              <w:rPr>
                <w:rFonts w:ascii="Aptos" w:hAnsi="Aptos"/>
                <w:sz w:val="16"/>
              </w:rPr>
              <w:t>Own applicable drawings, technical limits, qualification evidence and approval of missing parameters.</w:t>
            </w:r>
          </w:p>
        </w:tc>
      </w:tr>
      <w:tr>
        <w:trPr>
          <w:cantSplit/>
        </w:trPr>
        <w:tc>
          <w:tcPr>
            <w:tcW w:type="dxa" w:w="2232"/>
            <w:vAlign w:val="top"/>
            <w:tcMar>
              <w:top w:w="95" w:type="dxa"/>
              <w:start w:w="90" w:type="dxa"/>
              <w:bottom w:w="95" w:type="dxa"/>
              <w:end w:w="90" w:type="dxa"/>
            </w:tcMar>
            <w:shd w:fill="F2F6F9"/>
          </w:tcPr>
          <w:p>
            <w:pPr>
              <w:spacing w:after="40"/>
            </w:pPr>
            <w:r>
              <w:rPr>
                <w:rFonts w:ascii="Aptos" w:hAnsi="Aptos"/>
                <w:sz w:val="16"/>
              </w:rPr>
              <w:t>Document Control</w:t>
            </w:r>
          </w:p>
        </w:tc>
        <w:tc>
          <w:tcPr>
            <w:tcW w:type="dxa" w:w="7848"/>
            <w:vAlign w:val="top"/>
            <w:tcMar>
              <w:top w:w="95" w:type="dxa"/>
              <w:start w:w="90" w:type="dxa"/>
              <w:bottom w:w="95" w:type="dxa"/>
              <w:end w:w="90" w:type="dxa"/>
            </w:tcMar>
            <w:shd w:fill="F2F6F9"/>
          </w:tcPr>
          <w:p>
            <w:pPr>
              <w:spacing w:after="40"/>
            </w:pPr>
            <w:r>
              <w:rPr>
                <w:rFonts w:ascii="Aptos" w:hAnsi="Aptos"/>
                <w:sz w:val="16"/>
              </w:rPr>
              <w:t>Verify record IDs, approved revision and effective date.</w:t>
            </w:r>
          </w:p>
        </w:tc>
      </w:tr>
    </w:tbl>
    <w:p>
      <w:pPr>
        <w:spacing w:after="0"/>
      </w:pPr>
    </w:p>
    <w:p>
      <w:pPr>
        <w:pStyle w:val="Heading1"/>
      </w:pPr>
      <w:r>
        <w:t>6. Materials, Components and Product Identity</w:t>
      </w:r>
    </w:p>
    <w:p>
      <w:pPr/>
      <w:r>
        <w:t>TF-M21-PS §6 identifies the following materials in the source: sensor—stainless steel; cable—copper wire with yellow PVC jacket; connector—yellow PP; pin—copper; label—adhesive paper. These are source descriptions, not verified material certificates for each product variant.</w:t>
      </w:r>
    </w:p>
    <w:p>
      <w:pPr/>
      <w:r>
        <w:t>Proposed WI §6.2 / §8.2: Verify connector configuration, pin count, interface/fit, cable appearance and pin condition against the drawing and product code. Two-pin configuration and yellow PVC-jacket cable may be used only where the approved BOM/drawing confirms applicability. Record variant-specific acceptance and mark nonapplicable features N/A with an approved reason; do not use an assumed common configuration.</w:t>
      </w:r>
    </w:p>
    <w:p>
      <w:pPr/>
      <w:r>
        <w:t>Proposed WI §6 / §8.2: Check assembled parts for the specified visible defects—cuts, cracks, bent pins, corrosion/rust particles, black spots, sharp edges and other applicable defects—against approved photographs/acceptance examples or controlled material specifications. Verify material grades/composition through approved receiving, supplier or qualification evidence where visual assessment cannot confirm composition. Identify source ref and N/A justification per configured variant.</w:t>
      </w:r>
    </w:p>
    <w:p>
      <w:pPr>
        <w:pStyle w:val="Heading1"/>
      </w:pPr>
      <w:r>
        <w:t>7. Incoming Verification and Sampling</w:t>
      </w:r>
    </w:p>
    <w:p>
      <w:pPr/>
      <w:r>
        <w:t>Existing company incoming controls (WI p.1 §5.1) cover PO conformity, correct labeling and sealed undamaged packaging, AQL-based inspection and COA collection. Preserve these checks in their controlled incoming process.</w:t>
      </w:r>
    </w:p>
    <w:p>
      <w:pPr/>
      <w:r>
        <w:t>Proposed WI §7: Verify materials and received probe assemblies using the approved Incoming Inspection route, including purchase-order identity, supplier/lot, incoming status, material/configuration acceptance and COA availability where required. Do not duplicate incoming tests at every in-process checkpoint. Before using materials, record the accepted incoming lot/receipt reference and confirm release status. Refer missing COA/approved receipt to Supplier Quality/QA for controlled disposition.</w:t>
      </w:r>
    </w:p>
    <w:p>
      <w:pPr/>
      <w:r>
        <w:t>Proposed WI §7 / §8.1: Perform in-process control at least at each established two-hour checkpoint specified by the existing WI, subject to approved shift/start-up and interruption rules. Record lot, process quantity, actual checkpoint time, sample quantity, sample identification and approved sampling-plan revision. Apply AQL only where an approved plan defines lot formation, inspection level, AQL, code letter and acceptance/rejection numbers; do not invent those values. If the plan is unavailable, record OPEN TECHNICAL INPUT REQUIRED and escalate before using any unsupported sampling decision.</w:t>
      </w:r>
    </w:p>
    <w:p>
      <w:pPr>
        <w:pStyle w:val="Heading1"/>
      </w:pPr>
      <w:r>
        <w:t>8. In-Process Control — Temperature Probe</w:t>
      </w:r>
    </w:p>
    <w:p>
      <w:pPr>
        <w:pStyle w:val="Heading2"/>
      </w:pPr>
      <w:r>
        <w:t>8.1 Checkpoint setup, identification and frequency</w:t>
      </w:r>
    </w:p>
    <w:p>
      <w:pPr/>
      <w:r>
        <w:t>Proposed WI §8.1 / §16: For each in-process checkpoint record the inspected product code, lot, operator/line/shift, date/time, sample ID or documented sampling basis, individual actual results where measured, acceptance decision, and an evidence/deviation reference. A summary status alone shall not substitute for a required quantitative measurement. Protect record integrity and identify any failed check with the affected production window.</w:t>
      </w:r>
    </w:p>
    <w:p>
      <w:pPr>
        <w:pStyle w:val="Heading2"/>
      </w:pPr>
      <w:r>
        <w:t>8.2 Visual, mechanical configuration and cable length</w:t>
      </w:r>
    </w:p>
    <w:p>
      <w:pPr/>
      <w:r>
        <w:t>Visual checkpoints: clarity/appearance; irregularities; flexible intact cable; sensor properly seated; connector damage/fit; straight, undamaged connector pins. Check against an approved variant/drawing and defect standard; do not rely solely on general subjective terms.</w:t>
      </w:r>
    </w:p>
    <w:p>
      <w:pPr/>
      <w:r>
        <w:t>Proposed WI §8.2: Determine the cable-length requirement by the exact approved product code and drawing; record the specified nominal length, tolerance, measured length and units for each checked sample. TF-M21-PS §7.3 identifies 150 cm ±1 cm but other configurations listed under §4 state different minimum lengths; therefore obtain and approve the variant-specific precedence/length matrix before release of new controlled instructions. Do not apply the 150 cm ±1 cm rule to all variants.</w:t>
      </w:r>
    </w:p>
    <w:p>
      <w:pPr/>
      <w:r>
        <w:t>Proposed WI §8.2 / §8.5: At each required in-process visual check, confirm that sensor, cable and connector assemblies are secure, fully seated and free from observable looseness or damage according to the approved visual/fit work standard. Where product risk or design requirements establish a quantified retention test, use its approved method, frequency and acceptance limit in the designated controlled record. Define the observational method/illustrated defect criteria before implementation; OPEN TECHNICAL INPUT REQUIRED for any missing numerical strength limit.</w:t>
      </w:r>
    </w:p>
    <w:p>
      <w:pPr>
        <w:pStyle w:val="Heading2"/>
      </w:pPr>
      <w:r>
        <w:t>8.3 Functional/accuracy control</w:t>
      </w:r>
    </w:p>
    <w:p>
      <w:pPr/>
      <w:r>
        <w:t>Proposed WI §8.3: Verify probe functional output using the approved, variant-specific work/test method and an appropriate identified reference thermometer/monitor or qualified test apparatus. Record each tested sample, equipment ID, setpoint/reference reading, probe reading, units and calculated deviation where applicable. Accept only against the approved source-derived tolerance and defined configuration; until these criteria and test conditions are approved, identify OPEN TECHNICAL INPUT REQUIRED and do not mark functional accuracy Pass. Refer to the applicable qualification evidence when the routine production check is limited to a validated continuity/function screen.</w:t>
      </w:r>
    </w:p>
    <w:p>
      <w:pPr>
        <w:pStyle w:val="Heading2"/>
      </w:pPr>
      <w:r>
        <w:t>8.4 Instruments / measuring equipment</w:t>
      </w:r>
    </w:p>
    <w:p>
      <w:pPr/>
      <w:r>
        <w:t>Proposed WI §8.4: Before a measurable in-process check, verify the approved method, instrument identification, calibration/verification status and suitability for the acceptance criterion. Record the equipment ID and calibration due/status or linked register reference on the controlled in-process record. Quarantine any suspect result when equipment validity cannot be demonstrated until Quality decides the impact.</w:t>
      </w:r>
    </w:p>
    <w:p>
      <w:pPr>
        <w:pStyle w:val="Heading2"/>
      </w:pPr>
      <w:r>
        <w:t>8.5 Attachment / fit</w:t>
      </w:r>
    </w:p>
    <w:p>
      <w:pPr/>
      <w:r>
        <w:t>Proposed WI §8.2 / §8.5: At each required in-process visual check, confirm that sensor, cable and connector assemblies are secure, fully seated and free from observable looseness or damage according to the approved visual/fit work standard. Where product risk or design requirements establish a quantified retention test, use its approved method, frequency and acceptance limit in the designated controlled record. Define the observational method/illustrated defect criteria before implementation; OPEN TECHNICAL INPUT REQUIRED for any missing numerical strength limit.</w:t>
      </w:r>
    </w:p>
    <w:p>
      <w:pPr>
        <w:pStyle w:val="Heading2"/>
      </w:pPr>
      <w:r>
        <w:t>8.6 Records / decision</w:t>
      </w:r>
    </w:p>
    <w:p>
      <w:pPr/>
      <w:r>
        <w:t>Record observation and measurement results on the current approved in-process record and linked checkpoint measurement log. Use Pass only when criteria and actual results are verified; Fail for an established nonconforming result; Pending for unknown limits/missing evidence. N/A requires a reason and approved variant applicability. Use the form’s Checkpoint ID to cross-reference instrument, sample and deviation records.</w:t>
      </w:r>
    </w:p>
    <w:p>
      <w:pPr>
        <w:pStyle w:val="Heading1"/>
      </w:pPr>
      <w:r>
        <w:t>9. Acceptance Criteria</w:t>
      </w:r>
    </w:p>
    <w:tbl>
      <w:tblPr>
        <w:tblStyle w:val="TableGrid"/>
        <w:tblW w:type="auto" w:w="0"/>
        <w:jc w:val="center"/>
        <w:tblLayout w:type="fixed"/>
        <w:tblLook w:firstColumn="1" w:firstRow="1" w:lastColumn="0" w:lastRow="0" w:noHBand="0" w:noVBand="1" w:val="04A0"/>
      </w:tblPr>
      <w:tblGrid>
        <w:gridCol w:w="2880"/>
        <w:gridCol w:w="7200"/>
      </w:tblGrid>
      <w:tr>
        <w:trPr>
          <w:tblHeader w:val="true"/>
          <w:cantSplit/>
        </w:trPr>
        <w:tc>
          <w:tcPr>
            <w:tcW w:type="dxa" w:w="2880"/>
            <w:shd w:fill="16243B"/>
            <w:tcMar>
              <w:top w:w="95" w:type="dxa"/>
              <w:start w:w="90" w:type="dxa"/>
              <w:bottom w:w="95" w:type="dxa"/>
              <w:end w:w="90" w:type="dxa"/>
            </w:tcMar>
            <w:vAlign w:val="center"/>
          </w:tcPr>
          <w:p>
            <w:r>
              <w:rPr>
                <w:b/>
                <w:color w:val="FFFFFF"/>
                <w:sz w:val="16"/>
              </w:rPr>
              <w:t>Characteristic</w:t>
            </w:r>
          </w:p>
        </w:tc>
        <w:tc>
          <w:tcPr>
            <w:tcW w:type="dxa" w:w="7200"/>
            <w:shd w:fill="16243B"/>
            <w:tcMar>
              <w:top w:w="95" w:type="dxa"/>
              <w:start w:w="90" w:type="dxa"/>
              <w:bottom w:w="95" w:type="dxa"/>
              <w:end w:w="90" w:type="dxa"/>
            </w:tcMar>
            <w:vAlign w:val="center"/>
          </w:tcPr>
          <w:p>
            <w:r>
              <w:rPr>
                <w:b/>
                <w:color w:val="FFFFFF"/>
                <w:sz w:val="16"/>
              </w:rPr>
              <w:t>Approved source rule / pending item</w:t>
            </w:r>
          </w:p>
        </w:tc>
      </w:tr>
      <w:tr>
        <w:trPr>
          <w:cantSplit/>
        </w:trPr>
        <w:tc>
          <w:tcPr>
            <w:tcW w:type="dxa" w:w="2880"/>
            <w:vAlign w:val="top"/>
            <w:tcMar>
              <w:top w:w="95" w:type="dxa"/>
              <w:start w:w="90" w:type="dxa"/>
              <w:bottom w:w="95" w:type="dxa"/>
              <w:end w:w="90" w:type="dxa"/>
            </w:tcMar>
          </w:tcPr>
          <w:p>
            <w:pPr>
              <w:spacing w:after="40"/>
            </w:pPr>
            <w:r>
              <w:rPr>
                <w:rFonts w:ascii="Aptos" w:hAnsi="Aptos"/>
                <w:sz w:val="16"/>
              </w:rPr>
              <w:t>Appearance</w:t>
            </w:r>
          </w:p>
        </w:tc>
        <w:tc>
          <w:tcPr>
            <w:tcW w:type="dxa" w:w="7200"/>
            <w:vAlign w:val="top"/>
            <w:tcMar>
              <w:top w:w="95" w:type="dxa"/>
              <w:start w:w="90" w:type="dxa"/>
              <w:bottom w:w="95" w:type="dxa"/>
              <w:end w:w="90" w:type="dxa"/>
            </w:tcMar>
          </w:tcPr>
          <w:p>
            <w:pPr>
              <w:spacing w:after="40"/>
            </w:pPr>
            <w:r>
              <w:rPr>
                <w:rFonts w:ascii="Aptos" w:hAnsi="Aptos"/>
                <w:sz w:val="16"/>
              </w:rPr>
              <w:t>Clean and free of relevant irregularities (TF p.2 §7.1; approved defect examples still required).</w:t>
            </w:r>
          </w:p>
        </w:tc>
      </w:tr>
      <w:tr>
        <w:trPr>
          <w:cantSplit/>
        </w:trPr>
        <w:tc>
          <w:tcPr>
            <w:tcW w:type="dxa" w:w="2880"/>
            <w:vAlign w:val="top"/>
            <w:tcMar>
              <w:top w:w="95" w:type="dxa"/>
              <w:start w:w="90" w:type="dxa"/>
              <w:bottom w:w="95" w:type="dxa"/>
              <w:end w:w="90" w:type="dxa"/>
            </w:tcMar>
            <w:shd w:fill="F2F6F9"/>
          </w:tcPr>
          <w:p>
            <w:pPr>
              <w:spacing w:after="40"/>
            </w:pPr>
            <w:r>
              <w:rPr>
                <w:rFonts w:ascii="Aptos" w:hAnsi="Aptos"/>
                <w:sz w:val="16"/>
              </w:rPr>
              <w:t>Cable physical condition</w:t>
            </w:r>
          </w:p>
        </w:tc>
        <w:tc>
          <w:tcPr>
            <w:tcW w:type="dxa" w:w="7200"/>
            <w:vAlign w:val="top"/>
            <w:tcMar>
              <w:top w:w="95" w:type="dxa"/>
              <w:start w:w="90" w:type="dxa"/>
              <w:bottom w:w="95" w:type="dxa"/>
              <w:end w:w="90" w:type="dxa"/>
            </w:tcMar>
            <w:shd w:fill="F2F6F9"/>
          </w:tcPr>
          <w:p>
            <w:pPr>
              <w:spacing w:after="40"/>
            </w:pPr>
            <w:r>
              <w:rPr>
                <w:rFonts w:ascii="Aptos" w:hAnsi="Aptos"/>
                <w:sz w:val="16"/>
              </w:rPr>
              <w:t>Smooth, flexible, kink-resistant; no cracks/cuts/black spots; TF p.3 §7.3.</w:t>
            </w:r>
          </w:p>
        </w:tc>
      </w:tr>
      <w:tr>
        <w:trPr>
          <w:cantSplit/>
        </w:trPr>
        <w:tc>
          <w:tcPr>
            <w:tcW w:type="dxa" w:w="2880"/>
            <w:vAlign w:val="top"/>
            <w:tcMar>
              <w:top w:w="95" w:type="dxa"/>
              <w:start w:w="90" w:type="dxa"/>
              <w:bottom w:w="95" w:type="dxa"/>
              <w:end w:w="90" w:type="dxa"/>
            </w:tcMar>
          </w:tcPr>
          <w:p>
            <w:pPr>
              <w:spacing w:after="40"/>
            </w:pPr>
            <w:r>
              <w:rPr>
                <w:rFonts w:ascii="Aptos" w:hAnsi="Aptos"/>
                <w:sz w:val="16"/>
              </w:rPr>
              <w:t>Cable length</w:t>
            </w:r>
          </w:p>
        </w:tc>
        <w:tc>
          <w:tcPr>
            <w:tcW w:type="dxa" w:w="7200"/>
            <w:vAlign w:val="top"/>
            <w:tcMar>
              <w:top w:w="95" w:type="dxa"/>
              <w:start w:w="90" w:type="dxa"/>
              <w:bottom w:w="95" w:type="dxa"/>
              <w:end w:w="90" w:type="dxa"/>
            </w:tcMar>
          </w:tcPr>
          <w:p>
            <w:pPr>
              <w:spacing w:after="40"/>
            </w:pPr>
            <w:r>
              <w:rPr>
                <w:rFonts w:ascii="Aptos" w:hAnsi="Aptos"/>
                <w:sz w:val="16"/>
              </w:rPr>
              <w:t>TF p.3 §7.3: 150 cm ± 1 cm for a verified applicable configuration only; conflicting §4 lengths require approved variant-specific rule (GAP-003).</w:t>
            </w:r>
          </w:p>
        </w:tc>
      </w:tr>
      <w:tr>
        <w:trPr>
          <w:cantSplit/>
        </w:trPr>
        <w:tc>
          <w:tcPr>
            <w:tcW w:type="dxa" w:w="2880"/>
            <w:vAlign w:val="top"/>
            <w:tcMar>
              <w:top w:w="95" w:type="dxa"/>
              <w:start w:w="90" w:type="dxa"/>
              <w:bottom w:w="95" w:type="dxa"/>
              <w:end w:w="90" w:type="dxa"/>
            </w:tcMar>
            <w:shd w:fill="F2F6F9"/>
          </w:tcPr>
          <w:p>
            <w:pPr>
              <w:spacing w:after="40"/>
            </w:pPr>
            <w:r>
              <w:rPr>
                <w:rFonts w:ascii="Aptos" w:hAnsi="Aptos"/>
                <w:sz w:val="16"/>
              </w:rPr>
              <w:t>Sensor function</w:t>
            </w:r>
          </w:p>
        </w:tc>
        <w:tc>
          <w:tcPr>
            <w:tcW w:type="dxa" w:w="7200"/>
            <w:vAlign w:val="top"/>
            <w:tcMar>
              <w:top w:w="95" w:type="dxa"/>
              <w:start w:w="90" w:type="dxa"/>
              <w:bottom w:w="95" w:type="dxa"/>
              <w:end w:w="90" w:type="dxa"/>
            </w:tcMar>
            <w:shd w:fill="F2F6F9"/>
          </w:tcPr>
          <w:p>
            <w:pPr>
              <w:spacing w:after="40"/>
            </w:pPr>
            <w:r>
              <w:rPr>
                <w:rFonts w:ascii="Aptos" w:hAnsi="Aptos"/>
                <w:sz w:val="16"/>
              </w:rPr>
              <w:t>Working and accurate reading stated by TF §§7.2–7.5; quantitative tolerance and method OPEN TECHNICAL INPUT REQUIRED.</w:t>
            </w:r>
          </w:p>
        </w:tc>
      </w:tr>
      <w:tr>
        <w:trPr>
          <w:cantSplit/>
        </w:trPr>
        <w:tc>
          <w:tcPr>
            <w:tcW w:type="dxa" w:w="2880"/>
            <w:vAlign w:val="top"/>
            <w:tcMar>
              <w:top w:w="95" w:type="dxa"/>
              <w:start w:w="90" w:type="dxa"/>
              <w:bottom w:w="95" w:type="dxa"/>
              <w:end w:w="90" w:type="dxa"/>
            </w:tcMar>
          </w:tcPr>
          <w:p>
            <w:pPr>
              <w:spacing w:after="40"/>
            </w:pPr>
            <w:r>
              <w:rPr>
                <w:rFonts w:ascii="Aptos" w:hAnsi="Aptos"/>
                <w:sz w:val="16"/>
              </w:rPr>
              <w:t>Connector / pins</w:t>
            </w:r>
          </w:p>
        </w:tc>
        <w:tc>
          <w:tcPr>
            <w:tcW w:type="dxa" w:w="7200"/>
            <w:vAlign w:val="top"/>
            <w:tcMar>
              <w:top w:w="95" w:type="dxa"/>
              <w:start w:w="90" w:type="dxa"/>
              <w:bottom w:w="95" w:type="dxa"/>
              <w:end w:w="90" w:type="dxa"/>
            </w:tcMar>
          </w:tcPr>
          <w:p>
            <w:pPr>
              <w:spacing w:after="40"/>
            </w:pPr>
            <w:r>
              <w:rPr>
                <w:rFonts w:ascii="Aptos" w:hAnsi="Aptos"/>
                <w:sz w:val="16"/>
              </w:rPr>
              <w:t>Straight, smooth, no damage/bend/rust; pin count and fit per variant drawing.</w:t>
            </w:r>
          </w:p>
        </w:tc>
      </w:tr>
      <w:tr>
        <w:trPr>
          <w:cantSplit/>
        </w:trPr>
        <w:tc>
          <w:tcPr>
            <w:tcW w:type="dxa" w:w="2880"/>
            <w:vAlign w:val="top"/>
            <w:tcMar>
              <w:top w:w="95" w:type="dxa"/>
              <w:start w:w="90" w:type="dxa"/>
              <w:bottom w:w="95" w:type="dxa"/>
              <w:end w:w="90" w:type="dxa"/>
            </w:tcMar>
            <w:shd w:fill="F2F6F9"/>
          </w:tcPr>
          <w:p>
            <w:pPr>
              <w:spacing w:after="40"/>
            </w:pPr>
            <w:r>
              <w:rPr>
                <w:rFonts w:ascii="Aptos" w:hAnsi="Aptos"/>
                <w:sz w:val="16"/>
              </w:rPr>
              <w:t>Attachments</w:t>
            </w:r>
          </w:p>
        </w:tc>
        <w:tc>
          <w:tcPr>
            <w:tcW w:type="dxa" w:w="7200"/>
            <w:vAlign w:val="top"/>
            <w:tcMar>
              <w:top w:w="95" w:type="dxa"/>
              <w:start w:w="90" w:type="dxa"/>
              <w:bottom w:w="95" w:type="dxa"/>
              <w:end w:w="90" w:type="dxa"/>
            </w:tcMar>
            <w:shd w:fill="F2F6F9"/>
          </w:tcPr>
          <w:p>
            <w:pPr>
              <w:spacing w:after="40"/>
            </w:pPr>
            <w:r>
              <w:rPr>
                <w:rFonts w:ascii="Aptos" w:hAnsi="Aptos"/>
                <w:sz w:val="16"/>
              </w:rPr>
              <w:t>Secure/assembled as defined by approved controlled defect/method criteria; quantify if design/control plan requires.</w:t>
            </w:r>
          </w:p>
        </w:tc>
      </w:tr>
    </w:tbl>
    <w:p>
      <w:pPr>
        <w:spacing w:after="0"/>
      </w:pPr>
    </w:p>
    <w:p>
      <w:pPr>
        <w:pStyle w:val="Heading1"/>
      </w:pPr>
      <w:r>
        <w:t>10. Sampling and Frequency</w:t>
      </w:r>
    </w:p>
    <w:p>
      <w:pPr/>
      <w:r>
        <w:t>Two-hour in-process sampling follows WI Rev.0 §§7–8. No unsupported specific sample size, AQL level or Ac/Re is adopted. The approved plan must determine how to select units, define periodic start/stop scenarios and apply acceptance/rejection logic (GAP-004).</w:t>
      </w:r>
    </w:p>
    <w:p>
      <w:pPr>
        <w:pStyle w:val="Heading1"/>
      </w:pPr>
      <w:r>
        <w:t>11. Production and Assembly Checkpoints</w:t>
      </w:r>
    </w:p>
    <w:p>
      <w:pPr/>
      <w:r>
        <w:t>During assembly confirm applicable code, intact cable, connector and sensor, accepted parts and function control. Preserve the 2-hour checkpoints and make inspection/production stage traceable. For omitted or failed checks, identify affected output and use the formal deviation path.</w:t>
      </w:r>
    </w:p>
    <w:p>
      <w:pPr>
        <w:pStyle w:val="Heading1"/>
      </w:pPr>
      <w:r>
        <w:t>12. Nonconforming Product Control</w:t>
      </w:r>
    </w:p>
    <w:p>
      <w:pPr/>
      <w:r>
        <w:t>Proposed WI §12: When an in-process characteristic fails or cannot be verified, immediately identify and segregate suspect units from the last verified acceptable checkpoint to the failure discovery (or a justified narrower traceable population), inform the responsible Production and QC supervisor, initiate the approved nonconforming-product record and prevent unintended use or progression pending authorized disposition. Record line/lot, affected quantity/window, failed result, disposition reference and documented re-verification when required. Only an authorized quality role may approve controlled release based on verified evidence.</w:t>
      </w:r>
    </w:p>
    <w:p>
      <w:pPr>
        <w:pStyle w:val="Heading1"/>
      </w:pPr>
      <w:r>
        <w:t>13. Packaging and Labeling Interface</w:t>
      </w:r>
    </w:p>
    <w:p>
      <w:pPr/>
      <w:r>
        <w:t>Existing WI p.2 §8 specifies approved name/code, reference number, lot, type, symbols, production/expiry dates and seal/quantity conformance. TF p.3 §8 gives packaging information and §8.1 describes quantities (30 units per box, 8 small boxes, 240 per carton) for its stated packaging arrangement. Verify variant/current approved packaging before applying these values.</w:t>
      </w:r>
    </w:p>
    <w:p>
      <w:pPr/>
      <w:r>
        <w:t>Proposed WI §13 / §15: Verify packaging and label details against the approved master artwork, controlled specification and product-code/lot data using the designated packaging in-process record and final release record. Link those records to the same manufacturing lot on F-823-i128. Do not turn packaging validation or product qualification into an undocumented two-hour skin-probe test. Escalate unverified packaging/label record availability as OPEN — EVIDENCE.</w:t>
      </w:r>
    </w:p>
    <w:p>
      <w:pPr/>
      <w:r>
        <w:t>Proposed WI §13 / §15: The approved product specification states a three-year period from manufacture for the products in scope; verify that manufacture/expiry calculation and label printing follow the currently approved product-specific shelf-life rationale and artwork. Evidence of shelf-life qualification is held in a controlled file and not generated by routine two-hour assembly checks. Link the approved final packaging/release record and shelf-life evidence to the applicable code/lot. If suitability for every variant is unproven, OPEN TECHNICAL INPUT REQUIRED.</w:t>
      </w:r>
    </w:p>
    <w:p>
      <w:pPr>
        <w:pStyle w:val="Heading1"/>
      </w:pPr>
      <w:r>
        <w:t>14. Sterilization Linkage</w:t>
      </w:r>
    </w:p>
    <w:p>
      <w:pPr/>
      <w:r>
        <w:t>Both WI and TF describe the delivered product as non-sterile. Do not add a sterilization routine to this WI without verified applicable product information. Preserve relevant non-sterile label and release verification where required by approved specs.</w:t>
      </w:r>
    </w:p>
    <w:p>
      <w:pPr>
        <w:pStyle w:val="Heading1"/>
      </w:pPr>
      <w:r>
        <w:t>15. Final Inspection and Release Interface</w:t>
      </w:r>
    </w:p>
    <w:p>
      <w:pPr/>
      <w:r>
        <w:t>Preserve original WI p.2 §9: QC conducts final visual inspection under approved AQL controls, submits results to QCM/QAM per the effective authorization matrix, and checks warehouse transfer quantity/documentation. Final release is controlled in the separate approved release record; the skin in-process form itself is not final release authority.</w:t>
      </w:r>
    </w:p>
    <w:p>
      <w:pPr>
        <w:pStyle w:val="Heading1"/>
      </w:pPr>
      <w:r>
        <w:t>16. Records and Evidence Links</w:t>
      </w:r>
    </w:p>
    <w:p>
      <w:pPr>
        <w:pStyle w:val="ListBullet"/>
      </w:pPr>
      <w:r>
        <w:t>Product code, drawing/spec version and production lot; sample IDs and quantity; actual inspection/checkpoint date/time; QC identity and review status.</w:t>
      </w:r>
    </w:p>
    <w:p>
      <w:pPr>
        <w:pStyle w:val="ListBullet"/>
      </w:pPr>
      <w:r>
        <w:t>Measurement method/equipment ID and validity; actual measured values, units and requirement source.</w:t>
      </w:r>
    </w:p>
    <w:p>
      <w:pPr>
        <w:pStyle w:val="ListBullet"/>
      </w:pPr>
      <w:r>
        <w:t>Incoming COA/material release; packaging in-process; final release; NCR/segregation, if triggered; supplier/qualification/shelf-life record as applicable.</w:t>
      </w:r>
    </w:p>
    <w:p>
      <w:pPr>
        <w:pStyle w:val="ListBullet"/>
      </w:pPr>
      <w:r>
        <w:t>Source revision identifiers and documented N/A reasons; records retained according to the approved controlled-record schedule.</w:t>
      </w:r>
    </w:p>
    <w:p>
      <w:pPr>
        <w:pStyle w:val="Heading1"/>
      </w:pPr>
      <w:r>
        <w:t>17. Document Control</w:t>
      </w:r>
    </w:p>
    <w:p>
      <w:pPr/>
      <w:r>
        <w:t>Proposed WI §3 / §17: Identify F-823-i128 as the proposed skin-probe in-process record only after Document Control verifies its effective revision and relationship to F-823-T90, F-823-i4 and F-823-F247. Retain other valid controlled references; include TF-M21-PDBM only after verifying its identity and applicability. Specify QC execution, supervisor review and QCM/QAM approval according to the actual current authorization matrix; do not invent supersession, signatures or effective dates.</w:t>
      </w:r>
    </w:p>
    <w:p>
      <w:pPr/>
      <w:r>
        <w:t>Proposed WI §17: Require controlled revision verification before use. The template name, displayed revision/date and controlled-document master register shall match. Resolve Rev.1 tab versus Rev.2 header through Document Control; label the proposed revised form DRAFT (not effective) until approved.</w:t>
      </w:r>
    </w:p>
    <w:p>
      <w:pPr>
        <w:pStyle w:val="Heading1"/>
      </w:pPr>
      <w:r>
        <w:t>18. Revision History / Open Technical Inputs</w:t>
      </w:r>
    </w:p>
    <w:tbl>
      <w:tblPr>
        <w:tblStyle w:val="TableGrid"/>
        <w:tblW w:type="auto" w:w="0"/>
        <w:jc w:val="center"/>
        <w:tblLayout w:type="fixed"/>
        <w:tblLook w:firstColumn="1" w:firstRow="1" w:lastColumn="0" w:lastRow="0" w:noHBand="0" w:noVBand="1" w:val="04A0"/>
      </w:tblPr>
      <w:tblGrid>
        <w:gridCol w:w="2160"/>
        <w:gridCol w:w="2880"/>
        <w:gridCol w:w="5040"/>
      </w:tblGrid>
      <w:tr>
        <w:trPr>
          <w:tblHeader w:val="true"/>
          <w:cantSplit/>
        </w:trPr>
        <w:tc>
          <w:tcPr>
            <w:tcW w:type="dxa" w:w="2160"/>
            <w:shd w:fill="16243B"/>
            <w:tcMar>
              <w:top w:w="95" w:type="dxa"/>
              <w:start w:w="90" w:type="dxa"/>
              <w:bottom w:w="95" w:type="dxa"/>
              <w:end w:w="90" w:type="dxa"/>
            </w:tcMar>
            <w:vAlign w:val="center"/>
          </w:tcPr>
          <w:p>
            <w:r>
              <w:rPr>
                <w:b/>
                <w:color w:val="FFFFFF"/>
                <w:sz w:val="16"/>
              </w:rPr>
              <w:t>Status</w:t>
            </w:r>
          </w:p>
        </w:tc>
        <w:tc>
          <w:tcPr>
            <w:tcW w:type="dxa" w:w="2880"/>
            <w:shd w:fill="16243B"/>
            <w:tcMar>
              <w:top w:w="95" w:type="dxa"/>
              <w:start w:w="90" w:type="dxa"/>
              <w:bottom w:w="95" w:type="dxa"/>
              <w:end w:w="90" w:type="dxa"/>
            </w:tcMar>
            <w:vAlign w:val="center"/>
          </w:tcPr>
          <w:p>
            <w:r>
              <w:rPr>
                <w:b/>
                <w:color w:val="FFFFFF"/>
                <w:sz w:val="16"/>
              </w:rPr>
              <w:t>Revision reference</w:t>
            </w:r>
          </w:p>
        </w:tc>
        <w:tc>
          <w:tcPr>
            <w:tcW w:type="dxa" w:w="5040"/>
            <w:shd w:fill="16243B"/>
            <w:tcMar>
              <w:top w:w="95" w:type="dxa"/>
              <w:start w:w="90" w:type="dxa"/>
              <w:bottom w:w="95" w:type="dxa"/>
              <w:end w:w="90" w:type="dxa"/>
            </w:tcMar>
            <w:vAlign w:val="center"/>
          </w:tcPr>
          <w:p>
            <w:r>
              <w:rPr>
                <w:b/>
                <w:color w:val="FFFFFF"/>
                <w:sz w:val="16"/>
              </w:rPr>
              <w:t>Changes</w:t>
            </w:r>
          </w:p>
        </w:tc>
      </w:tr>
      <w:tr>
        <w:trPr>
          <w:cantSplit/>
        </w:trPr>
        <w:tc>
          <w:tcPr>
            <w:tcW w:type="dxa" w:w="2160"/>
            <w:vAlign w:val="top"/>
            <w:tcMar>
              <w:top w:w="95" w:type="dxa"/>
              <w:start w:w="90" w:type="dxa"/>
              <w:bottom w:w="95" w:type="dxa"/>
              <w:end w:w="90" w:type="dxa"/>
            </w:tcMar>
          </w:tcPr>
          <w:p>
            <w:pPr>
              <w:spacing w:after="40"/>
            </w:pPr>
            <w:r>
              <w:rPr>
                <w:rFonts w:ascii="Aptos" w:hAnsi="Aptos"/>
                <w:sz w:val="16"/>
              </w:rPr>
              <w:t>Draft / pending</w:t>
            </w:r>
          </w:p>
        </w:tc>
        <w:tc>
          <w:tcPr>
            <w:tcW w:type="dxa" w:w="2880"/>
            <w:vAlign w:val="top"/>
            <w:tcMar>
              <w:top w:w="95" w:type="dxa"/>
              <w:start w:w="90" w:type="dxa"/>
              <w:bottom w:w="95" w:type="dxa"/>
              <w:end w:w="90" w:type="dxa"/>
            </w:tcMar>
          </w:tcPr>
          <w:p>
            <w:pPr>
              <w:spacing w:after="40"/>
            </w:pPr>
            <w:r>
              <w:rPr>
                <w:rFonts w:ascii="Aptos" w:hAnsi="Aptos"/>
                <w:sz w:val="16"/>
              </w:rPr>
              <w:t>Based on WI-8-2-2-M21-1 Rev.0</w:t>
            </w:r>
          </w:p>
        </w:tc>
        <w:tc>
          <w:tcPr>
            <w:tcW w:type="dxa" w:w="5040"/>
            <w:vAlign w:val="top"/>
            <w:tcMar>
              <w:top w:w="95" w:type="dxa"/>
              <w:start w:w="90" w:type="dxa"/>
              <w:bottom w:w="95" w:type="dxa"/>
              <w:end w:w="90" w:type="dxa"/>
            </w:tcMar>
          </w:tcPr>
          <w:p>
            <w:pPr>
              <w:spacing w:after="40"/>
            </w:pPr>
            <w:r>
              <w:rPr>
                <w:rFonts w:ascii="Aptos" w:hAnsi="Aptos"/>
                <w:sz w:val="16"/>
              </w:rPr>
              <w:t>Reconstructed company-document controls for GAP-001 to GAP-015; includes only proposed changes.</w:t>
            </w:r>
          </w:p>
        </w:tc>
      </w:tr>
      <w:tr>
        <w:trPr>
          <w:cantSplit/>
        </w:trPr>
        <w:tc>
          <w:tcPr>
            <w:tcW w:type="dxa" w:w="2160"/>
            <w:vAlign w:val="top"/>
            <w:tcMar>
              <w:top w:w="95" w:type="dxa"/>
              <w:start w:w="90" w:type="dxa"/>
              <w:bottom w:w="95" w:type="dxa"/>
              <w:end w:w="90" w:type="dxa"/>
            </w:tcMar>
            <w:shd w:fill="F2F6F9"/>
          </w:tcPr>
          <w:p>
            <w:pPr>
              <w:spacing w:after="40"/>
            </w:pPr>
            <w:r>
              <w:rPr>
                <w:rFonts w:ascii="Aptos" w:hAnsi="Aptos"/>
                <w:sz w:val="16"/>
              </w:rPr>
              <w:t>Original</w:t>
            </w:r>
          </w:p>
        </w:tc>
        <w:tc>
          <w:tcPr>
            <w:tcW w:type="dxa" w:w="2880"/>
            <w:vAlign w:val="top"/>
            <w:tcMar>
              <w:top w:w="95" w:type="dxa"/>
              <w:start w:w="90" w:type="dxa"/>
              <w:bottom w:w="95" w:type="dxa"/>
              <w:end w:w="90" w:type="dxa"/>
            </w:tcMar>
            <w:shd w:fill="F2F6F9"/>
          </w:tcPr>
          <w:p>
            <w:pPr>
              <w:spacing w:after="40"/>
            </w:pPr>
            <w:r>
              <w:rPr>
                <w:rFonts w:ascii="Aptos" w:hAnsi="Aptos"/>
                <w:sz w:val="16"/>
              </w:rPr>
              <w:t>WI Rev.0 / 18-Feb-2025</w:t>
            </w:r>
          </w:p>
        </w:tc>
        <w:tc>
          <w:tcPr>
            <w:tcW w:type="dxa" w:w="5040"/>
            <w:vAlign w:val="top"/>
            <w:tcMar>
              <w:top w:w="95" w:type="dxa"/>
              <w:start w:w="90" w:type="dxa"/>
              <w:bottom w:w="95" w:type="dxa"/>
              <w:end w:w="90" w:type="dxa"/>
            </w:tcMar>
            <w:shd w:fill="F2F6F9"/>
          </w:tcPr>
          <w:p>
            <w:pPr>
              <w:spacing w:after="40"/>
            </w:pPr>
            <w:r>
              <w:rPr>
                <w:rFonts w:ascii="Aptos" w:hAnsi="Aptos"/>
                <w:sz w:val="16"/>
              </w:rPr>
              <w:t>First issue stated in source WI; preserved as historical source only.</w:t>
            </w:r>
          </w:p>
        </w:tc>
      </w:tr>
    </w:tbl>
    <w:p>
      <w:pPr>
        <w:spacing w:after="0"/>
      </w:pPr>
    </w:p>
    <w:p>
      <w:pPr/>
      <w:r>
        <w:t>OPEN TECHNICAL INPUT REQUIRED: formal variant-to-form mapping; authenticated standards list and ISO editions; verified cable-length limits per code; functional test method/tolerance; approved sampling plan; calibrated instruments; visual/retention criteria; current controlled-document references; shelf-life evidence; approval matrix.</w:t>
      </w:r>
    </w:p>
    <w:p>
      <w:pPr/>
      <w:r>
        <w:t>Controlled drafts are not released work instructions. Technical and quality approval is required before manufacturing implementation.</w:t>
      </w:r>
    </w:p>
    <w:sectPr w:rsidR="00FC693F" w:rsidRPr="0006063C" w:rsidSect="00034616">
      <w:headerReference w:type="default" r:id="rId9"/>
      <w:footerReference w:type="default" r:id="rId10"/>
      <w:pgSz w:w="11906" w:h="16838"/>
      <w:pgMar w:top="1080" w:right="1008" w:bottom="936" w:left="1008"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CONTROLLED DRAFT  •  NOT EFFECTIVE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87E8B"/>
      </w:rPr>
      <w:t>SAUDI MAIS  /  QC TECHNICAL REVIEW     •     REVISED WI — IN-PROCESS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8"/>
    </w:pPr>
    <w:rPr>
      <w:rFonts w:ascii="Aptos" w:hAnsi="Aptos"/>
      <w:color w:val="1624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243B"/>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243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6243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WI — In-Process – Temperature Probe</dc:title>
  <dc:subject>Source based documentation gap review — ISO pending</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