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&amp; PROCESS CONTROL | WOUND DRAINAGE SET</w:t>
      </w:r>
    </w:p>
    <w:p>
      <w:pPr>
        <w:pStyle w:val="Subtitle"/>
      </w:pPr>
      <w:r>
        <w:t>Proposed complete WI reconstruction  •  Supersession NOT authorized  •  Source baseline WI-8-2-2-23 Rev.4</w:t>
      </w:r>
    </w:p>
    <w:tbl>
      <w:tblPr>
        <w:tblStyle w:val="LightShading-Accent1"/>
        <w:tblW w:type="auto" w:w="0"/>
        <w:tblLook w:firstColumn="1" w:firstRow="1" w:lastColumn="0" w:lastRow="0" w:noHBand="0" w:noVBand="1" w:val="04A0"/>
      </w:tblPr>
      <w:tblGrid>
        <w:gridCol w:w="4989"/>
        <w:gridCol w:w="4989"/>
      </w:tblGrid>
      <w:tr>
        <w:tc>
          <w:tcPr>
            <w:tcW w:type="dxa" w:w="4989"/>
            <w:tcMar>
              <w:top w:w="75" w:type="dxa"/>
              <w:start w:w="85" w:type="dxa"/>
              <w:bottom w:w="75" w:type="dxa"/>
              <w:end w:w="85" w:type="dxa"/>
            </w:tcMar>
          </w:tcPr>
          <w:p>
            <w:r>
              <w:t>PRODUCT  Wound Drainage Set / flat perforated drain variants</w:t>
              <w:br/>
              <w:t>STANDARD  ISO 20697:2018(E), corrected version 2018-09</w:t>
            </w:r>
          </w:p>
        </w:tc>
        <w:tc>
          <w:tcPr>
            <w:tcW w:type="dxa" w:w="4989"/>
            <w:tcMar>
              <w:top w:w="75" w:type="dxa"/>
              <w:start w:w="85" w:type="dxa"/>
              <w:bottom w:w="75" w:type="dxa"/>
              <w:end w:w="85" w:type="dxa"/>
            </w:tcMar>
          </w:tcPr>
          <w:p>
            <w:r>
              <w:t>SOURCE WI  WI-8-2-2-23 Rev.4, 25 Dec 2022</w:t>
              <w:br/>
              <w:t>STATUS  Controlled draft; no approval implied</w:t>
            </w:r>
          </w:p>
        </w:tc>
      </w:tr>
    </w:tbl>
    <w:p>
      <w:r>
        <w:t>Evidence boundary: one official ISO PDF, one signed WI scan and two blank in-process XLSX forms were supplied. No executed records, master drawings, test reports, sterilization validation, risk file, or approved technical specifications were provided. A gap in supplied evidence is NOT evidence of a failed physical test.</w:t>
      </w:r>
    </w:p>
    <w:p>
      <w:pPr>
        <w:pStyle w:val="Heading1"/>
      </w:pPr>
      <w:r>
        <w:t>Document identification / proposed revision</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4989"/>
            <w:shd w:fill="173A57"/>
            <w:tcMar>
              <w:top w:w="75" w:type="dxa"/>
              <w:start w:w="85" w:type="dxa"/>
              <w:bottom w:w="75" w:type="dxa"/>
              <w:end w:w="85" w:type="dxa"/>
            </w:tcMar>
          </w:tcPr>
          <w:p>
            <w:r>
              <w:rPr>
                <w:b/>
                <w:color w:val="FFFFFF"/>
                <w:sz w:val="17"/>
              </w:rPr>
              <w:t>Field</w:t>
            </w:r>
          </w:p>
        </w:tc>
        <w:tc>
          <w:tcPr>
            <w:tcW w:type="dxa" w:w="4989"/>
            <w:shd w:fill="173A57"/>
            <w:tcMar>
              <w:top w:w="75" w:type="dxa"/>
              <w:start w:w="85" w:type="dxa"/>
              <w:bottom w:w="75" w:type="dxa"/>
              <w:end w:w="85" w:type="dxa"/>
            </w:tcMar>
          </w:tcPr>
          <w:p>
            <w:r>
              <w:rPr>
                <w:b/>
                <w:color w:val="FFFFFF"/>
                <w:sz w:val="17"/>
              </w:rPr>
              <w:t>Proposed controlled content</w:t>
            </w:r>
          </w:p>
        </w:tc>
      </w:tr>
      <w:tr>
        <w:tc>
          <w:tcPr>
            <w:tcW w:type="dxa" w:w="4989"/>
            <w:vAlign w:val="top"/>
            <w:tcMar>
              <w:top w:w="75" w:type="dxa"/>
              <w:start w:w="85" w:type="dxa"/>
              <w:bottom w:w="75" w:type="dxa"/>
              <w:end w:w="85" w:type="dxa"/>
            </w:tcMar>
            <w:shd w:fill="F1F5F8"/>
          </w:tcPr>
          <w:p>
            <w:pPr>
              <w:spacing w:after="20" w:line="247" w:lineRule="auto"/>
            </w:pPr>
            <w:r>
              <w:rPr>
                <w:sz w:val="16"/>
              </w:rPr>
              <w:t>Originating WI</w:t>
            </w:r>
          </w:p>
        </w:tc>
        <w:tc>
          <w:tcPr>
            <w:tcW w:type="dxa" w:w="4989"/>
            <w:vAlign w:val="top"/>
            <w:tcMar>
              <w:top w:w="75" w:type="dxa"/>
              <w:start w:w="85" w:type="dxa"/>
              <w:bottom w:w="75" w:type="dxa"/>
              <w:end w:w="85" w:type="dxa"/>
            </w:tcMar>
            <w:shd w:fill="F1F5F8"/>
          </w:tcPr>
          <w:p>
            <w:pPr>
              <w:spacing w:after="20" w:line="247" w:lineRule="auto"/>
            </w:pPr>
            <w:r>
              <w:rPr>
                <w:sz w:val="16"/>
              </w:rPr>
              <w:t>WI-8-2-2-23 Rev.4, 25 Dec 2022</w:t>
            </w:r>
          </w:p>
        </w:tc>
      </w:tr>
      <w:tr>
        <w:tc>
          <w:tcPr>
            <w:tcW w:type="dxa" w:w="4989"/>
            <w:vAlign w:val="top"/>
            <w:tcMar>
              <w:top w:w="75" w:type="dxa"/>
              <w:start w:w="85" w:type="dxa"/>
              <w:bottom w:w="75" w:type="dxa"/>
              <w:end w:w="85" w:type="dxa"/>
            </w:tcMar>
          </w:tcPr>
          <w:p>
            <w:pPr>
              <w:spacing w:after="20" w:line="247" w:lineRule="auto"/>
            </w:pPr>
            <w:r>
              <w:rPr>
                <w:sz w:val="16"/>
              </w:rPr>
              <w:t>Proposed revision</w:t>
            </w:r>
          </w:p>
        </w:tc>
        <w:tc>
          <w:tcPr>
            <w:tcW w:type="dxa" w:w="4989"/>
            <w:vAlign w:val="top"/>
            <w:tcMar>
              <w:top w:w="75" w:type="dxa"/>
              <w:start w:w="85" w:type="dxa"/>
              <w:bottom w:w="75" w:type="dxa"/>
              <w:end w:w="85" w:type="dxa"/>
            </w:tcMar>
          </w:tcPr>
          <w:p>
            <w:pPr>
              <w:spacing w:after="20" w:line="247" w:lineRule="auto"/>
            </w:pPr>
            <w:r>
              <w:rPr>
                <w:sz w:val="16"/>
              </w:rPr>
              <w:t>DRAFT - revision number to be assigned by Document Control</w:t>
            </w:r>
          </w:p>
        </w:tc>
      </w:tr>
      <w:tr>
        <w:tc>
          <w:tcPr>
            <w:tcW w:type="dxa" w:w="4989"/>
            <w:vAlign w:val="top"/>
            <w:tcMar>
              <w:top w:w="75" w:type="dxa"/>
              <w:start w:w="85" w:type="dxa"/>
              <w:bottom w:w="75" w:type="dxa"/>
              <w:end w:w="85" w:type="dxa"/>
            </w:tcMar>
            <w:shd w:fill="F1F5F8"/>
          </w:tcPr>
          <w:p>
            <w:pPr>
              <w:spacing w:after="20" w:line="247" w:lineRule="auto"/>
            </w:pPr>
            <w:r>
              <w:rPr>
                <w:sz w:val="16"/>
              </w:rPr>
              <w:t>Product family</w:t>
            </w:r>
          </w:p>
        </w:tc>
        <w:tc>
          <w:tcPr>
            <w:tcW w:type="dxa" w:w="4989"/>
            <w:vAlign w:val="top"/>
            <w:tcMar>
              <w:top w:w="75" w:type="dxa"/>
              <w:start w:w="85" w:type="dxa"/>
              <w:bottom w:w="75" w:type="dxa"/>
              <w:end w:w="85" w:type="dxa"/>
            </w:tcMar>
            <w:shd w:fill="F1F5F8"/>
          </w:tcPr>
          <w:p>
            <w:pPr>
              <w:spacing w:after="20" w:line="247" w:lineRule="auto"/>
            </w:pPr>
            <w:r>
              <w:rPr>
                <w:sz w:val="16"/>
              </w:rPr>
              <w:t>Wound drainage set; Redon drain tube; round and flat perforated silicone tube variants</w:t>
            </w:r>
          </w:p>
        </w:tc>
      </w:tr>
      <w:tr>
        <w:tc>
          <w:tcPr>
            <w:tcW w:type="dxa" w:w="4989"/>
            <w:vAlign w:val="top"/>
            <w:tcMar>
              <w:top w:w="75" w:type="dxa"/>
              <w:start w:w="85" w:type="dxa"/>
              <w:bottom w:w="75" w:type="dxa"/>
              <w:end w:w="85" w:type="dxa"/>
            </w:tcMar>
          </w:tcPr>
          <w:p>
            <w:pPr>
              <w:spacing w:after="20" w:line="247" w:lineRule="auto"/>
            </w:pPr>
            <w:r>
              <w:rPr>
                <w:sz w:val="16"/>
              </w:rPr>
              <w:t>Applicable standard</w:t>
            </w:r>
          </w:p>
        </w:tc>
        <w:tc>
          <w:tcPr>
            <w:tcW w:type="dxa" w:w="4989"/>
            <w:vAlign w:val="top"/>
            <w:tcMar>
              <w:top w:w="75" w:type="dxa"/>
              <w:start w:w="85" w:type="dxa"/>
              <w:bottom w:w="75" w:type="dxa"/>
              <w:end w:w="85" w:type="dxa"/>
            </w:tcMar>
          </w:tcPr>
          <w:p>
            <w:pPr>
              <w:spacing w:after="20" w:line="247" w:lineRule="auto"/>
            </w:pPr>
            <w:r>
              <w:rPr>
                <w:sz w:val="16"/>
              </w:rPr>
              <w:t>ISO 20697:2018(E), corrected version 2018-09</w:t>
            </w:r>
          </w:p>
        </w:tc>
      </w:tr>
      <w:tr>
        <w:tc>
          <w:tcPr>
            <w:tcW w:type="dxa" w:w="4989"/>
            <w:vAlign w:val="top"/>
            <w:tcMar>
              <w:top w:w="75" w:type="dxa"/>
              <w:start w:w="85" w:type="dxa"/>
              <w:bottom w:w="75" w:type="dxa"/>
              <w:end w:w="85" w:type="dxa"/>
            </w:tcMar>
            <w:shd w:fill="F1F5F8"/>
          </w:tcPr>
          <w:p>
            <w:pPr>
              <w:spacing w:after="20" w:line="247" w:lineRule="auto"/>
            </w:pPr>
            <w:r>
              <w:rPr>
                <w:sz w:val="16"/>
              </w:rPr>
              <w:t>Linked in-process records</w:t>
            </w:r>
          </w:p>
        </w:tc>
        <w:tc>
          <w:tcPr>
            <w:tcW w:type="dxa" w:w="4989"/>
            <w:vAlign w:val="top"/>
            <w:tcMar>
              <w:top w:w="75" w:type="dxa"/>
              <w:start w:w="85" w:type="dxa"/>
              <w:bottom w:w="75" w:type="dxa"/>
              <w:end w:w="85" w:type="dxa"/>
            </w:tcMar>
            <w:shd w:fill="F1F5F8"/>
          </w:tcPr>
          <w:p>
            <w:pPr>
              <w:spacing w:after="20" w:line="247" w:lineRule="auto"/>
            </w:pPr>
            <w:r>
              <w:rPr>
                <w:sz w:val="16"/>
              </w:rPr>
              <w:t>F-823-i12 Rev.4; F-823-i211 Rev.4 (reference discrepancy must be reconciled)</w:t>
            </w:r>
          </w:p>
        </w:tc>
      </w:tr>
      <w:tr>
        <w:tc>
          <w:tcPr>
            <w:tcW w:type="dxa" w:w="4989"/>
            <w:vAlign w:val="top"/>
            <w:tcMar>
              <w:top w:w="75" w:type="dxa"/>
              <w:start w:w="85" w:type="dxa"/>
              <w:bottom w:w="75" w:type="dxa"/>
              <w:end w:w="85" w:type="dxa"/>
            </w:tcMar>
          </w:tcPr>
          <w:p>
            <w:pPr>
              <w:spacing w:after="20" w:line="247" w:lineRule="auto"/>
            </w:pPr>
            <w:r>
              <w:rPr>
                <w:sz w:val="16"/>
              </w:rPr>
              <w:t>Approvals</w:t>
            </w:r>
          </w:p>
        </w:tc>
        <w:tc>
          <w:tcPr>
            <w:tcW w:type="dxa" w:w="4989"/>
            <w:vAlign w:val="top"/>
            <w:tcMar>
              <w:top w:w="75" w:type="dxa"/>
              <w:start w:w="85" w:type="dxa"/>
              <w:bottom w:w="75" w:type="dxa"/>
              <w:end w:w="85" w:type="dxa"/>
            </w:tcMar>
          </w:tcPr>
          <w:p>
            <w:pPr>
              <w:spacing w:after="20" w:line="247" w:lineRule="auto"/>
            </w:pPr>
            <w:r>
              <w:rPr>
                <w:sz w:val="16"/>
              </w:rPr>
              <w:t>Prepared / reviewed / QA/QC released: PENDING authorized signatures</w:t>
            </w:r>
          </w:p>
        </w:tc>
      </w:tr>
    </w:tbl>
    <w:p>
      <w:pPr>
        <w:pStyle w:val="Heading2"/>
      </w:pPr>
      <w:r>
        <w:t>1. Purpose</w:t>
      </w:r>
    </w:p>
    <w:p>
      <w:r>
        <w:t>Define responsibilities and production, assembly, in-process control, verification linkages, nonconforming product disposition and release controls needed to manufacture the wound drainage family consistently and safely.</w:t>
      </w:r>
    </w:p>
    <w:p>
      <w:pPr>
        <w:pStyle w:val="Heading2"/>
      </w:pPr>
      <w:r>
        <w:t>2. Scope</w:t>
      </w:r>
    </w:p>
    <w:p>
      <w:r>
        <w:t>Applies to incoming raw materials, moulded bellows/connector parts, extruded round/Redon/flat perforated tube, assembly of wound drainage sets, in-process monitoring, packaging, sterilization linkage and final release. Product variants, sizes, features and performance claims are SKU/drawing controlled. This WI does not mean each ISO qualification test shall be performed per lot.</w:t>
      </w:r>
    </w:p>
    <w:p>
      <w:pPr>
        <w:pStyle w:val="Heading2"/>
      </w:pPr>
      <w:r>
        <w:t>3. Definitions</w:t>
      </w:r>
    </w:p>
    <w:p>
      <w:r>
        <w:t>In-process control: production-stage checks performed at the approved control-plan intervals, distinct from incoming inspection, design/type/qualification testing, final inspection or sterilization release. Effective length: insertable catheter portion. Maximum negative pressure: approved manufacturer-defined worst-case pressure; OPEN TECHNICAL INPUT REQUIRED. Approved drawing/control plan: released, version-controlled product-specific requirement source.</w:t>
      </w:r>
    </w:p>
    <w:p>
      <w:pPr>
        <w:pStyle w:val="Heading2"/>
      </w:pPr>
      <w:r>
        <w:t>4. Responsibility</w:t>
      </w:r>
    </w:p>
    <w:p>
      <w:r>
        <w:t>Production Controller: issue authorised materials, production orders and traceable components. Maintenance: configure approved moulds/dies and settings. Operators: manufacture/assemble and capture process inputs/traceability. QC Controller: sample and check at approved timepoints; record actual observations and segregate failures. QC Supervisor: review records and unresolved deviations. QA/Engineering: approve design claims, specifications, risk and qualification plans. QCM/authorised management: review final release evidence per current approval matrix; no title in a draft replaces approved organisation authority.</w:t>
      </w:r>
    </w:p>
    <w:p>
      <w:pPr>
        <w:pStyle w:val="Heading2"/>
      </w:pPr>
      <w:r>
        <w:t>5. References and controlled documents</w:t>
      </w:r>
    </w:p>
    <w:p>
      <w:r>
        <w:t>ISO 20697:2018(E), corrected version 2018-09; ISO 10993-1 and ISO 80369-1 as invoked by ISO; approved technical drawings, TF-23-PS / TF-23-PDBM and process control plan (versions PENDING); receiving/OBM records; in-process F-823-i12 and F-823-i211; packaging F-823-i4-2; final F-8-2-4; sterilization WI-7-5-1-1. References other than supplied ISO, WI and two forms have not been evaluated or verified effective.</w:t>
      </w:r>
    </w:p>
    <w:p>
      <w:pPr>
        <w:pStyle w:val="Heading2"/>
      </w:pPr>
      <w:r>
        <w:t>6. Product definition and risk applicability</w:t>
      </w:r>
    </w:p>
    <w:p>
      <w:r>
        <w:t>Before manufacturing, retrieve approved product code, size, drawing, BOM, defined collection capacity (e.g. 200, 400 or 600 mL if specified), effective lengths, flat/round variants, trocar type and available retention/balloon/magnetic imaging/flow/suction features. Engineering/QA shall retain risk-management and biocompatibility file references. If feature or design value is not defined, stop and escalate: OPEN TECHNICAL INPUT REQUIRED. [GAP-002/003/020]</w:t>
      </w:r>
    </w:p>
    <w:p>
      <w:pPr>
        <w:pStyle w:val="Heading2"/>
      </w:pPr>
      <w:r>
        <w:t>7. Receiving raw materials and purchased components</w:t>
      </w:r>
    </w:p>
    <w:p>
      <w:r>
        <w:t>Check receipt against purchase order, authorised material grade, bags/cartons/labels and traceable supplier lot as described in source WI p.1 §§5.1-5.1.1 and pp.3-4 §7-8. Use the approved incoming sampling plan, not an invented AQL/sample size. Record on the actual controlled incoming record (source WI cites OBM and F-823-T1 / F-823-T18). Review trocar grade/size and visible damage/corrosion; separately link qualified corrosion evidence where relevant. Unapproved suppliers or unidentifiable lots shall be held. [GAP-003/010]</w:t>
      </w:r>
    </w:p>
    <w:p>
      <w:pPr>
        <w:pStyle w:val="Heading2"/>
      </w:pPr>
      <w:r>
        <w:t>8. Injection-moulded component manufacture</w:t>
      </w:r>
    </w:p>
    <w:p>
      <w:r>
        <w:t>Follow released order and parameter sheet; Maintenance sets authorised mould, operator runs. QC checks per approved sampling plan and existing WI p.2 §5.2 every two hours where that rule is still effective. Check bellows clarity, nominal capacity, cracks/holes, adapter/cap surface, slide-clamp movement, connector dimensions, mould defects and plastic bend flexibility against approved drawings. No undocumented or arbitrary limits. Record component lot, parameter sheet and measured results. [GAP-005/006/017/019]</w:t>
      </w:r>
    </w:p>
    <w:p>
      <w:pPr>
        <w:pStyle w:val="Heading2"/>
      </w:pPr>
      <w:r>
        <w:t>9. Extrusion and flat perforated tube manufacture</w:t>
      </w:r>
    </w:p>
    <w:p>
      <w:r>
        <w:t>Produce wound drainage, Redon, silicone multichannel/flat and round tubes to the specific released drawings. Verify ID/OD, maximum external axis for non-round profiles, tube length and perforation design. For flat perforated version, existing F-823-i211 indicates 1.0 mm hole ID / 51 holes, but apply ONLY where the approved drawing confirms these as controlled requirements; verify hole dimension tolerance before release. Inspect no black spots, fish eyes, visible foreign bodies, blocked perforations, burn marks, damage or unacceptable irregularities. Check continuous X-ray line where required by drawing/risk assessment. [GAP-004/005/006/009/019]</w:t>
      </w:r>
    </w:p>
    <w:p>
      <w:pPr>
        <w:pStyle w:val="Heading2"/>
      </w:pPr>
      <w:r>
        <w:t>10. Assembly of wound drainage set</w:t>
      </w:r>
    </w:p>
    <w:p>
      <w:r>
        <w:t>Production Controller issues correct released components; approved operators bond and assemble tube, bellows, adapters, trocar, clamp and hanging parts where applicable. Ensure compatibility, correct orientation and clear flow path. Visual and physical assembly checks ensure specified fit and bond-process parameters; qualitative no-pullout is not evidence of ISO Table 1/Table 2 tensile forces. Record process checks in F-823-i12 or F-823-i211, and use controlled acceptance criteria for bonding/cure. [GAP-007/012/013/019]</w:t>
      </w:r>
    </w:p>
    <w:p>
      <w:pPr>
        <w:pStyle w:val="Heading2"/>
      </w:pPr>
      <w:r>
        <w:t>11. In-process control schedule and recording</w:t>
      </w:r>
    </w:p>
    <w:p>
      <w:r>
        <w:t>Complete F-823-i12 at its approved hourly checkpoints (source grid shows 7,8,9,10,11,12,1,2,3,4,5,6), and F-823-i211 at its approved two-hourly checkpoints (source grid shows 7,9,11,1,3,5,7,9,11,1,3,5) or a superseding approved control plan. These are existing form layouts, not ISO frequencies. Document shift, time, lot, size, machine/work order, inspector, characteristics, actual quantitative results/defects and Pass/Fail/Pending. Record measuring equipment ID; supervisor reviews. Any failure requires containment and approved disposition. [GAP-019]</w:t>
      </w:r>
    </w:p>
    <w:p>
      <w:pPr>
        <w:pStyle w:val="Heading2"/>
      </w:pPr>
      <w:r>
        <w:t>12. Surface and dimensions acceptance</w:t>
      </w:r>
    </w:p>
    <w:p>
      <w:r>
        <w:t>Visually inspect effective-length external surface under normal/corrected vision; foreign matter or defects presenting unacceptable patient risk are not acceptable. Use magnification at least 2.5x when required by risk assessment or stricter approved corporate rule. OD designation follows ISO §5.5.2, including ISO +/-1 French tolerance unless an applicable documented exception; identify a non-round tube by its largest axis. Effective length unit per ISO §5.5.3; ISO does not specify effective-length tolerance. Use approved product drawing for other dimensions, including holes, with actual measurement and traceable instruments. [GAP-005/006]</w:t>
      </w:r>
    </w:p>
    <w:p>
      <w:pPr>
        <w:pStyle w:val="Heading2"/>
      </w:pPr>
      <w:r>
        <w:t>13. Technical verification / test controls</w:t>
      </w:r>
    </w:p>
    <w:p>
      <w:r>
        <w:t>The table below allocates relevant tests by qualification vs process. It does not replace ISO method details, nor create an unsupported per-lot laboratory requirement.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326"/>
            <w:shd w:fill="173A57"/>
            <w:tcMar>
              <w:top w:w="75" w:type="dxa"/>
              <w:start w:w="85" w:type="dxa"/>
              <w:bottom w:w="75" w:type="dxa"/>
              <w:end w:w="85" w:type="dxa"/>
            </w:tcMar>
          </w:tcPr>
          <w:p>
            <w:r>
              <w:rPr>
                <w:b/>
                <w:color w:val="FFFFFF"/>
                <w:sz w:val="15"/>
              </w:rPr>
              <w:t>Requirement</w:t>
            </w:r>
          </w:p>
        </w:tc>
        <w:tc>
          <w:tcPr>
            <w:tcW w:type="dxa" w:w="3326"/>
            <w:shd w:fill="173A57"/>
            <w:tcMar>
              <w:top w:w="75" w:type="dxa"/>
              <w:start w:w="85" w:type="dxa"/>
              <w:bottom w:w="75" w:type="dxa"/>
              <w:end w:w="85" w:type="dxa"/>
            </w:tcMar>
          </w:tcPr>
          <w:p>
            <w:r>
              <w:rPr>
                <w:b/>
                <w:color w:val="FFFFFF"/>
                <w:sz w:val="15"/>
              </w:rPr>
              <w:t>Acceptance / method</w:t>
            </w:r>
          </w:p>
        </w:tc>
        <w:tc>
          <w:tcPr>
            <w:tcW w:type="dxa" w:w="3326"/>
            <w:shd w:fill="173A57"/>
            <w:tcMar>
              <w:top w:w="75" w:type="dxa"/>
              <w:start w:w="85" w:type="dxa"/>
              <w:bottom w:w="75" w:type="dxa"/>
              <w:end w:w="85" w:type="dxa"/>
            </w:tcMar>
          </w:tcPr>
          <w:p>
            <w:r>
              <w:rPr>
                <w:b/>
                <w:color w:val="FFFFFF"/>
                <w:sz w:val="15"/>
              </w:rPr>
              <w:t>Route</w:t>
            </w:r>
          </w:p>
        </w:tc>
      </w:tr>
      <w:tr>
        <w:tc>
          <w:tcPr>
            <w:tcW w:type="dxa" w:w="3326"/>
            <w:vAlign w:val="top"/>
            <w:tcMar>
              <w:top w:w="75" w:type="dxa"/>
              <w:start w:w="85" w:type="dxa"/>
              <w:bottom w:w="75" w:type="dxa"/>
              <w:end w:w="85" w:type="dxa"/>
            </w:tcMar>
            <w:shd w:fill="F1F5F8"/>
          </w:tcPr>
          <w:p>
            <w:pPr>
              <w:spacing w:after="20" w:line="247" w:lineRule="auto"/>
            </w:pPr>
            <w:r>
              <w:rPr>
                <w:sz w:val="14"/>
              </w:rPr>
              <w:t>Corrosion §6.2/B</w:t>
            </w:r>
          </w:p>
        </w:tc>
        <w:tc>
          <w:tcPr>
            <w:tcW w:type="dxa" w:w="3326"/>
            <w:vAlign w:val="top"/>
            <w:tcMar>
              <w:top w:w="75" w:type="dxa"/>
              <w:start w:w="85" w:type="dxa"/>
              <w:bottom w:w="75" w:type="dxa"/>
              <w:end w:w="85" w:type="dxa"/>
            </w:tcMar>
            <w:shd w:fill="F1F5F8"/>
          </w:tcPr>
          <w:p>
            <w:pPr>
              <w:spacing w:after="20" w:line="247" w:lineRule="auto"/>
            </w:pPr>
            <w:r>
              <w:rPr>
                <w:sz w:val="14"/>
              </w:rPr>
              <w:t>Only if exposed metallic risk applies. Test to Annex B; no functionally relevant visible corrosion after saline/thermal exposure.</w:t>
            </w:r>
          </w:p>
        </w:tc>
        <w:tc>
          <w:tcPr>
            <w:tcW w:type="dxa" w:w="3326"/>
            <w:vAlign w:val="top"/>
            <w:tcMar>
              <w:top w:w="75" w:type="dxa"/>
              <w:start w:w="85" w:type="dxa"/>
              <w:bottom w:w="75" w:type="dxa"/>
              <w:end w:w="85" w:type="dxa"/>
            </w:tcMar>
            <w:shd w:fill="F1F5F8"/>
          </w:tcPr>
          <w:p>
            <w:pPr>
              <w:spacing w:after="20" w:line="247" w:lineRule="auto"/>
            </w:pPr>
            <w:r>
              <w:rPr>
                <w:sz w:val="14"/>
              </w:rPr>
              <w:t>Incoming visual + qualification record</w:t>
            </w:r>
          </w:p>
        </w:tc>
      </w:tr>
      <w:tr>
        <w:tc>
          <w:tcPr>
            <w:tcW w:type="dxa" w:w="3326"/>
            <w:vAlign w:val="top"/>
            <w:tcMar>
              <w:top w:w="75" w:type="dxa"/>
              <w:start w:w="85" w:type="dxa"/>
              <w:bottom w:w="75" w:type="dxa"/>
              <w:end w:w="85" w:type="dxa"/>
            </w:tcMar>
          </w:tcPr>
          <w:p>
            <w:pPr>
              <w:spacing w:after="20" w:line="247" w:lineRule="auto"/>
            </w:pPr>
            <w:r>
              <w:rPr>
                <w:sz w:val="14"/>
              </w:rPr>
              <w:t>Vacuum deformation §6.3/C</w:t>
            </w:r>
          </w:p>
        </w:tc>
        <w:tc>
          <w:tcPr>
            <w:tcW w:type="dxa" w:w="3326"/>
            <w:vAlign w:val="top"/>
            <w:tcMar>
              <w:top w:w="75" w:type="dxa"/>
              <w:start w:w="85" w:type="dxa"/>
              <w:bottom w:w="75" w:type="dxa"/>
              <w:end w:w="85" w:type="dxa"/>
            </w:tcMar>
          </w:tcPr>
          <w:p>
            <w:pPr>
              <w:spacing w:after="20" w:line="247" w:lineRule="auto"/>
            </w:pPr>
            <w:r>
              <w:rPr>
                <w:sz w:val="14"/>
              </w:rPr>
              <w:t>No function-impairing collapse at manufacturer-defined max negative pressure after conditioning; &gt;=60 s exposure per Annex C.</w:t>
            </w:r>
          </w:p>
        </w:tc>
        <w:tc>
          <w:tcPr>
            <w:tcW w:type="dxa" w:w="3326"/>
            <w:vAlign w:val="top"/>
            <w:tcMar>
              <w:top w:w="75" w:type="dxa"/>
              <w:start w:w="85" w:type="dxa"/>
              <w:bottom w:w="75" w:type="dxa"/>
              <w:end w:w="85" w:type="dxa"/>
            </w:tcMar>
          </w:tcPr>
          <w:p>
            <w:pPr>
              <w:spacing w:after="20" w:line="247" w:lineRule="auto"/>
            </w:pPr>
            <w:r>
              <w:rPr>
                <w:sz w:val="14"/>
              </w:rPr>
              <w:t>Qualification / approved periodic</w:t>
            </w:r>
          </w:p>
        </w:tc>
      </w:tr>
      <w:tr>
        <w:tc>
          <w:tcPr>
            <w:tcW w:type="dxa" w:w="3326"/>
            <w:vAlign w:val="top"/>
            <w:tcMar>
              <w:top w:w="75" w:type="dxa"/>
              <w:start w:w="85" w:type="dxa"/>
              <w:bottom w:w="75" w:type="dxa"/>
              <w:end w:w="85" w:type="dxa"/>
            </w:tcMar>
            <w:shd w:fill="F1F5F8"/>
          </w:tcPr>
          <w:p>
            <w:pPr>
              <w:spacing w:after="20" w:line="247" w:lineRule="auto"/>
            </w:pPr>
            <w:r>
              <w:rPr>
                <w:sz w:val="14"/>
              </w:rPr>
              <w:t>External tensile §6.4.1/D</w:t>
            </w:r>
          </w:p>
        </w:tc>
        <w:tc>
          <w:tcPr>
            <w:tcW w:type="dxa" w:w="3326"/>
            <w:vAlign w:val="top"/>
            <w:tcMar>
              <w:top w:w="75" w:type="dxa"/>
              <w:start w:w="85" w:type="dxa"/>
              <w:bottom w:w="75" w:type="dxa"/>
              <w:end w:w="85" w:type="dxa"/>
            </w:tcMar>
            <w:shd w:fill="F1F5F8"/>
          </w:tcPr>
          <w:p>
            <w:pPr>
              <w:spacing w:after="20" w:line="247" w:lineRule="auto"/>
            </w:pPr>
            <w:r>
              <w:rPr>
                <w:sz w:val="14"/>
              </w:rPr>
              <w:t>5 N for smallest external tube OD 2-4 mm; 15 N for &gt;4 mm; &lt;2 mm manufacturer risk limit. 500 mm/min.</w:t>
            </w:r>
          </w:p>
        </w:tc>
        <w:tc>
          <w:tcPr>
            <w:tcW w:type="dxa" w:w="3326"/>
            <w:vAlign w:val="top"/>
            <w:tcMar>
              <w:top w:w="75" w:type="dxa"/>
              <w:start w:w="85" w:type="dxa"/>
              <w:bottom w:w="75" w:type="dxa"/>
              <w:end w:w="85" w:type="dxa"/>
            </w:tcMar>
            <w:shd w:fill="F1F5F8"/>
          </w:tcPr>
          <w:p>
            <w:pPr>
              <w:spacing w:after="20" w:line="247" w:lineRule="auto"/>
            </w:pPr>
            <w:r>
              <w:rPr>
                <w:sz w:val="14"/>
              </w:rPr>
              <w:t>Qualification / approved periodic</w:t>
            </w:r>
          </w:p>
        </w:tc>
      </w:tr>
      <w:tr>
        <w:tc>
          <w:tcPr>
            <w:tcW w:type="dxa" w:w="3326"/>
            <w:vAlign w:val="top"/>
            <w:tcMar>
              <w:top w:w="75" w:type="dxa"/>
              <w:start w:w="85" w:type="dxa"/>
              <w:bottom w:w="75" w:type="dxa"/>
              <w:end w:w="85" w:type="dxa"/>
            </w:tcMar>
          </w:tcPr>
          <w:p>
            <w:pPr>
              <w:spacing w:after="20" w:line="247" w:lineRule="auto"/>
            </w:pPr>
            <w:r>
              <w:rPr>
                <w:sz w:val="14"/>
              </w:rPr>
              <w:t>Tube/junction tensile §6.4.2/E</w:t>
            </w:r>
          </w:p>
        </w:tc>
        <w:tc>
          <w:tcPr>
            <w:tcW w:type="dxa" w:w="3326"/>
            <w:vAlign w:val="top"/>
            <w:tcMar>
              <w:top w:w="75" w:type="dxa"/>
              <w:start w:w="85" w:type="dxa"/>
              <w:bottom w:w="75" w:type="dxa"/>
              <w:end w:w="85" w:type="dxa"/>
            </w:tcMar>
          </w:tcPr>
          <w:p>
            <w:pPr>
              <w:spacing w:after="20" w:line="247" w:lineRule="auto"/>
            </w:pPr>
            <w:r>
              <w:rPr>
                <w:sz w:val="14"/>
              </w:rPr>
              <w:t>10 N for min OD 2-4 mm; 20 N &gt;4 mm; &lt;2 mm manufacturer risk limit. Annex E conditioned test and gauge-length strain rate.</w:t>
            </w:r>
          </w:p>
        </w:tc>
        <w:tc>
          <w:tcPr>
            <w:tcW w:type="dxa" w:w="3326"/>
            <w:vAlign w:val="top"/>
            <w:tcMar>
              <w:top w:w="75" w:type="dxa"/>
              <w:start w:w="85" w:type="dxa"/>
              <w:bottom w:w="75" w:type="dxa"/>
              <w:end w:w="85" w:type="dxa"/>
            </w:tcMar>
          </w:tcPr>
          <w:p>
            <w:pPr>
              <w:spacing w:after="20" w:line="247" w:lineRule="auto"/>
            </w:pPr>
            <w:r>
              <w:rPr>
                <w:sz w:val="14"/>
              </w:rPr>
              <w:t>Qualification / approved periodic</w:t>
            </w:r>
          </w:p>
        </w:tc>
      </w:tr>
      <w:tr>
        <w:tc>
          <w:tcPr>
            <w:tcW w:type="dxa" w:w="3326"/>
            <w:vAlign w:val="top"/>
            <w:tcMar>
              <w:top w:w="75" w:type="dxa"/>
              <w:start w:w="85" w:type="dxa"/>
              <w:bottom w:w="75" w:type="dxa"/>
              <w:end w:w="85" w:type="dxa"/>
            </w:tcMar>
            <w:shd w:fill="F1F5F8"/>
          </w:tcPr>
          <w:p>
            <w:pPr>
              <w:spacing w:after="20" w:line="247" w:lineRule="auto"/>
            </w:pPr>
            <w:r>
              <w:rPr>
                <w:sz w:val="14"/>
              </w:rPr>
              <w:t>Impact §6.5/F</w:t>
            </w:r>
          </w:p>
        </w:tc>
        <w:tc>
          <w:tcPr>
            <w:tcW w:type="dxa" w:w="3326"/>
            <w:vAlign w:val="top"/>
            <w:tcMar>
              <w:top w:w="75" w:type="dxa"/>
              <w:start w:w="85" w:type="dxa"/>
              <w:bottom w:w="75" w:type="dxa"/>
              <w:end w:w="85" w:type="dxa"/>
            </w:tcMar>
            <w:shd w:fill="F1F5F8"/>
          </w:tcPr>
          <w:p>
            <w:pPr>
              <w:spacing w:after="20" w:line="247" w:lineRule="auto"/>
            </w:pPr>
            <w:r>
              <w:rPr>
                <w:sz w:val="14"/>
              </w:rPr>
              <w:t>700 mm drop: collection device no leakage; suction device maximum vacuum loss 2%.</w:t>
            </w:r>
          </w:p>
        </w:tc>
        <w:tc>
          <w:tcPr>
            <w:tcW w:type="dxa" w:w="3326"/>
            <w:vAlign w:val="top"/>
            <w:tcMar>
              <w:top w:w="75" w:type="dxa"/>
              <w:start w:w="85" w:type="dxa"/>
              <w:bottom w:w="75" w:type="dxa"/>
              <w:end w:w="85" w:type="dxa"/>
            </w:tcMar>
            <w:shd w:fill="F1F5F8"/>
          </w:tcPr>
          <w:p>
            <w:pPr>
              <w:spacing w:after="20" w:line="247" w:lineRule="auto"/>
            </w:pPr>
            <w:r>
              <w:rPr>
                <w:sz w:val="14"/>
              </w:rPr>
              <w:t>Qualification / change / periodic</w:t>
            </w:r>
          </w:p>
        </w:tc>
      </w:tr>
      <w:tr>
        <w:tc>
          <w:tcPr>
            <w:tcW w:type="dxa" w:w="3326"/>
            <w:vAlign w:val="top"/>
            <w:tcMar>
              <w:top w:w="75" w:type="dxa"/>
              <w:start w:w="85" w:type="dxa"/>
              <w:bottom w:w="75" w:type="dxa"/>
              <w:end w:w="85" w:type="dxa"/>
            </w:tcMar>
          </w:tcPr>
          <w:p>
            <w:pPr>
              <w:spacing w:after="20" w:line="247" w:lineRule="auto"/>
            </w:pPr>
            <w:r>
              <w:rPr>
                <w:sz w:val="14"/>
              </w:rPr>
              <w:t>Flow claim §6.6/G</w:t>
            </w:r>
          </w:p>
        </w:tc>
        <w:tc>
          <w:tcPr>
            <w:tcW w:type="dxa" w:w="3326"/>
            <w:vAlign w:val="top"/>
            <w:tcMar>
              <w:top w:w="75" w:type="dxa"/>
              <w:start w:w="85" w:type="dxa"/>
              <w:bottom w:w="75" w:type="dxa"/>
              <w:end w:w="85" w:type="dxa"/>
            </w:tcMar>
          </w:tcPr>
          <w:p>
            <w:pPr>
              <w:spacing w:after="20" w:line="247" w:lineRule="auto"/>
            </w:pPr>
            <w:r>
              <w:rPr>
                <w:sz w:val="14"/>
              </w:rPr>
              <w:t>If a flow claim exists: mean &gt;=80% claim OD &lt;1mm; &gt;=90% OD &gt;=1mm; three tests, each lumen.</w:t>
            </w:r>
          </w:p>
        </w:tc>
        <w:tc>
          <w:tcPr>
            <w:tcW w:type="dxa" w:w="3326"/>
            <w:vAlign w:val="top"/>
            <w:tcMar>
              <w:top w:w="75" w:type="dxa"/>
              <w:start w:w="85" w:type="dxa"/>
              <w:bottom w:w="75" w:type="dxa"/>
              <w:end w:w="85" w:type="dxa"/>
            </w:tcMar>
          </w:tcPr>
          <w:p>
            <w:pPr>
              <w:spacing w:after="20" w:line="247" w:lineRule="auto"/>
            </w:pPr>
            <w:r>
              <w:rPr>
                <w:sz w:val="14"/>
              </w:rPr>
              <w:t>Conditional qualification</w:t>
            </w:r>
          </w:p>
        </w:tc>
      </w:tr>
      <w:tr>
        <w:tc>
          <w:tcPr>
            <w:tcW w:type="dxa" w:w="3326"/>
            <w:vAlign w:val="top"/>
            <w:tcMar>
              <w:top w:w="75" w:type="dxa"/>
              <w:start w:w="85" w:type="dxa"/>
              <w:bottom w:w="75" w:type="dxa"/>
              <w:end w:w="85" w:type="dxa"/>
            </w:tcMar>
            <w:shd w:fill="F1F5F8"/>
          </w:tcPr>
          <w:p>
            <w:pPr>
              <w:spacing w:after="20" w:line="247" w:lineRule="auto"/>
            </w:pPr>
            <w:r>
              <w:rPr>
                <w:sz w:val="14"/>
              </w:rPr>
              <w:t>Vacuum leakage §6.11/M</w:t>
            </w:r>
          </w:p>
        </w:tc>
        <w:tc>
          <w:tcPr>
            <w:tcW w:type="dxa" w:w="3326"/>
            <w:vAlign w:val="top"/>
            <w:tcMar>
              <w:top w:w="75" w:type="dxa"/>
              <w:start w:w="85" w:type="dxa"/>
              <w:bottom w:w="75" w:type="dxa"/>
              <w:end w:w="85" w:type="dxa"/>
            </w:tcMar>
            <w:shd w:fill="F1F5F8"/>
          </w:tcPr>
          <w:p>
            <w:pPr>
              <w:spacing w:after="20" w:line="247" w:lineRule="auto"/>
            </w:pPr>
            <w:r>
              <w:rPr>
                <w:sz w:val="14"/>
              </w:rPr>
              <w:t>At manufacturer maximum negative pressure, no air ingress; Annex M 120 s stabilise +120 s observe.</w:t>
            </w:r>
          </w:p>
        </w:tc>
        <w:tc>
          <w:tcPr>
            <w:tcW w:type="dxa" w:w="3326"/>
            <w:vAlign w:val="top"/>
            <w:tcMar>
              <w:top w:w="75" w:type="dxa"/>
              <w:start w:w="85" w:type="dxa"/>
              <w:bottom w:w="75" w:type="dxa"/>
              <w:end w:w="85" w:type="dxa"/>
            </w:tcMar>
            <w:shd w:fill="F1F5F8"/>
          </w:tcPr>
          <w:p>
            <w:pPr>
              <w:spacing w:after="20" w:line="247" w:lineRule="auto"/>
            </w:pPr>
            <w:r>
              <w:rPr>
                <w:sz w:val="14"/>
              </w:rPr>
              <w:t>Qualification / validated IPC surrogate</w:t>
            </w:r>
          </w:p>
        </w:tc>
      </w:tr>
      <w:tr>
        <w:tc>
          <w:tcPr>
            <w:tcW w:type="dxa" w:w="3326"/>
            <w:vAlign w:val="top"/>
            <w:tcMar>
              <w:top w:w="75" w:type="dxa"/>
              <w:start w:w="85" w:type="dxa"/>
              <w:bottom w:w="75" w:type="dxa"/>
              <w:end w:w="85" w:type="dxa"/>
            </w:tcMar>
          </w:tcPr>
          <w:p>
            <w:pPr>
              <w:spacing w:after="20" w:line="247" w:lineRule="auto"/>
            </w:pPr>
            <w:r>
              <w:rPr>
                <w:sz w:val="14"/>
              </w:rPr>
              <w:t>Kink §6.1/A</w:t>
            </w:r>
          </w:p>
        </w:tc>
        <w:tc>
          <w:tcPr>
            <w:tcW w:type="dxa" w:w="3326"/>
            <w:vAlign w:val="top"/>
            <w:tcMar>
              <w:top w:w="75" w:type="dxa"/>
              <w:start w:w="85" w:type="dxa"/>
              <w:bottom w:w="75" w:type="dxa"/>
              <w:end w:w="85" w:type="dxa"/>
            </w:tcMar>
          </w:tcPr>
          <w:p>
            <w:pPr>
              <w:spacing w:after="20" w:line="247" w:lineRule="auto"/>
            </w:pPr>
            <w:r>
              <w:rPr>
                <w:sz w:val="14"/>
              </w:rPr>
              <w:t>Clinically justified limit defined by approved risk assessment; Annex A informative.</w:t>
            </w:r>
          </w:p>
        </w:tc>
        <w:tc>
          <w:tcPr>
            <w:tcW w:type="dxa" w:w="3326"/>
            <w:vAlign w:val="top"/>
            <w:tcMar>
              <w:top w:w="75" w:type="dxa"/>
              <w:start w:w="85" w:type="dxa"/>
              <w:bottom w:w="75" w:type="dxa"/>
              <w:end w:w="85" w:type="dxa"/>
            </w:tcMar>
          </w:tcPr>
          <w:p>
            <w:pPr>
              <w:spacing w:after="20" w:line="247" w:lineRule="auto"/>
            </w:pPr>
            <w:r>
              <w:rPr>
                <w:sz w:val="14"/>
              </w:rPr>
              <w:t>Conditional qualification</w:t>
            </w:r>
          </w:p>
        </w:tc>
      </w:tr>
      <w:tr>
        <w:tc>
          <w:tcPr>
            <w:tcW w:type="dxa" w:w="3326"/>
            <w:vAlign w:val="top"/>
            <w:tcMar>
              <w:top w:w="75" w:type="dxa"/>
              <w:start w:w="85" w:type="dxa"/>
              <w:bottom w:w="75" w:type="dxa"/>
              <w:end w:w="85" w:type="dxa"/>
            </w:tcMar>
            <w:shd w:fill="F1F5F8"/>
          </w:tcPr>
          <w:p>
            <w:pPr>
              <w:spacing w:after="20" w:line="247" w:lineRule="auto"/>
            </w:pPr>
            <w:r>
              <w:rPr>
                <w:sz w:val="14"/>
              </w:rPr>
              <w:t>Detectability §5.3</w:t>
            </w:r>
          </w:p>
        </w:tc>
        <w:tc>
          <w:tcPr>
            <w:tcW w:type="dxa" w:w="3326"/>
            <w:vAlign w:val="top"/>
            <w:tcMar>
              <w:top w:w="75" w:type="dxa"/>
              <w:start w:w="85" w:type="dxa"/>
              <w:bottom w:w="75" w:type="dxa"/>
              <w:end w:w="85" w:type="dxa"/>
            </w:tcMar>
            <w:shd w:fill="F1F5F8"/>
          </w:tcPr>
          <w:p>
            <w:pPr>
              <w:spacing w:after="20" w:line="247" w:lineRule="auto"/>
            </w:pPr>
            <w:r>
              <w:rPr>
                <w:sz w:val="14"/>
              </w:rPr>
              <w:t>Only if risk assessment requires; approved performance evidence and in-process marker check.</w:t>
            </w:r>
          </w:p>
        </w:tc>
        <w:tc>
          <w:tcPr>
            <w:tcW w:type="dxa" w:w="3326"/>
            <w:vAlign w:val="top"/>
            <w:tcMar>
              <w:top w:w="75" w:type="dxa"/>
              <w:start w:w="85" w:type="dxa"/>
              <w:bottom w:w="75" w:type="dxa"/>
              <w:end w:w="85" w:type="dxa"/>
            </w:tcMar>
            <w:shd w:fill="F1F5F8"/>
          </w:tcPr>
          <w:p>
            <w:pPr>
              <w:spacing w:after="20" w:line="247" w:lineRule="auto"/>
            </w:pPr>
            <w:r>
              <w:rPr>
                <w:sz w:val="14"/>
              </w:rPr>
              <w:t>Qualification / in-process</w:t>
            </w:r>
          </w:p>
        </w:tc>
      </w:tr>
      <w:tr>
        <w:tc>
          <w:tcPr>
            <w:tcW w:type="dxa" w:w="3326"/>
            <w:vAlign w:val="top"/>
            <w:tcMar>
              <w:top w:w="75" w:type="dxa"/>
              <w:start w:w="85" w:type="dxa"/>
              <w:bottom w:w="75" w:type="dxa"/>
              <w:end w:w="85" w:type="dxa"/>
            </w:tcMar>
          </w:tcPr>
          <w:p>
            <w:pPr>
              <w:spacing w:after="20" w:line="247" w:lineRule="auto"/>
            </w:pPr>
            <w:r>
              <w:rPr>
                <w:sz w:val="14"/>
              </w:rPr>
              <w:t>Biocompatibility §5.2 / sterilization §5.8</w:t>
            </w:r>
          </w:p>
        </w:tc>
        <w:tc>
          <w:tcPr>
            <w:tcW w:type="dxa" w:w="3326"/>
            <w:vAlign w:val="top"/>
            <w:tcMar>
              <w:top w:w="75" w:type="dxa"/>
              <w:start w:w="85" w:type="dxa"/>
              <w:bottom w:w="75" w:type="dxa"/>
              <w:end w:w="85" w:type="dxa"/>
            </w:tcMar>
          </w:tcPr>
          <w:p>
            <w:pPr>
              <w:spacing w:after="20" w:line="247" w:lineRule="auto"/>
            </w:pPr>
            <w:r>
              <w:rPr>
                <w:sz w:val="14"/>
              </w:rPr>
              <w:t>Approved biological evaluation, validated sterile release supporting SAL 10^-6.</w:t>
            </w:r>
          </w:p>
        </w:tc>
        <w:tc>
          <w:tcPr>
            <w:tcW w:type="dxa" w:w="3326"/>
            <w:vAlign w:val="top"/>
            <w:tcMar>
              <w:top w:w="75" w:type="dxa"/>
              <w:start w:w="85" w:type="dxa"/>
              <w:bottom w:w="75" w:type="dxa"/>
              <w:end w:w="85" w:type="dxa"/>
            </w:tcMar>
          </w:tcPr>
          <w:p>
            <w:pPr>
              <w:spacing w:after="20" w:line="247" w:lineRule="auto"/>
            </w:pPr>
            <w:r>
              <w:rPr>
                <w:sz w:val="14"/>
              </w:rPr>
              <w:t>Design / batch release</w:t>
            </w:r>
          </w:p>
        </w:tc>
      </w:tr>
    </w:tbl>
    <w:p>
      <w:pPr>
        <w:pStyle w:val="Heading3"/>
      </w:pPr>
      <w:r>
        <w:t>13.1 Corrosion, Annex B - conditional metal configuration</w:t>
      </w:r>
    </w:p>
    <w:p>
      <w:r>
        <w:t>Engineering/QA shall confirm §6.2 applies to exposed metallic components whose corrosion could affect function. For applicable qualification: use 0.15 mol/L NaCl (22 +/- 5) °C for 5 h, transfer to boiling purified water 30 min, then maintain at (37 +/- 2) °C for 48 h; dry and visually check as described in Annex B. Record test identity and any corrosion. The no-corrosion disposition must match the product risk plan. Visual incoming trocar rust checks remain separate. [GAP-010]</w:t>
      </w:r>
    </w:p>
    <w:p>
      <w:pPr>
        <w:pStyle w:val="Heading3"/>
      </w:pPr>
      <w:r>
        <w:t>13.2 Suction deformation, Annex C</w:t>
      </w:r>
    </w:p>
    <w:p>
      <w:r>
        <w:t>Test the assembled ready-for-use device. Condition body-insertion components at 100% RH/in water (37 +/- 2) °C for at least 15 min; others at &gt;=40% RH, (22 +/- 2) °C for at least 15 min. Apply the approved maximum negative pressure immediately after conditioning for at least 60 s. Observe under pressure for any collapse capable of impairing device performance. Log SKU, pressure and units, apparatus/calibration, duration and assessment. Manufacturer maximum pressure and verification frequency are OPEN TECHNICAL INPUT REQUIRED. [GAP-011]</w:t>
      </w:r>
    </w:p>
    <w:p>
      <w:pPr>
        <w:pStyle w:val="Heading3"/>
      </w:pPr>
      <w:r>
        <w:t>13.3 External connection tensile, Annex D</w:t>
      </w:r>
    </w:p>
    <w:p>
      <w:r>
        <w:t>Identify each external connection recommended by the manufacturer and determine the smallest OD of its two tubular elements. Assemble as instructed and test at 500 mm/min with fixtures preventing connector deformation. Accept no separation at the ISO Table 1 load: &gt;=5 N for 2-4 mm or &gt;=15 N for &gt;4 mm. For OD &lt;2 mm use separately approved risk-based criterion. Record connection/OD, applied peak load, machine ID and observed separation. Qualify separately from routine assembly no-pullout checks. [GAP-012]</w:t>
      </w:r>
    </w:p>
    <w:p>
      <w:pPr>
        <w:pStyle w:val="Heading3"/>
      </w:pPr>
      <w:r>
        <w:t>13.4 Tube portions and junction tensile, Annex E</w:t>
      </w:r>
    </w:p>
    <w:p>
      <w:r>
        <w:t>Identify each relevant tube portion and tube-to-component or tube-to-tube junction. Condition body-insertion parts at 100% RH/in water (37 +/- 2) °C and others at &gt;=40% RH, (22 +/- 5) °C for &gt;=2 h. Measure jaw gauge length and use 20 mm/min per mm gauge length strain rate. Record smallest OD, applied N, failure location, specimen ID and pass/fail against Table 2: 10 N for OD 2-4 mm, 20 N for &gt;4 mm; &lt;2 mm company criterion pending. Do not reuse specimen for another tensile test. [GAP-013]</w:t>
      </w:r>
    </w:p>
    <w:p>
      <w:pPr>
        <w:pStyle w:val="Heading3"/>
      </w:pPr>
      <w:r>
        <w:t>13.5 Collection impact resistance, Annex F</w:t>
      </w:r>
    </w:p>
    <w:p>
      <w:r>
        <w:t>Use assembled collection device filled to effective capacity, occlude inlet as applicable, and drop from 700 mm onto the defined rigid level surface at (22 +/- 5) °C. No fluid leakage is acceptable. If also a suction source, achieve maximum negative pressure before drop and record initial and at-least-60-s-after-impact pressures; vacuum loss must be &lt;=2%. Use the Annex F apparatus requirements and log identity and result. [GAP-014]</w:t>
      </w:r>
    </w:p>
    <w:p>
      <w:pPr>
        <w:pStyle w:val="Heading3"/>
      </w:pPr>
      <w:r>
        <w:t>13.6 Claimed drainage flow, Annex G - conditional claim</w:t>
      </w:r>
    </w:p>
    <w:p>
      <w:r>
        <w:t>If the manufacturer declares a flow-rate claim, test each specified lumen with clinically relevant medium using Annex G: water/medium at (22 +/- 5) °C, hydrostatic head (1000 +/- 5) mm, collect discharge for &gt;=30 s, and make three determinations. Calculate average mL/min; required average &gt;=80% of claimed value for OD &lt;1.0 mm or &gt;=90% for OD &gt;=1.0 mm. Record claim source, 3 readings and average. Without an approved claim, applicability remains OPEN and must not be represented as a failed test. [GAP-015]</w:t>
      </w:r>
    </w:p>
    <w:p>
      <w:pPr>
        <w:pStyle w:val="Heading3"/>
      </w:pPr>
      <w:r>
        <w:t>13.7 Air leakage under aspiration/vacuum, Annex M</w:t>
      </w:r>
    </w:p>
    <w:p>
      <w:r>
        <w:t>Use the ready-for-use assembly, pressure system with gauge and de-aerated purified water at (22 +/- 5) °C. Fill/expel trapped air and occlude as defined in Annex M. Apply approved maximum negative pressure, stabilize 120 s, then maintain and observe for further 120 s for bubble formation. Acceptance: no air ingress; record actual pressure and leak location if any. A manually squeezed bellows observation cannot replace this test unless a separately validated equivalence is approved. [GAP-016]</w:t>
      </w:r>
    </w:p>
    <w:p>
      <w:pPr>
        <w:pStyle w:val="Heading3"/>
      </w:pPr>
      <w:r>
        <w:t>13.8 Optional features: balloon, retention, MRI and detectability</w:t>
      </w:r>
    </w:p>
    <w:p>
      <w:r>
        <w:t>Assess each intended SKU and drawing. If non-balloon retention is present, identify §6.7 risk-defined strength and Annex H informative route; if balloon fitted, determine appropriate §§6.8-6.10 and Annex I/J/K/L tests. Establish §5.7 MRI risk only when applicable and §5.3 detectability if required by risk assessment. Never enter N/A or a numerical company threshold without signed applicability/design rationale. [GAP-004/020]</w:t>
      </w:r>
    </w:p>
    <w:p>
      <w:pPr>
        <w:pStyle w:val="Heading2"/>
      </w:pPr>
      <w:r>
        <w:t>14. Bellows leak-check and capacity at process stage</w:t>
      </w:r>
    </w:p>
    <w:p>
      <w:r>
        <w:t>For each applicable bellows, carry out the controlled routine leak-check procedure, with its specified method/acceptance criteria, not simply "manual" without instruction. Record actual finding and hold nonconforming product. Separately link full ready-to-use assembly Annex M qualification and Annex C negative-pressure collapse evidence. Capacity check by water shall record applicable SKU nominal mL (source examples: 200/400/600 mL), actual measured mL and tolerance from approved specification; OPEN TECHNICAL INPUT REQUIRED until tolerance/test procedure is approved. [GAP-011/016/017]</w:t>
      </w:r>
    </w:p>
    <w:p>
      <w:pPr>
        <w:pStyle w:val="Heading2"/>
      </w:pPr>
      <w:r>
        <w:t>15. Packaging and labelling</w:t>
      </w:r>
    </w:p>
    <w:p>
      <w:r>
        <w:t>Before transfer to packaging, QC and Production verify appropriate status. Apply approved pack type, seal requirements and artwork/IFU per current issue. Verify correct code, description, lot, expiry, sterility and single-use information and applicable effective capacity, maximum negative pressure, detection/precautions and other relevant ISO §7 requirements. Existing source WI p.6 §11 mentions blister/pouch and packaging process checks; approved packaging form F-823-i4-2 must be reviewed separately. [GAP-018]</w:t>
      </w:r>
    </w:p>
    <w:p>
      <w:pPr>
        <w:pStyle w:val="Heading2"/>
      </w:pPr>
      <w:r>
        <w:t>16. Sterilization and final release</w:t>
      </w:r>
    </w:p>
    <w:p>
      <w:r>
        <w:t>Product is described as delivered sterile. Route finished lots through current approved sterilization instruction WI-7-5-1-1. Authorised personnel must verify validated cycle/load and SAL 10^-6 evidence, completed QC/QA product records, packaging integrity and agreed final-reconciliation checks. Source WI p.6 §13 delegates approved release signatures; follow currently effective authority matrix. Missing validation, batch evidence, overdue qualification or deviations require HOLD. The two in-process forms do not constitute final release. [GAP-008/018]</w:t>
      </w:r>
    </w:p>
    <w:p>
      <w:pPr>
        <w:pStyle w:val="Heading2"/>
      </w:pPr>
      <w:r>
        <w:t>17. Nonconforming product and escalation</w:t>
      </w:r>
    </w:p>
    <w:p>
      <w:r>
        <w:t>If required result is Fail, Pending, missing technical input or uncertain applicability, identify affected lots/materials, physically and systemically segregate per effective company control, open controlled deviation/NCR, disposition by authorised function and document re-inspection or rework verification. Never treat untested product as passed. [GAP-019]</w:t>
      </w:r>
    </w:p>
    <w:p>
      <w:pPr>
        <w:pStyle w:val="Heading2"/>
      </w:pPr>
      <w:r>
        <w:t>18. Records and retention</w:t>
      </w:r>
    </w:p>
    <w:p>
      <w:r>
        <w:t>Retain lot traceability, approved drawing/BOM revision, issue logs, actual in-process check data, calibrated instrument IDs, checked/reviewed signatures, drawing-specific measurements, defect/NCR records, qualification summaries, supplier test records, sterilization/release evidence and approved artwork. Durations per currently approved retention policy (not supplied). [GAP-001/019]</w:t>
      </w:r>
    </w:p>
    <w:p>
      <w:pPr>
        <w:pStyle w:val="Heading2"/>
      </w:pPr>
      <w:r>
        <w:t>19. Document control and change history</w:t>
      </w:r>
    </w:p>
    <w:p>
      <w:r>
        <w:t>This is a proposed controlled draft; baseline source Rev.4 remains unchanged. Document Control must reconcile WI-8-2-2-23 with F-823-i12 reference to WI-8-2-2-23-1 and F-823-i211 tab Rev.0/header Rev.4, then assign new revision/effective date after technical approval. No existing approval signature is replicated or inferred. [GAP-001]</w:t>
      </w:r>
    </w:p>
    <w:p>
      <w:pPr>
        <w:pStyle w:val="Heading2"/>
      </w:pPr>
      <w:r>
        <w:t>20. Outstanding technical inputs / approval gates</w:t>
      </w:r>
    </w:p>
    <w:p>
      <w:pPr>
        <w:pStyle w:val="ListBullet"/>
      </w:pPr>
      <w:r>
        <w:t>OPEN TECHNICAL INPUT REQUIRED / EVIDENCE PENDING — Full SKU/BOM/size/flat-drain configuration and applicable controlled drawings including 1.0 mm / 51 hole and 500 mm variant decisions.</w:t>
      </w:r>
    </w:p>
    <w:p>
      <w:pPr>
        <w:pStyle w:val="ListBullet"/>
      </w:pPr>
      <w:r>
        <w:t>OPEN TECHNICAL INPUT REQUIRED / EVIDENCE PENDING — Approved measurement limits for length/holes/capacity, equipment methods, inspection frequencies, sample sizes, bond/cure and manual leak parameters.</w:t>
      </w:r>
    </w:p>
    <w:p>
      <w:pPr>
        <w:pStyle w:val="ListBullet"/>
      </w:pPr>
      <w:r>
        <w:t>OPEN TECHNICAL INPUT REQUIRED / EVIDENCE PENDING — Manufacturer-approved maximum suction pressure, vacuum stability/label claim, flow claims, use of MRI, retention, balloon and X-ray detectability.</w:t>
      </w:r>
    </w:p>
    <w:p>
      <w:pPr>
        <w:pStyle w:val="ListBullet"/>
      </w:pPr>
      <w:r>
        <w:t>OPEN TECHNICAL INPUT REQUIRED / EVIDENCE PENDING — Risk-file and biological evaluation links, Annex B/C/D/E/F/G/M (as applicable) executed qualification test reports, sterilization validation and batch release evidence.</w:t>
      </w:r>
    </w:p>
    <w:p>
      <w:pPr>
        <w:pStyle w:val="ListBullet"/>
      </w:pPr>
      <w:r>
        <w:t>OPEN TECHNICAL INPUT REQUIRED / EVIDENCE PENDING — Reconciliation of WI reference discrepancy, packaging form and final release form versions; effective approvals and current master list.</w:t>
      </w:r>
    </w:p>
    <w:p>
      <w:pPr>
        <w:pStyle w:val="Heading2"/>
      </w:pPr>
      <w:r>
        <w:t>21. Proposed revision history</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326"/>
            <w:shd w:fill="173A57"/>
            <w:tcMar>
              <w:top w:w="75" w:type="dxa"/>
              <w:start w:w="85" w:type="dxa"/>
              <w:bottom w:w="75" w:type="dxa"/>
              <w:end w:w="85" w:type="dxa"/>
            </w:tcMar>
          </w:tcPr>
          <w:p>
            <w:r>
              <w:rPr>
                <w:b/>
                <w:color w:val="FFFFFF"/>
                <w:sz w:val="17"/>
              </w:rPr>
              <w:t>Source revision</w:t>
            </w:r>
          </w:p>
        </w:tc>
        <w:tc>
          <w:tcPr>
            <w:tcW w:type="dxa" w:w="3326"/>
            <w:shd w:fill="173A57"/>
            <w:tcMar>
              <w:top w:w="75" w:type="dxa"/>
              <w:start w:w="85" w:type="dxa"/>
              <w:bottom w:w="75" w:type="dxa"/>
              <w:end w:w="85" w:type="dxa"/>
            </w:tcMar>
          </w:tcPr>
          <w:p>
            <w:r>
              <w:rPr>
                <w:b/>
                <w:color w:val="FFFFFF"/>
                <w:sz w:val="17"/>
              </w:rPr>
              <w:t>Date</w:t>
            </w:r>
          </w:p>
        </w:tc>
        <w:tc>
          <w:tcPr>
            <w:tcW w:type="dxa" w:w="3326"/>
            <w:shd w:fill="173A57"/>
            <w:tcMar>
              <w:top w:w="75" w:type="dxa"/>
              <w:start w:w="85" w:type="dxa"/>
              <w:bottom w:w="75" w:type="dxa"/>
              <w:end w:w="85" w:type="dxa"/>
            </w:tcMar>
          </w:tcPr>
          <w:p>
            <w:r>
              <w:rPr>
                <w:b/>
                <w:color w:val="FFFFFF"/>
                <w:sz w:val="17"/>
              </w:rPr>
              <w:t>Revision note / status</w:t>
            </w:r>
          </w:p>
        </w:tc>
      </w:tr>
      <w:tr>
        <w:tc>
          <w:tcPr>
            <w:tcW w:type="dxa" w:w="3326"/>
            <w:vAlign w:val="top"/>
            <w:tcMar>
              <w:top w:w="75" w:type="dxa"/>
              <w:start w:w="85" w:type="dxa"/>
              <w:bottom w:w="75" w:type="dxa"/>
              <w:end w:w="85" w:type="dxa"/>
            </w:tcMar>
            <w:shd w:fill="F1F5F8"/>
          </w:tcPr>
          <w:p>
            <w:pPr>
              <w:spacing w:after="20" w:line="247" w:lineRule="auto"/>
            </w:pPr>
            <w:r>
              <w:rPr>
                <w:sz w:val="16"/>
              </w:rPr>
              <w:t>Rev.4</w:t>
            </w:r>
          </w:p>
        </w:tc>
        <w:tc>
          <w:tcPr>
            <w:tcW w:type="dxa" w:w="3326"/>
            <w:vAlign w:val="top"/>
            <w:tcMar>
              <w:top w:w="75" w:type="dxa"/>
              <w:start w:w="85" w:type="dxa"/>
              <w:bottom w:w="75" w:type="dxa"/>
              <w:end w:w="85" w:type="dxa"/>
            </w:tcMar>
            <w:shd w:fill="F1F5F8"/>
          </w:tcPr>
          <w:p>
            <w:pPr>
              <w:spacing w:after="20" w:line="247" w:lineRule="auto"/>
            </w:pPr>
            <w:r>
              <w:rPr>
                <w:sz w:val="16"/>
              </w:rPr>
              <w:t>25 Dec 2022</w:t>
            </w:r>
          </w:p>
        </w:tc>
        <w:tc>
          <w:tcPr>
            <w:tcW w:type="dxa" w:w="3326"/>
            <w:vAlign w:val="top"/>
            <w:tcMar>
              <w:top w:w="75" w:type="dxa"/>
              <w:start w:w="85" w:type="dxa"/>
              <w:bottom w:w="75" w:type="dxa"/>
              <w:end w:w="85" w:type="dxa"/>
            </w:tcMar>
            <w:shd w:fill="F1F5F8"/>
          </w:tcPr>
          <w:p>
            <w:pPr>
              <w:spacing w:after="20" w:line="247" w:lineRule="auto"/>
            </w:pPr>
            <w:r>
              <w:rPr>
                <w:sz w:val="16"/>
              </w:rPr>
              <w:t>Source baseline, signed scanned controlled copy; preserved unchanged</w:t>
            </w:r>
          </w:p>
        </w:tc>
      </w:tr>
      <w:tr>
        <w:tc>
          <w:tcPr>
            <w:tcW w:type="dxa" w:w="3326"/>
            <w:vAlign w:val="top"/>
            <w:tcMar>
              <w:top w:w="75" w:type="dxa"/>
              <w:start w:w="85" w:type="dxa"/>
              <w:bottom w:w="75" w:type="dxa"/>
              <w:end w:w="85" w:type="dxa"/>
            </w:tcMar>
          </w:tcPr>
          <w:p>
            <w:pPr>
              <w:spacing w:after="20" w:line="247" w:lineRule="auto"/>
            </w:pPr>
            <w:r>
              <w:rPr>
                <w:sz w:val="16"/>
              </w:rPr>
              <w:t>DRAFT — TBD</w:t>
            </w:r>
          </w:p>
        </w:tc>
        <w:tc>
          <w:tcPr>
            <w:tcW w:type="dxa" w:w="3326"/>
            <w:vAlign w:val="top"/>
            <w:tcMar>
              <w:top w:w="75" w:type="dxa"/>
              <w:start w:w="85" w:type="dxa"/>
              <w:bottom w:w="75" w:type="dxa"/>
              <w:end w:w="85" w:type="dxa"/>
            </w:tcMar>
          </w:tcPr>
          <w:p>
            <w:pPr>
              <w:spacing w:after="20" w:line="247" w:lineRule="auto"/>
            </w:pPr>
            <w:r>
              <w:rPr>
                <w:sz w:val="16"/>
              </w:rPr>
              <w:t>Pending</w:t>
            </w:r>
          </w:p>
        </w:tc>
        <w:tc>
          <w:tcPr>
            <w:tcW w:type="dxa" w:w="3326"/>
            <w:vAlign w:val="top"/>
            <w:tcMar>
              <w:top w:w="75" w:type="dxa"/>
              <w:start w:w="85" w:type="dxa"/>
              <w:bottom w:w="75" w:type="dxa"/>
              <w:end w:w="85" w:type="dxa"/>
            </w:tcMar>
          </w:tcPr>
          <w:p>
            <w:pPr>
              <w:spacing w:after="20" w:line="247" w:lineRule="auto"/>
            </w:pPr>
            <w:r>
              <w:rPr>
                <w:sz w:val="16"/>
              </w:rPr>
              <w:t>ISO 20697 clause-mapping and in-process source form reconciliation. No authorization/effective date.</w:t>
            </w:r>
          </w:p>
        </w:tc>
      </w:tr>
    </w:tbl>
    <w:sectPr w:rsidR="00FC693F" w:rsidRPr="0006063C" w:rsidSect="00034616">
      <w:headerReference w:type="default" r:id="rId9"/>
      <w:footerReference w:type="default" r:id="rId10"/>
      <w:pgSz w:w="11909" w:h="16834"/>
      <w:pgMar w:top="979" w:right="965" w:bottom="893" w:left="965" w:header="432"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NOT EFFECTIVE / NOT RELEASED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7384"/>
        <w:sz w:val="16"/>
      </w:rPr>
      <w:t>SAUDI MAIS  |  QC DOCUMENTATION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5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27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27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27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1127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