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QUALITY SYSTEMS / CONTROLLED DRAFT</w:t>
      </w:r>
    </w:p>
    <w:p>
      <w:pPr>
        <w:pStyle w:val="Title"/>
      </w:pPr>
      <w:r>
        <w:t>ISO Gap Analysis &amp; WI Reconstruction</w:t>
      </w:r>
    </w:p>
    <w:p>
      <w:pPr>
        <w:pStyle w:val="Subtitle"/>
      </w:pPr>
      <w:r>
        <w:t>QC MANAGER | Master technical comparison and recommended corrective actions</w:t>
      </w:r>
    </w:p>
    <w:p>
      <w:r>
        <w:rPr>
          <w:b/>
          <w:color w:val="177D89"/>
        </w:rPr>
        <w:t>Wound Drainage Set   |   ISO 20697:2018(E), first edition 2018-06, corrected 2018-09</w:t>
      </w:r>
    </w:p>
    <w:p>
      <w:r>
        <w:t>Status: DRAFT FOR QC/QA/ENGINEERING REVIEW   •   No actual product conformity or ISO closure is asserted.</w:t>
      </w:r>
    </w:p>
    <w:p>
      <w:r>
        <w:t>Source documents: WI-8-2-2-23; F-823-i12; F-823-i108; ISO 20697:2018(E). Evidence supplied consists of unexecuted document templates, not completed production/test records.</w:t>
      </w:r>
    </w:p>
    <w:p>
      <w:r>
        <w:br w:type="page"/>
      </w:r>
    </w:p>
    <w:p>
      <w:pPr>
        <w:pStyle w:val="Heading1"/>
      </w:pPr>
      <w:r>
        <w:t>1. Executive Summary</w:t>
      </w:r>
    </w:p>
    <w:p>
      <w:r>
        <w:t>Product: Wound Drainage Set (bellows collection / drainage tubing, including Redon and silicone multi-channel variants where applicable). Applicable primary standard: ISO 20697:2018(E), first edition 2018-06, corrected 2018-09. Sources: one seven-page WI and two in-process templates. Product drawings, approved claims, risk files, test results, effective sterilization validations and executed lot forms were not provided.</w:t>
      </w:r>
    </w:p>
    <w:p>
      <w:r>
        <w:t>Observed/review-triggered gap entries: 23 total | P1: 9 | P2: 14 | P3: 0. These include conditional applicability and documentation-control items; counts are audit observations, not confirmed product defects.</w:t>
      </w:r>
    </w:p>
    <w:p>
      <w:r>
        <w:t>Decisions requested from QC Manager: confirm currently effective revisions; authorize correction of WI and two in-process forms; request controlled product design/risk/specification inputs and supporting test reports; approve appropriate verification route/frequency. No source establishes that routine In-Process Control is a final product Inspection &amp; Test Report.</w:t>
      </w:r>
    </w:p>
    <w:p>
      <w:r>
        <w:t>Conclusion: current WI and in-process records are insufficient to verify full product-standard documentary/operational coverage. Revised files below are technical drafts only. Every closure remains open pending source-based technical review, approved implementation and genuine executed evidence.</w:t>
      </w:r>
    </w:p>
    <w:p>
      <w:pPr>
        <w:pStyle w:val="Heading1"/>
      </w:pPr>
      <w:r>
        <w:t>2. Verified Documents Reviewed</w:t>
      </w:r>
    </w:p>
    <w:tbl>
      <w:tblPr>
        <w:tblStyle w:val="TableGrid"/>
        <w:tblW w:type="auto" w:w="0"/>
        <w:jc w:val="center"/>
        <w:tblLayout w:type="fixed"/>
        <w:tblLook w:firstColumn="1" w:firstRow="1" w:lastColumn="0" w:lastRow="0" w:noHBand="0" w:noVBand="1" w:val="04A0"/>
      </w:tblPr>
      <w:tblGrid>
        <w:gridCol w:w="7325"/>
        <w:gridCol w:w="7325"/>
        <w:gridCol w:w="7325"/>
      </w:tblGrid>
      <w:tr>
        <w:trPr>
          <w:tblHeader w:val="true"/>
        </w:trPr>
        <w:tc>
          <w:tcPr>
            <w:tcW w:type="dxa" w:w="1296"/>
            <w:vAlign w:val="center"/>
            <w:shd w:fill="182E49"/>
          </w:tcPr>
          <w:p>
            <w:pPr>
              <w:spacing w:line="262" w:lineRule="auto"/>
            </w:pPr>
            <w:r>
              <w:rPr>
                <w:color w:val="FFFFFF"/>
              </w:rPr>
            </w:r>
            <w:r>
              <w:rPr>
                <w:b/>
                <w:color w:val="FFFFFF"/>
                <w:sz w:val="18"/>
              </w:rPr>
              <w:t>ID</w:t>
            </w:r>
          </w:p>
        </w:tc>
        <w:tc>
          <w:tcPr>
            <w:tcW w:type="dxa" w:w="6768"/>
            <w:vAlign w:val="center"/>
            <w:shd w:fill="182E49"/>
          </w:tcPr>
          <w:p>
            <w:pPr>
              <w:spacing w:line="262" w:lineRule="auto"/>
            </w:pPr>
            <w:r>
              <w:rPr>
                <w:color w:val="FFFFFF"/>
              </w:rPr>
            </w:r>
            <w:r>
              <w:rPr>
                <w:b/>
                <w:color w:val="FFFFFF"/>
                <w:sz w:val="18"/>
              </w:rPr>
              <w:t>Source document</w:t>
            </w:r>
          </w:p>
        </w:tc>
        <w:tc>
          <w:tcPr>
            <w:tcW w:type="dxa" w:w="13680"/>
            <w:vAlign w:val="center"/>
            <w:shd w:fill="182E49"/>
          </w:tcPr>
          <w:p>
            <w:pPr>
              <w:spacing w:line="262" w:lineRule="auto"/>
            </w:pPr>
            <w:r>
              <w:rPr>
                <w:color w:val="FFFFFF"/>
              </w:rPr>
            </w:r>
            <w:r>
              <w:rPr>
                <w:b/>
                <w:color w:val="FFFFFF"/>
                <w:sz w:val="18"/>
              </w:rPr>
              <w:t>Identity / limitations</w:t>
            </w:r>
          </w:p>
        </w:tc>
      </w:tr>
      <w:tr>
        <w:trPr>
          <w:cantSplit/>
        </w:trPr>
        <w:tc>
          <w:tcPr>
            <w:tcW w:type="dxa" w:w="1296"/>
            <w:vAlign w:val="center"/>
          </w:tcPr>
          <w:p>
            <w:pPr>
              <w:spacing w:line="262" w:lineRule="auto"/>
            </w:pPr>
            <w:r/>
            <w:r>
              <w:rPr>
                <w:b w:val="0"/>
                <w:color w:val="182E49"/>
                <w:sz w:val="18"/>
              </w:rPr>
              <w:t>S-01</w:t>
            </w:r>
          </w:p>
        </w:tc>
        <w:tc>
          <w:tcPr>
            <w:tcW w:type="dxa" w:w="6768"/>
            <w:vAlign w:val="center"/>
          </w:tcPr>
          <w:p>
            <w:pPr>
              <w:spacing w:line="262" w:lineRule="auto"/>
            </w:pPr>
            <w:r/>
            <w:r>
              <w:rPr>
                <w:b w:val="0"/>
                <w:color w:val="182E49"/>
                <w:sz w:val="18"/>
              </w:rPr>
              <w:t>ISO 20697:2018(E) corrected version</w:t>
            </w:r>
          </w:p>
        </w:tc>
        <w:tc>
          <w:tcPr>
            <w:tcW w:type="dxa" w:w="13680"/>
            <w:vAlign w:val="center"/>
          </w:tcPr>
          <w:p>
            <w:pPr>
              <w:spacing w:line="262" w:lineRule="auto"/>
            </w:pPr>
            <w:r/>
            <w:r>
              <w:rPr>
                <w:b w:val="0"/>
                <w:color w:val="182E49"/>
                <w:sz w:val="18"/>
              </w:rPr>
              <w:t>Full standard; PDF 44 pages; ISO printed pp. 1–37; uploaded licensed controlled copy; technical reference for this assessment.</w:t>
            </w:r>
          </w:p>
        </w:tc>
      </w:tr>
      <w:tr>
        <w:trPr>
          <w:cantSplit/>
        </w:trPr>
        <w:tc>
          <w:tcPr>
            <w:tcW w:type="dxa" w:w="1296"/>
            <w:vAlign w:val="center"/>
            <w:shd w:fill="F2F6F9"/>
          </w:tcPr>
          <w:p>
            <w:pPr>
              <w:spacing w:line="262" w:lineRule="auto"/>
            </w:pPr>
            <w:r/>
            <w:r>
              <w:rPr>
                <w:b w:val="0"/>
                <w:color w:val="182E49"/>
                <w:sz w:val="18"/>
              </w:rPr>
              <w:t>S-02</w:t>
            </w:r>
          </w:p>
        </w:tc>
        <w:tc>
          <w:tcPr>
            <w:tcW w:type="dxa" w:w="6768"/>
            <w:vAlign w:val="center"/>
            <w:shd w:fill="F2F6F9"/>
          </w:tcPr>
          <w:p>
            <w:pPr>
              <w:spacing w:line="262" w:lineRule="auto"/>
            </w:pPr>
            <w:r/>
            <w:r>
              <w:rPr>
                <w:b w:val="0"/>
                <w:color w:val="182E49"/>
                <w:sz w:val="18"/>
              </w:rPr>
              <w:t>WI-8-2-2-23, Production &amp; Test Procedure for Wound Drainage Set</w:t>
            </w:r>
          </w:p>
        </w:tc>
        <w:tc>
          <w:tcPr>
            <w:tcW w:type="dxa" w:w="13680"/>
            <w:vAlign w:val="center"/>
            <w:shd w:fill="F2F6F9"/>
          </w:tcPr>
          <w:p>
            <w:pPr>
              <w:spacing w:line="262" w:lineRule="auto"/>
            </w:pPr>
            <w:r/>
            <w:r>
              <w:rPr>
                <w:b w:val="0"/>
                <w:color w:val="182E49"/>
                <w:sz w:val="18"/>
              </w:rPr>
              <w:t>Supplied legacy .doc; visible internal header Rev. 4 dated 25.12.2022, pp. 1–7. Uploaded filename calls it Rev. 5; controlled status and approved current edition NOT VERIFIED.</w:t>
            </w:r>
          </w:p>
        </w:tc>
      </w:tr>
      <w:tr>
        <w:trPr>
          <w:cantSplit/>
        </w:trPr>
        <w:tc>
          <w:tcPr>
            <w:tcW w:type="dxa" w:w="1296"/>
            <w:vAlign w:val="center"/>
          </w:tcPr>
          <w:p>
            <w:pPr>
              <w:spacing w:line="262" w:lineRule="auto"/>
            </w:pPr>
            <w:r/>
            <w:r>
              <w:rPr>
                <w:b w:val="0"/>
                <w:color w:val="182E49"/>
                <w:sz w:val="18"/>
              </w:rPr>
              <w:t>S-03</w:t>
            </w:r>
          </w:p>
        </w:tc>
        <w:tc>
          <w:tcPr>
            <w:tcW w:type="dxa" w:w="6768"/>
            <w:vAlign w:val="center"/>
          </w:tcPr>
          <w:p>
            <w:pPr>
              <w:spacing w:line="262" w:lineRule="auto"/>
            </w:pPr>
            <w:r/>
            <w:r>
              <w:rPr>
                <w:b w:val="0"/>
                <w:color w:val="182E49"/>
                <w:sz w:val="18"/>
              </w:rPr>
              <w:t>F-823-i12, In-process Control for Wound Drainage Set</w:t>
            </w:r>
          </w:p>
        </w:tc>
        <w:tc>
          <w:tcPr>
            <w:tcW w:type="dxa" w:w="13680"/>
            <w:vAlign w:val="center"/>
          </w:tcPr>
          <w:p>
            <w:pPr>
              <w:spacing w:line="262" w:lineRule="auto"/>
            </w:pPr>
            <w:r/>
            <w:r>
              <w:rPr>
                <w:b w:val="0"/>
                <w:color w:val="182E49"/>
                <w:sz w:val="18"/>
              </w:rPr>
              <w:t>Workbook visible form Rev. 4; sheet F-823 i12(Rev4); rows 7–28; row 4 refers to WI-8-2-2-23-1; blank time results 7–6.</w:t>
            </w:r>
          </w:p>
        </w:tc>
      </w:tr>
      <w:tr>
        <w:trPr>
          <w:cantSplit/>
        </w:trPr>
        <w:tc>
          <w:tcPr>
            <w:tcW w:type="dxa" w:w="1296"/>
            <w:vAlign w:val="center"/>
            <w:shd w:fill="F2F6F9"/>
          </w:tcPr>
          <w:p>
            <w:pPr>
              <w:spacing w:line="262" w:lineRule="auto"/>
            </w:pPr>
            <w:r/>
            <w:r>
              <w:rPr>
                <w:b w:val="0"/>
                <w:color w:val="182E49"/>
                <w:sz w:val="18"/>
              </w:rPr>
              <w:t>S-04</w:t>
            </w:r>
          </w:p>
        </w:tc>
        <w:tc>
          <w:tcPr>
            <w:tcW w:type="dxa" w:w="6768"/>
            <w:vAlign w:val="center"/>
            <w:shd w:fill="F2F6F9"/>
          </w:tcPr>
          <w:p>
            <w:pPr>
              <w:spacing w:line="262" w:lineRule="auto"/>
            </w:pPr>
            <w:r/>
            <w:r>
              <w:rPr>
                <w:b w:val="0"/>
                <w:color w:val="182E49"/>
                <w:sz w:val="18"/>
              </w:rPr>
              <w:t>F-823-i108, In-process Control for Silicone Multi Channel Tube</w:t>
            </w:r>
          </w:p>
        </w:tc>
        <w:tc>
          <w:tcPr>
            <w:tcW w:type="dxa" w:w="13680"/>
            <w:vAlign w:val="center"/>
            <w:shd w:fill="F2F6F9"/>
          </w:tcPr>
          <w:p>
            <w:pPr>
              <w:spacing w:line="262" w:lineRule="auto"/>
            </w:pPr>
            <w:r/>
            <w:r>
              <w:rPr>
                <w:b w:val="0"/>
                <w:color w:val="182E49"/>
                <w:sz w:val="18"/>
              </w:rPr>
              <w:t>Uploaded file filename says Rev. 6 but worksheet tab F-823-i108 (Rev.4); rows 6–29; row 3 refers to WI-8-2-2-23; dimensional table rows 21–26.</w:t>
            </w:r>
          </w:p>
        </w:tc>
      </w:tr>
    </w:tbl>
    <w:p>
      <w:pPr>
        <w:pStyle w:val="Heading1"/>
      </w:pPr>
      <w:r>
        <w:t>3. Scope, ISO applicability and audit method</w:t>
      </w:r>
    </w:p>
    <w:p>
      <w:r>
        <w:t>This assessment uses ISO 20697:2018 corrected issue (PDF page = ISO printed page + 6 for normative pages) and line/row identifiers visible in the two workbooks. Existing WI pages are internal footer page numbers. Clauses are treated as mandatory, conditional, or N/A only where source text and verified design establish applicability. Current product has bellows/suction, drainage tube, trocar, slide clamp, connectors and optional multichannel variant; no catheter-retention balloon is evidenced. Balloon-only provisions require explicit configuration confirmation, not automatic testing.</w:t>
      </w:r>
    </w:p>
    <w:p>
      <w:r>
        <w:t>Control strategy: preserve routine hourly/two-hourly in-process checks where current company documents show those schedules, subject to approved sampling plan; link design qualification, biological evaluation, corrosion/force/drop/vacuum laboratory records, IFU and sterilization releases via distinct controlled evidence routes. No assumption of every-lot type testing.</w:t>
      </w:r>
    </w:p>
    <w:p>
      <w:pPr>
        <w:pStyle w:val="Heading1"/>
      </w:pPr>
      <w:r>
        <w:t>4. ISO requirement coverage map (before changes)</w:t>
      </w:r>
    </w:p>
    <w:tbl>
      <w:tblPr>
        <w:tblStyle w:val="TableGrid"/>
        <w:tblW w:type="auto" w:w="0"/>
        <w:jc w:val="center"/>
        <w:tblLayout w:type="fixed"/>
        <w:tblLook w:firstColumn="1" w:firstRow="1" w:lastColumn="0" w:lastRow="0" w:noHBand="0" w:noVBand="1" w:val="04A0"/>
      </w:tblPr>
      <w:tblGrid>
        <w:gridCol w:w="5493"/>
        <w:gridCol w:w="5493"/>
        <w:gridCol w:w="5493"/>
        <w:gridCol w:w="5493"/>
      </w:tblGrid>
      <w:tr>
        <w:trPr>
          <w:tblHeader w:val="true"/>
        </w:trPr>
        <w:tc>
          <w:tcPr>
            <w:tcW w:type="dxa" w:w="2664"/>
            <w:vAlign w:val="center"/>
            <w:shd w:fill="182E49"/>
          </w:tcPr>
          <w:p>
            <w:pPr>
              <w:spacing w:line="262" w:lineRule="auto"/>
            </w:pPr>
            <w:r>
              <w:rPr>
                <w:color w:val="FFFFFF"/>
              </w:rPr>
            </w:r>
            <w:r>
              <w:rPr>
                <w:b/>
                <w:color w:val="FFFFFF"/>
                <w:sz w:val="17"/>
              </w:rPr>
              <w:t>ISO clause</w:t>
            </w:r>
          </w:p>
        </w:tc>
        <w:tc>
          <w:tcPr>
            <w:tcW w:type="dxa" w:w="4968"/>
            <w:vAlign w:val="center"/>
            <w:shd w:fill="182E49"/>
          </w:tcPr>
          <w:p>
            <w:pPr>
              <w:spacing w:line="262" w:lineRule="auto"/>
            </w:pPr>
            <w:r>
              <w:rPr>
                <w:color w:val="FFFFFF"/>
              </w:rPr>
            </w:r>
            <w:r>
              <w:rPr>
                <w:b/>
                <w:color w:val="FFFFFF"/>
                <w:sz w:val="17"/>
              </w:rPr>
              <w:t>Technical characteristic</w:t>
            </w:r>
          </w:p>
        </w:tc>
        <w:tc>
          <w:tcPr>
            <w:tcW w:type="dxa" w:w="3744"/>
            <w:vAlign w:val="center"/>
            <w:shd w:fill="182E49"/>
          </w:tcPr>
          <w:p>
            <w:pPr>
              <w:spacing w:line="262" w:lineRule="auto"/>
            </w:pPr>
            <w:r>
              <w:rPr>
                <w:color w:val="FFFFFF"/>
              </w:rPr>
            </w:r>
            <w:r>
              <w:rPr>
                <w:b/>
                <w:color w:val="FFFFFF"/>
                <w:sz w:val="17"/>
              </w:rPr>
              <w:t>Related Gap / assessment</w:t>
            </w:r>
          </w:p>
        </w:tc>
        <w:tc>
          <w:tcPr>
            <w:tcW w:type="dxa" w:w="10368"/>
            <w:vAlign w:val="center"/>
            <w:shd w:fill="182E49"/>
          </w:tcPr>
          <w:p>
            <w:pPr>
              <w:spacing w:line="262" w:lineRule="auto"/>
            </w:pPr>
            <w:r>
              <w:rPr>
                <w:color w:val="FFFFFF"/>
              </w:rPr>
            </w:r>
            <w:r>
              <w:rPr>
                <w:b/>
                <w:color w:val="FFFFFF"/>
                <w:sz w:val="17"/>
              </w:rPr>
              <w:t>Source-grounded status</w:t>
            </w:r>
          </w:p>
        </w:tc>
      </w:tr>
      <w:tr>
        <w:trPr>
          <w:cantSplit/>
        </w:trPr>
        <w:tc>
          <w:tcPr>
            <w:tcW w:type="dxa" w:w="2664"/>
            <w:vAlign w:val="center"/>
          </w:tcPr>
          <w:p>
            <w:pPr>
              <w:spacing w:line="262" w:lineRule="auto"/>
            </w:pPr>
            <w:r/>
            <w:r>
              <w:rPr>
                <w:b w:val="0"/>
                <w:color w:val="182E49"/>
                <w:sz w:val="17"/>
              </w:rPr>
              <w:t>4; 5.1</w:t>
            </w:r>
          </w:p>
        </w:tc>
        <w:tc>
          <w:tcPr>
            <w:tcW w:type="dxa" w:w="4968"/>
            <w:vAlign w:val="center"/>
          </w:tcPr>
          <w:p>
            <w:pPr>
              <w:spacing w:line="262" w:lineRule="auto"/>
            </w:pPr>
            <w:r/>
            <w:r>
              <w:rPr>
                <w:b w:val="0"/>
                <w:color w:val="182E49"/>
                <w:sz w:val="17"/>
              </w:rPr>
              <w:t>Intended drainage function / risk process</w:t>
            </w:r>
          </w:p>
        </w:tc>
        <w:tc>
          <w:tcPr>
            <w:tcW w:type="dxa" w:w="3744"/>
            <w:vAlign w:val="center"/>
          </w:tcPr>
          <w:p>
            <w:pPr>
              <w:spacing w:line="262" w:lineRule="auto"/>
            </w:pPr>
            <w:r/>
            <w:r>
              <w:rPr>
                <w:b w:val="0"/>
                <w:color w:val="182E49"/>
                <w:sz w:val="17"/>
              </w:rPr>
              <w:t>GAP-002</w:t>
            </w:r>
          </w:p>
        </w:tc>
        <w:tc>
          <w:tcPr>
            <w:tcW w:type="dxa" w:w="10368"/>
            <w:vAlign w:val="center"/>
          </w:tcPr>
          <w:p>
            <w:pPr>
              <w:spacing w:line="262" w:lineRule="auto"/>
            </w:pPr>
            <w:r/>
            <w:r>
              <w:rPr>
                <w:b w:val="0"/>
                <w:color w:val="182E49"/>
                <w:sz w:val="17"/>
              </w:rPr>
              <w:t>Risk/design verification evidence pending</w:t>
            </w:r>
          </w:p>
        </w:tc>
      </w:tr>
      <w:tr>
        <w:trPr>
          <w:cantSplit/>
        </w:trPr>
        <w:tc>
          <w:tcPr>
            <w:tcW w:type="dxa" w:w="2664"/>
            <w:vAlign w:val="center"/>
            <w:shd w:fill="F2F6F9"/>
          </w:tcPr>
          <w:p>
            <w:pPr>
              <w:spacing w:line="262" w:lineRule="auto"/>
            </w:pPr>
            <w:r/>
            <w:r>
              <w:rPr>
                <w:b w:val="0"/>
                <w:color w:val="182E49"/>
                <w:sz w:val="17"/>
              </w:rPr>
              <w:t>5.2</w:t>
            </w:r>
          </w:p>
        </w:tc>
        <w:tc>
          <w:tcPr>
            <w:tcW w:type="dxa" w:w="4968"/>
            <w:vAlign w:val="center"/>
            <w:shd w:fill="F2F6F9"/>
          </w:tcPr>
          <w:p>
            <w:pPr>
              <w:spacing w:line="262" w:lineRule="auto"/>
            </w:pPr>
            <w:r/>
            <w:r>
              <w:rPr>
                <w:b w:val="0"/>
                <w:color w:val="182E49"/>
                <w:sz w:val="17"/>
              </w:rPr>
              <w:t>Biocompatibility</w:t>
            </w:r>
          </w:p>
        </w:tc>
        <w:tc>
          <w:tcPr>
            <w:tcW w:type="dxa" w:w="3744"/>
            <w:vAlign w:val="center"/>
            <w:shd w:fill="F2F6F9"/>
          </w:tcPr>
          <w:p>
            <w:pPr>
              <w:spacing w:line="262" w:lineRule="auto"/>
            </w:pPr>
            <w:r/>
            <w:r>
              <w:rPr>
                <w:b w:val="0"/>
                <w:color w:val="182E49"/>
                <w:sz w:val="17"/>
              </w:rPr>
              <w:t>GAP-003</w:t>
            </w:r>
          </w:p>
        </w:tc>
        <w:tc>
          <w:tcPr>
            <w:tcW w:type="dxa" w:w="10368"/>
            <w:vAlign w:val="center"/>
            <w:shd w:fill="F2F6F9"/>
          </w:tcPr>
          <w:p>
            <w:pPr>
              <w:spacing w:line="262" w:lineRule="auto"/>
            </w:pPr>
            <w:r/>
            <w:r>
              <w:rPr>
                <w:b w:val="0"/>
                <w:color w:val="182E49"/>
                <w:sz w:val="17"/>
              </w:rPr>
              <w:t>Not evidenced</w:t>
            </w:r>
          </w:p>
        </w:tc>
      </w:tr>
      <w:tr>
        <w:trPr>
          <w:cantSplit/>
        </w:trPr>
        <w:tc>
          <w:tcPr>
            <w:tcW w:type="dxa" w:w="2664"/>
            <w:vAlign w:val="center"/>
          </w:tcPr>
          <w:p>
            <w:pPr>
              <w:spacing w:line="262" w:lineRule="auto"/>
            </w:pPr>
            <w:r/>
            <w:r>
              <w:rPr>
                <w:b w:val="0"/>
                <w:color w:val="182E49"/>
                <w:sz w:val="17"/>
              </w:rPr>
              <w:t>5.3</w:t>
            </w:r>
          </w:p>
        </w:tc>
        <w:tc>
          <w:tcPr>
            <w:tcW w:type="dxa" w:w="4968"/>
            <w:vAlign w:val="center"/>
          </w:tcPr>
          <w:p>
            <w:pPr>
              <w:spacing w:line="262" w:lineRule="auto"/>
            </w:pPr>
            <w:r/>
            <w:r>
              <w:rPr>
                <w:b w:val="0"/>
                <w:color w:val="182E49"/>
                <w:sz w:val="17"/>
              </w:rPr>
              <w:t>Detectability if risk-required</w:t>
            </w:r>
          </w:p>
        </w:tc>
        <w:tc>
          <w:tcPr>
            <w:tcW w:type="dxa" w:w="3744"/>
            <w:vAlign w:val="center"/>
          </w:tcPr>
          <w:p>
            <w:pPr>
              <w:spacing w:line="262" w:lineRule="auto"/>
            </w:pPr>
            <w:r/>
            <w:r>
              <w:rPr>
                <w:b w:val="0"/>
                <w:color w:val="182E49"/>
                <w:sz w:val="17"/>
              </w:rPr>
              <w:t>GAP-004</w:t>
            </w:r>
          </w:p>
        </w:tc>
        <w:tc>
          <w:tcPr>
            <w:tcW w:type="dxa" w:w="10368"/>
            <w:vAlign w:val="center"/>
          </w:tcPr>
          <w:p>
            <w:pPr>
              <w:spacing w:line="262" w:lineRule="auto"/>
            </w:pPr>
            <w:r/>
            <w:r>
              <w:rPr>
                <w:b w:val="0"/>
                <w:color w:val="182E49"/>
                <w:sz w:val="17"/>
              </w:rPr>
              <w:t>Conditional; risk decision missing</w:t>
            </w:r>
          </w:p>
        </w:tc>
      </w:tr>
      <w:tr>
        <w:trPr>
          <w:cantSplit/>
        </w:trPr>
        <w:tc>
          <w:tcPr>
            <w:tcW w:type="dxa" w:w="2664"/>
            <w:vAlign w:val="center"/>
            <w:shd w:fill="F2F6F9"/>
          </w:tcPr>
          <w:p>
            <w:pPr>
              <w:spacing w:line="262" w:lineRule="auto"/>
            </w:pPr>
            <w:r/>
            <w:r>
              <w:rPr>
                <w:b w:val="0"/>
                <w:color w:val="182E49"/>
                <w:sz w:val="17"/>
              </w:rPr>
              <w:t>5.4</w:t>
            </w:r>
          </w:p>
        </w:tc>
        <w:tc>
          <w:tcPr>
            <w:tcW w:type="dxa" w:w="4968"/>
            <w:vAlign w:val="center"/>
            <w:shd w:fill="F2F6F9"/>
          </w:tcPr>
          <w:p>
            <w:pPr>
              <w:spacing w:line="262" w:lineRule="auto"/>
            </w:pPr>
            <w:r/>
            <w:r>
              <w:rPr>
                <w:b w:val="0"/>
                <w:color w:val="182E49"/>
                <w:sz w:val="17"/>
              </w:rPr>
              <w:t>Surface finish</w:t>
            </w:r>
          </w:p>
        </w:tc>
        <w:tc>
          <w:tcPr>
            <w:tcW w:type="dxa" w:w="3744"/>
            <w:vAlign w:val="center"/>
            <w:shd w:fill="F2F6F9"/>
          </w:tcPr>
          <w:p>
            <w:pPr>
              <w:spacing w:line="262" w:lineRule="auto"/>
            </w:pPr>
            <w:r/>
            <w:r>
              <w:rPr>
                <w:b w:val="0"/>
                <w:color w:val="182E49"/>
                <w:sz w:val="17"/>
              </w:rPr>
              <w:t>GAP-005</w:t>
            </w:r>
          </w:p>
        </w:tc>
        <w:tc>
          <w:tcPr>
            <w:tcW w:type="dxa" w:w="10368"/>
            <w:vAlign w:val="center"/>
            <w:shd w:fill="F2F6F9"/>
          </w:tcPr>
          <w:p>
            <w:pPr>
              <w:spacing w:line="262" w:lineRule="auto"/>
            </w:pPr>
            <w:r/>
            <w:r>
              <w:rPr>
                <w:b w:val="0"/>
                <w:color w:val="182E49"/>
                <w:sz w:val="17"/>
              </w:rPr>
              <w:t>Qualitatively addressed; risk magnification linkage pending</w:t>
            </w:r>
          </w:p>
        </w:tc>
      </w:tr>
      <w:tr>
        <w:trPr>
          <w:cantSplit/>
        </w:trPr>
        <w:tc>
          <w:tcPr>
            <w:tcW w:type="dxa" w:w="2664"/>
            <w:vAlign w:val="center"/>
          </w:tcPr>
          <w:p>
            <w:pPr>
              <w:spacing w:line="262" w:lineRule="auto"/>
            </w:pPr>
            <w:r/>
            <w:r>
              <w:rPr>
                <w:b w:val="0"/>
                <w:color w:val="182E49"/>
                <w:sz w:val="17"/>
              </w:rPr>
              <w:t>5.5.1–5.5.3</w:t>
            </w:r>
          </w:p>
        </w:tc>
        <w:tc>
          <w:tcPr>
            <w:tcW w:type="dxa" w:w="4968"/>
            <w:vAlign w:val="center"/>
          </w:tcPr>
          <w:p>
            <w:pPr>
              <w:spacing w:line="262" w:lineRule="auto"/>
            </w:pPr>
            <w:r/>
            <w:r>
              <w:rPr>
                <w:b w:val="0"/>
                <w:color w:val="182E49"/>
                <w:sz w:val="17"/>
              </w:rPr>
              <w:t>OD and length designation</w:t>
            </w:r>
          </w:p>
        </w:tc>
        <w:tc>
          <w:tcPr>
            <w:tcW w:type="dxa" w:w="3744"/>
            <w:vAlign w:val="center"/>
          </w:tcPr>
          <w:p>
            <w:pPr>
              <w:spacing w:line="262" w:lineRule="auto"/>
            </w:pPr>
            <w:r/>
            <w:r>
              <w:rPr>
                <w:b w:val="0"/>
                <w:color w:val="182E49"/>
                <w:sz w:val="17"/>
              </w:rPr>
              <w:t>GAP-006 / GAP-021</w:t>
            </w:r>
          </w:p>
        </w:tc>
        <w:tc>
          <w:tcPr>
            <w:tcW w:type="dxa" w:w="10368"/>
            <w:vAlign w:val="center"/>
          </w:tcPr>
          <w:p>
            <w:pPr>
              <w:spacing w:line="262" w:lineRule="auto"/>
            </w:pPr>
            <w:r/>
            <w:r>
              <w:rPr>
                <w:b w:val="0"/>
                <w:color w:val="182E49"/>
                <w:sz w:val="17"/>
              </w:rPr>
              <w:t>Covered partly; drawing/tolerances pending</w:t>
            </w:r>
          </w:p>
        </w:tc>
      </w:tr>
      <w:tr>
        <w:trPr>
          <w:cantSplit/>
        </w:trPr>
        <w:tc>
          <w:tcPr>
            <w:tcW w:type="dxa" w:w="2664"/>
            <w:vAlign w:val="center"/>
            <w:shd w:fill="F2F6F9"/>
          </w:tcPr>
          <w:p>
            <w:pPr>
              <w:spacing w:line="262" w:lineRule="auto"/>
            </w:pPr>
            <w:r/>
            <w:r>
              <w:rPr>
                <w:b w:val="0"/>
                <w:color w:val="182E49"/>
                <w:sz w:val="17"/>
              </w:rPr>
              <w:t>5.5.4</w:t>
            </w:r>
          </w:p>
        </w:tc>
        <w:tc>
          <w:tcPr>
            <w:tcW w:type="dxa" w:w="4968"/>
            <w:vAlign w:val="center"/>
            <w:shd w:fill="F2F6F9"/>
          </w:tcPr>
          <w:p>
            <w:pPr>
              <w:spacing w:line="262" w:lineRule="auto"/>
            </w:pPr>
            <w:r/>
            <w:r>
              <w:rPr>
                <w:b w:val="0"/>
                <w:color w:val="182E49"/>
                <w:sz w:val="17"/>
              </w:rPr>
              <w:t>Balloon inflation volume</w:t>
            </w:r>
          </w:p>
        </w:tc>
        <w:tc>
          <w:tcPr>
            <w:tcW w:type="dxa" w:w="3744"/>
            <w:vAlign w:val="center"/>
            <w:shd w:fill="F2F6F9"/>
          </w:tcPr>
          <w:p>
            <w:pPr>
              <w:spacing w:line="262" w:lineRule="auto"/>
            </w:pPr>
            <w:r/>
            <w:r>
              <w:rPr>
                <w:b w:val="0"/>
                <w:color w:val="182E49"/>
                <w:sz w:val="17"/>
              </w:rPr>
              <w:t>N/A pending design proof</w:t>
            </w:r>
          </w:p>
        </w:tc>
        <w:tc>
          <w:tcPr>
            <w:tcW w:type="dxa" w:w="10368"/>
            <w:vAlign w:val="center"/>
            <w:shd w:fill="F2F6F9"/>
          </w:tcPr>
          <w:p>
            <w:pPr>
              <w:spacing w:line="262" w:lineRule="auto"/>
            </w:pPr>
            <w:r/>
            <w:r>
              <w:rPr>
                <w:b w:val="0"/>
                <w:color w:val="182E49"/>
                <w:sz w:val="17"/>
              </w:rPr>
              <w:t>No catheter retention balloon identified in supplied WI/forms</w:t>
            </w:r>
          </w:p>
        </w:tc>
      </w:tr>
      <w:tr>
        <w:trPr>
          <w:cantSplit/>
        </w:trPr>
        <w:tc>
          <w:tcPr>
            <w:tcW w:type="dxa" w:w="2664"/>
            <w:vAlign w:val="center"/>
          </w:tcPr>
          <w:p>
            <w:pPr>
              <w:spacing w:line="262" w:lineRule="auto"/>
            </w:pPr>
            <w:r/>
            <w:r>
              <w:rPr>
                <w:b w:val="0"/>
                <w:color w:val="182E49"/>
                <w:sz w:val="17"/>
              </w:rPr>
              <w:t>5.6</w:t>
            </w:r>
          </w:p>
        </w:tc>
        <w:tc>
          <w:tcPr>
            <w:tcW w:type="dxa" w:w="4968"/>
            <w:vAlign w:val="center"/>
          </w:tcPr>
          <w:p>
            <w:pPr>
              <w:spacing w:line="262" w:lineRule="auto"/>
            </w:pPr>
            <w:r/>
            <w:r>
              <w:rPr>
                <w:b w:val="0"/>
                <w:color w:val="182E49"/>
                <w:sz w:val="17"/>
              </w:rPr>
              <w:t>Connector misconnection</w:t>
            </w:r>
          </w:p>
        </w:tc>
        <w:tc>
          <w:tcPr>
            <w:tcW w:type="dxa" w:w="3744"/>
            <w:vAlign w:val="center"/>
          </w:tcPr>
          <w:p>
            <w:pPr>
              <w:spacing w:line="262" w:lineRule="auto"/>
            </w:pPr>
            <w:r/>
            <w:r>
              <w:rPr>
                <w:b w:val="0"/>
                <w:color w:val="182E49"/>
                <w:sz w:val="17"/>
              </w:rPr>
              <w:t>GAP-007</w:t>
            </w:r>
          </w:p>
        </w:tc>
        <w:tc>
          <w:tcPr>
            <w:tcW w:type="dxa" w:w="10368"/>
            <w:vAlign w:val="center"/>
          </w:tcPr>
          <w:p>
            <w:pPr>
              <w:spacing w:line="262" w:lineRule="auto"/>
            </w:pPr>
            <w:r/>
            <w:r>
              <w:rPr>
                <w:b w:val="0"/>
                <w:color w:val="182E49"/>
                <w:sz w:val="17"/>
              </w:rPr>
              <w:t>Risk/design proof pending</w:t>
            </w:r>
          </w:p>
        </w:tc>
      </w:tr>
      <w:tr>
        <w:trPr>
          <w:cantSplit/>
        </w:trPr>
        <w:tc>
          <w:tcPr>
            <w:tcW w:type="dxa" w:w="2664"/>
            <w:vAlign w:val="center"/>
            <w:shd w:fill="F2F6F9"/>
          </w:tcPr>
          <w:p>
            <w:pPr>
              <w:spacing w:line="262" w:lineRule="auto"/>
            </w:pPr>
            <w:r/>
            <w:r>
              <w:rPr>
                <w:b w:val="0"/>
                <w:color w:val="182E49"/>
                <w:sz w:val="17"/>
              </w:rPr>
              <w:t>5.7</w:t>
            </w:r>
          </w:p>
        </w:tc>
        <w:tc>
          <w:tcPr>
            <w:tcW w:type="dxa" w:w="4968"/>
            <w:vAlign w:val="center"/>
            <w:shd w:fill="F2F6F9"/>
          </w:tcPr>
          <w:p>
            <w:pPr>
              <w:spacing w:line="262" w:lineRule="auto"/>
            </w:pPr>
            <w:r/>
            <w:r>
              <w:rPr>
                <w:b w:val="0"/>
                <w:color w:val="182E49"/>
                <w:sz w:val="17"/>
              </w:rPr>
              <w:t>MRI when applicable</w:t>
            </w:r>
          </w:p>
        </w:tc>
        <w:tc>
          <w:tcPr>
            <w:tcW w:type="dxa" w:w="3744"/>
            <w:vAlign w:val="center"/>
            <w:shd w:fill="F2F6F9"/>
          </w:tcPr>
          <w:p>
            <w:pPr>
              <w:spacing w:line="262" w:lineRule="auto"/>
            </w:pPr>
            <w:r/>
            <w:r>
              <w:rPr>
                <w:b w:val="0"/>
                <w:color w:val="182E49"/>
                <w:sz w:val="17"/>
              </w:rPr>
              <w:t>GAP-023</w:t>
            </w:r>
          </w:p>
        </w:tc>
        <w:tc>
          <w:tcPr>
            <w:tcW w:type="dxa" w:w="10368"/>
            <w:vAlign w:val="center"/>
            <w:shd w:fill="F2F6F9"/>
          </w:tcPr>
          <w:p>
            <w:pPr>
              <w:spacing w:line="262" w:lineRule="auto"/>
            </w:pPr>
            <w:r/>
            <w:r>
              <w:rPr>
                <w:b w:val="0"/>
                <w:color w:val="182E49"/>
                <w:sz w:val="17"/>
              </w:rPr>
              <w:t>Applicability decision pending</w:t>
            </w:r>
          </w:p>
        </w:tc>
      </w:tr>
      <w:tr>
        <w:trPr>
          <w:cantSplit/>
        </w:trPr>
        <w:tc>
          <w:tcPr>
            <w:tcW w:type="dxa" w:w="2664"/>
            <w:vAlign w:val="center"/>
          </w:tcPr>
          <w:p>
            <w:pPr>
              <w:spacing w:line="262" w:lineRule="auto"/>
            </w:pPr>
            <w:r/>
            <w:r>
              <w:rPr>
                <w:b w:val="0"/>
                <w:color w:val="182E49"/>
                <w:sz w:val="17"/>
              </w:rPr>
              <w:t>5.8</w:t>
            </w:r>
          </w:p>
        </w:tc>
        <w:tc>
          <w:tcPr>
            <w:tcW w:type="dxa" w:w="4968"/>
            <w:vAlign w:val="center"/>
          </w:tcPr>
          <w:p>
            <w:pPr>
              <w:spacing w:line="262" w:lineRule="auto"/>
            </w:pPr>
            <w:r/>
            <w:r>
              <w:rPr>
                <w:b w:val="0"/>
                <w:color w:val="182E49"/>
                <w:sz w:val="17"/>
              </w:rPr>
              <w:t>Sterilization SAL 10^-6</w:t>
            </w:r>
          </w:p>
        </w:tc>
        <w:tc>
          <w:tcPr>
            <w:tcW w:type="dxa" w:w="3744"/>
            <w:vAlign w:val="center"/>
          </w:tcPr>
          <w:p>
            <w:pPr>
              <w:spacing w:line="262" w:lineRule="auto"/>
            </w:pPr>
            <w:r/>
            <w:r>
              <w:rPr>
                <w:b w:val="0"/>
                <w:color w:val="182E49"/>
                <w:sz w:val="17"/>
              </w:rPr>
              <w:t>GAP-017</w:t>
            </w:r>
          </w:p>
        </w:tc>
        <w:tc>
          <w:tcPr>
            <w:tcW w:type="dxa" w:w="10368"/>
            <w:vAlign w:val="center"/>
          </w:tcPr>
          <w:p>
            <w:pPr>
              <w:spacing w:line="262" w:lineRule="auto"/>
            </w:pPr>
            <w:r/>
            <w:r>
              <w:rPr>
                <w:b w:val="0"/>
                <w:color w:val="182E49"/>
                <w:sz w:val="17"/>
              </w:rPr>
              <w:t>WI references sterilization, validation evidence pending</w:t>
            </w:r>
          </w:p>
        </w:tc>
      </w:tr>
      <w:tr>
        <w:trPr>
          <w:cantSplit/>
        </w:trPr>
        <w:tc>
          <w:tcPr>
            <w:tcW w:type="dxa" w:w="2664"/>
            <w:vAlign w:val="center"/>
            <w:shd w:fill="F2F6F9"/>
          </w:tcPr>
          <w:p>
            <w:pPr>
              <w:spacing w:line="262" w:lineRule="auto"/>
            </w:pPr>
            <w:r/>
            <w:r>
              <w:rPr>
                <w:b w:val="0"/>
                <w:color w:val="182E49"/>
                <w:sz w:val="17"/>
              </w:rPr>
              <w:t>6.1</w:t>
            </w:r>
          </w:p>
        </w:tc>
        <w:tc>
          <w:tcPr>
            <w:tcW w:type="dxa" w:w="4968"/>
            <w:vAlign w:val="center"/>
            <w:shd w:fill="F2F6F9"/>
          </w:tcPr>
          <w:p>
            <w:pPr>
              <w:spacing w:line="262" w:lineRule="auto"/>
            </w:pPr>
            <w:r/>
            <w:r>
              <w:rPr>
                <w:b w:val="0"/>
                <w:color w:val="182E49"/>
                <w:sz w:val="17"/>
              </w:rPr>
              <w:t>Kink stability</w:t>
            </w:r>
          </w:p>
        </w:tc>
        <w:tc>
          <w:tcPr>
            <w:tcW w:type="dxa" w:w="3744"/>
            <w:vAlign w:val="center"/>
            <w:shd w:fill="F2F6F9"/>
          </w:tcPr>
          <w:p>
            <w:pPr>
              <w:spacing w:line="262" w:lineRule="auto"/>
            </w:pPr>
            <w:r/>
            <w:r>
              <w:rPr>
                <w:b w:val="0"/>
                <w:color w:val="182E49"/>
                <w:sz w:val="17"/>
              </w:rPr>
              <w:t>GAP-015</w:t>
            </w:r>
          </w:p>
        </w:tc>
        <w:tc>
          <w:tcPr>
            <w:tcW w:type="dxa" w:w="10368"/>
            <w:vAlign w:val="center"/>
            <w:shd w:fill="F2F6F9"/>
          </w:tcPr>
          <w:p>
            <w:pPr>
              <w:spacing w:line="262" w:lineRule="auto"/>
            </w:pPr>
            <w:r/>
            <w:r>
              <w:rPr>
                <w:b w:val="0"/>
                <w:color w:val="182E49"/>
                <w:sz w:val="17"/>
              </w:rPr>
              <w:t>Clinical limit risk-dependent</w:t>
            </w:r>
          </w:p>
        </w:tc>
      </w:tr>
      <w:tr>
        <w:trPr>
          <w:cantSplit/>
        </w:trPr>
        <w:tc>
          <w:tcPr>
            <w:tcW w:type="dxa" w:w="2664"/>
            <w:vAlign w:val="center"/>
          </w:tcPr>
          <w:p>
            <w:pPr>
              <w:spacing w:line="262" w:lineRule="auto"/>
            </w:pPr>
            <w:r/>
            <w:r>
              <w:rPr>
                <w:b w:val="0"/>
                <w:color w:val="182E49"/>
                <w:sz w:val="17"/>
              </w:rPr>
              <w:t>6.2 + Annex B</w:t>
            </w:r>
          </w:p>
        </w:tc>
        <w:tc>
          <w:tcPr>
            <w:tcW w:type="dxa" w:w="4968"/>
            <w:vAlign w:val="center"/>
          </w:tcPr>
          <w:p>
            <w:pPr>
              <w:spacing w:line="262" w:lineRule="auto"/>
            </w:pPr>
            <w:r/>
            <w:r>
              <w:rPr>
                <w:b w:val="0"/>
                <w:color w:val="182E49"/>
                <w:sz w:val="17"/>
              </w:rPr>
              <w:t>Corrosion metallic components</w:t>
            </w:r>
          </w:p>
        </w:tc>
        <w:tc>
          <w:tcPr>
            <w:tcW w:type="dxa" w:w="3744"/>
            <w:vAlign w:val="center"/>
          </w:tcPr>
          <w:p>
            <w:pPr>
              <w:spacing w:line="262" w:lineRule="auto"/>
            </w:pPr>
            <w:r/>
            <w:r>
              <w:rPr>
                <w:b w:val="0"/>
                <w:color w:val="182E49"/>
                <w:sz w:val="17"/>
              </w:rPr>
              <w:t>GAP-009</w:t>
            </w:r>
          </w:p>
        </w:tc>
        <w:tc>
          <w:tcPr>
            <w:tcW w:type="dxa" w:w="10368"/>
            <w:vAlign w:val="center"/>
          </w:tcPr>
          <w:p>
            <w:pPr>
              <w:spacing w:line="262" w:lineRule="auto"/>
            </w:pPr>
            <w:r/>
            <w:r>
              <w:rPr>
                <w:b w:val="0"/>
                <w:color w:val="182E49"/>
                <w:sz w:val="17"/>
              </w:rPr>
              <w:t>Annex named; execution conditions/evidence missing</w:t>
            </w:r>
          </w:p>
        </w:tc>
      </w:tr>
      <w:tr>
        <w:trPr>
          <w:cantSplit/>
        </w:trPr>
        <w:tc>
          <w:tcPr>
            <w:tcW w:type="dxa" w:w="2664"/>
            <w:vAlign w:val="center"/>
            <w:shd w:fill="F2F6F9"/>
          </w:tcPr>
          <w:p>
            <w:pPr>
              <w:spacing w:line="262" w:lineRule="auto"/>
            </w:pPr>
            <w:r/>
            <w:r>
              <w:rPr>
                <w:b w:val="0"/>
                <w:color w:val="182E49"/>
                <w:sz w:val="17"/>
              </w:rPr>
              <w:t>6.3 + Annex C</w:t>
            </w:r>
          </w:p>
        </w:tc>
        <w:tc>
          <w:tcPr>
            <w:tcW w:type="dxa" w:w="4968"/>
            <w:vAlign w:val="center"/>
            <w:shd w:fill="F2F6F9"/>
          </w:tcPr>
          <w:p>
            <w:pPr>
              <w:spacing w:line="262" w:lineRule="auto"/>
            </w:pPr>
            <w:r/>
            <w:r>
              <w:rPr>
                <w:b w:val="0"/>
                <w:color w:val="182E49"/>
                <w:sz w:val="17"/>
              </w:rPr>
              <w:t>Negative-pressure deformation</w:t>
            </w:r>
          </w:p>
        </w:tc>
        <w:tc>
          <w:tcPr>
            <w:tcW w:type="dxa" w:w="3744"/>
            <w:vAlign w:val="center"/>
            <w:shd w:fill="F2F6F9"/>
          </w:tcPr>
          <w:p>
            <w:pPr>
              <w:spacing w:line="262" w:lineRule="auto"/>
            </w:pPr>
            <w:r/>
            <w:r>
              <w:rPr>
                <w:b w:val="0"/>
                <w:color w:val="182E49"/>
                <w:sz w:val="17"/>
              </w:rPr>
              <w:t>GAP-008</w:t>
            </w:r>
          </w:p>
        </w:tc>
        <w:tc>
          <w:tcPr>
            <w:tcW w:type="dxa" w:w="10368"/>
            <w:vAlign w:val="center"/>
            <w:shd w:fill="F2F6F9"/>
          </w:tcPr>
          <w:p>
            <w:pPr>
              <w:spacing w:line="262" w:lineRule="auto"/>
            </w:pPr>
            <w:r/>
            <w:r>
              <w:rPr>
                <w:b w:val="0"/>
                <w:color w:val="182E49"/>
                <w:sz w:val="17"/>
              </w:rPr>
              <w:t>Annex named; max rated pressure/method missing</w:t>
            </w:r>
          </w:p>
        </w:tc>
      </w:tr>
      <w:tr>
        <w:trPr>
          <w:cantSplit/>
        </w:trPr>
        <w:tc>
          <w:tcPr>
            <w:tcW w:type="dxa" w:w="2664"/>
            <w:vAlign w:val="center"/>
          </w:tcPr>
          <w:p>
            <w:pPr>
              <w:spacing w:line="262" w:lineRule="auto"/>
            </w:pPr>
            <w:r/>
            <w:r>
              <w:rPr>
                <w:b w:val="0"/>
                <w:color w:val="182E49"/>
                <w:sz w:val="17"/>
              </w:rPr>
              <w:t>6.4.1 / Table 1 + Annex D</w:t>
            </w:r>
          </w:p>
        </w:tc>
        <w:tc>
          <w:tcPr>
            <w:tcW w:type="dxa" w:w="4968"/>
            <w:vAlign w:val="center"/>
          </w:tcPr>
          <w:p>
            <w:pPr>
              <w:spacing w:line="262" w:lineRule="auto"/>
            </w:pPr>
            <w:r/>
            <w:r>
              <w:rPr>
                <w:b w:val="0"/>
                <w:color w:val="182E49"/>
                <w:sz w:val="17"/>
              </w:rPr>
              <w:t>External connector tensile</w:t>
            </w:r>
          </w:p>
        </w:tc>
        <w:tc>
          <w:tcPr>
            <w:tcW w:type="dxa" w:w="3744"/>
            <w:vAlign w:val="center"/>
          </w:tcPr>
          <w:p>
            <w:pPr>
              <w:spacing w:line="262" w:lineRule="auto"/>
            </w:pPr>
            <w:r/>
            <w:r>
              <w:rPr>
                <w:b w:val="0"/>
                <w:color w:val="182E49"/>
                <w:sz w:val="17"/>
              </w:rPr>
              <w:t>GAP-010</w:t>
            </w:r>
          </w:p>
        </w:tc>
        <w:tc>
          <w:tcPr>
            <w:tcW w:type="dxa" w:w="10368"/>
            <w:vAlign w:val="center"/>
          </w:tcPr>
          <w:p>
            <w:pPr>
              <w:spacing w:line="262" w:lineRule="auto"/>
            </w:pPr>
            <w:r/>
            <w:r>
              <w:rPr>
                <w:b w:val="0"/>
                <w:color w:val="182E49"/>
                <w:sz w:val="17"/>
              </w:rPr>
              <w:t>Quantified limits absent</w:t>
            </w:r>
          </w:p>
        </w:tc>
      </w:tr>
      <w:tr>
        <w:trPr>
          <w:cantSplit/>
        </w:trPr>
        <w:tc>
          <w:tcPr>
            <w:tcW w:type="dxa" w:w="2664"/>
            <w:vAlign w:val="center"/>
            <w:shd w:fill="F2F6F9"/>
          </w:tcPr>
          <w:p>
            <w:pPr>
              <w:spacing w:line="262" w:lineRule="auto"/>
            </w:pPr>
            <w:r/>
            <w:r>
              <w:rPr>
                <w:b w:val="0"/>
                <w:color w:val="182E49"/>
                <w:sz w:val="17"/>
              </w:rPr>
              <w:t>6.4.2 / Table 2 + Annex E</w:t>
            </w:r>
          </w:p>
        </w:tc>
        <w:tc>
          <w:tcPr>
            <w:tcW w:type="dxa" w:w="4968"/>
            <w:vAlign w:val="center"/>
            <w:shd w:fill="F2F6F9"/>
          </w:tcPr>
          <w:p>
            <w:pPr>
              <w:spacing w:line="262" w:lineRule="auto"/>
            </w:pPr>
            <w:r/>
            <w:r>
              <w:rPr>
                <w:b w:val="0"/>
                <w:color w:val="182E49"/>
                <w:sz w:val="17"/>
              </w:rPr>
              <w:t>Tubular/junction tensile</w:t>
            </w:r>
          </w:p>
        </w:tc>
        <w:tc>
          <w:tcPr>
            <w:tcW w:type="dxa" w:w="3744"/>
            <w:vAlign w:val="center"/>
            <w:shd w:fill="F2F6F9"/>
          </w:tcPr>
          <w:p>
            <w:pPr>
              <w:spacing w:line="262" w:lineRule="auto"/>
            </w:pPr>
            <w:r/>
            <w:r>
              <w:rPr>
                <w:b w:val="0"/>
                <w:color w:val="182E49"/>
                <w:sz w:val="17"/>
              </w:rPr>
              <w:t>GAP-011</w:t>
            </w:r>
          </w:p>
        </w:tc>
        <w:tc>
          <w:tcPr>
            <w:tcW w:type="dxa" w:w="10368"/>
            <w:vAlign w:val="center"/>
            <w:shd w:fill="F2F6F9"/>
          </w:tcPr>
          <w:p>
            <w:pPr>
              <w:spacing w:line="262" w:lineRule="auto"/>
            </w:pPr>
            <w:r/>
            <w:r>
              <w:rPr>
                <w:b w:val="0"/>
                <w:color w:val="182E49"/>
                <w:sz w:val="17"/>
              </w:rPr>
              <w:t>Annex named; limits absent</w:t>
            </w:r>
          </w:p>
        </w:tc>
      </w:tr>
      <w:tr>
        <w:trPr>
          <w:cantSplit/>
        </w:trPr>
        <w:tc>
          <w:tcPr>
            <w:tcW w:type="dxa" w:w="2664"/>
            <w:vAlign w:val="center"/>
          </w:tcPr>
          <w:p>
            <w:pPr>
              <w:spacing w:line="262" w:lineRule="auto"/>
            </w:pPr>
            <w:r/>
            <w:r>
              <w:rPr>
                <w:b w:val="0"/>
                <w:color w:val="182E49"/>
                <w:sz w:val="17"/>
              </w:rPr>
              <w:t>6.5 + Annex F</w:t>
            </w:r>
          </w:p>
        </w:tc>
        <w:tc>
          <w:tcPr>
            <w:tcW w:type="dxa" w:w="4968"/>
            <w:vAlign w:val="center"/>
          </w:tcPr>
          <w:p>
            <w:pPr>
              <w:spacing w:line="262" w:lineRule="auto"/>
            </w:pPr>
            <w:r/>
            <w:r>
              <w:rPr>
                <w:b w:val="0"/>
                <w:color w:val="182E49"/>
                <w:sz w:val="17"/>
              </w:rPr>
              <w:t>Collection device impact</w:t>
            </w:r>
          </w:p>
        </w:tc>
        <w:tc>
          <w:tcPr>
            <w:tcW w:type="dxa" w:w="3744"/>
            <w:vAlign w:val="center"/>
          </w:tcPr>
          <w:p>
            <w:pPr>
              <w:spacing w:line="262" w:lineRule="auto"/>
            </w:pPr>
            <w:r/>
            <w:r>
              <w:rPr>
                <w:b w:val="0"/>
                <w:color w:val="182E49"/>
                <w:sz w:val="17"/>
              </w:rPr>
              <w:t>GAP-012</w:t>
            </w:r>
          </w:p>
        </w:tc>
        <w:tc>
          <w:tcPr>
            <w:tcW w:type="dxa" w:w="10368"/>
            <w:vAlign w:val="center"/>
          </w:tcPr>
          <w:p>
            <w:pPr>
              <w:spacing w:line="262" w:lineRule="auto"/>
            </w:pPr>
            <w:r/>
            <w:r>
              <w:rPr>
                <w:b w:val="0"/>
                <w:color w:val="182E49"/>
                <w:sz w:val="17"/>
              </w:rPr>
              <w:t>No test link</w:t>
            </w:r>
          </w:p>
        </w:tc>
      </w:tr>
      <w:tr>
        <w:trPr>
          <w:cantSplit/>
        </w:trPr>
        <w:tc>
          <w:tcPr>
            <w:tcW w:type="dxa" w:w="2664"/>
            <w:vAlign w:val="center"/>
            <w:shd w:fill="F2F6F9"/>
          </w:tcPr>
          <w:p>
            <w:pPr>
              <w:spacing w:line="262" w:lineRule="auto"/>
            </w:pPr>
            <w:r/>
            <w:r>
              <w:rPr>
                <w:b w:val="0"/>
                <w:color w:val="182E49"/>
                <w:sz w:val="17"/>
              </w:rPr>
              <w:t>6.6 + Annex G</w:t>
            </w:r>
          </w:p>
        </w:tc>
        <w:tc>
          <w:tcPr>
            <w:tcW w:type="dxa" w:w="4968"/>
            <w:vAlign w:val="center"/>
            <w:shd w:fill="F2F6F9"/>
          </w:tcPr>
          <w:p>
            <w:pPr>
              <w:spacing w:line="262" w:lineRule="auto"/>
            </w:pPr>
            <w:r/>
            <w:r>
              <w:rPr>
                <w:b w:val="0"/>
                <w:color w:val="182E49"/>
                <w:sz w:val="17"/>
              </w:rPr>
              <w:t>Flow rate if claimed</w:t>
            </w:r>
          </w:p>
        </w:tc>
        <w:tc>
          <w:tcPr>
            <w:tcW w:type="dxa" w:w="3744"/>
            <w:vAlign w:val="center"/>
            <w:shd w:fill="F2F6F9"/>
          </w:tcPr>
          <w:p>
            <w:pPr>
              <w:spacing w:line="262" w:lineRule="auto"/>
            </w:pPr>
            <w:r/>
            <w:r>
              <w:rPr>
                <w:b w:val="0"/>
                <w:color w:val="182E49"/>
                <w:sz w:val="17"/>
              </w:rPr>
              <w:t>GAP-014</w:t>
            </w:r>
          </w:p>
        </w:tc>
        <w:tc>
          <w:tcPr>
            <w:tcW w:type="dxa" w:w="10368"/>
            <w:vAlign w:val="center"/>
            <w:shd w:fill="F2F6F9"/>
          </w:tcPr>
          <w:p>
            <w:pPr>
              <w:spacing w:line="262" w:lineRule="auto"/>
            </w:pPr>
            <w:r/>
            <w:r>
              <w:rPr>
                <w:b w:val="0"/>
                <w:color w:val="182E49"/>
                <w:sz w:val="17"/>
              </w:rPr>
              <w:t>Claim applicability pending</w:t>
            </w:r>
          </w:p>
        </w:tc>
      </w:tr>
      <w:tr>
        <w:trPr>
          <w:cantSplit/>
        </w:trPr>
        <w:tc>
          <w:tcPr>
            <w:tcW w:type="dxa" w:w="2664"/>
            <w:vAlign w:val="center"/>
          </w:tcPr>
          <w:p>
            <w:pPr>
              <w:spacing w:line="262" w:lineRule="auto"/>
            </w:pPr>
            <w:r/>
            <w:r>
              <w:rPr>
                <w:b w:val="0"/>
                <w:color w:val="182E49"/>
                <w:sz w:val="17"/>
              </w:rPr>
              <w:t>6.7</w:t>
            </w:r>
          </w:p>
        </w:tc>
        <w:tc>
          <w:tcPr>
            <w:tcW w:type="dxa" w:w="4968"/>
            <w:vAlign w:val="center"/>
          </w:tcPr>
          <w:p>
            <w:pPr>
              <w:spacing w:line="262" w:lineRule="auto"/>
            </w:pPr>
            <w:r/>
            <w:r>
              <w:rPr>
                <w:b w:val="0"/>
                <w:color w:val="182E49"/>
                <w:sz w:val="17"/>
              </w:rPr>
              <w:t>Retention means other than balloon</w:t>
            </w:r>
          </w:p>
        </w:tc>
        <w:tc>
          <w:tcPr>
            <w:tcW w:type="dxa" w:w="3744"/>
            <w:vAlign w:val="center"/>
          </w:tcPr>
          <w:p>
            <w:pPr>
              <w:spacing w:line="262" w:lineRule="auto"/>
            </w:pPr>
            <w:r/>
            <w:r>
              <w:rPr>
                <w:b w:val="0"/>
                <w:color w:val="182E49"/>
                <w:sz w:val="17"/>
              </w:rPr>
              <w:t>GAP-015</w:t>
            </w:r>
          </w:p>
        </w:tc>
        <w:tc>
          <w:tcPr>
            <w:tcW w:type="dxa" w:w="10368"/>
            <w:vAlign w:val="center"/>
          </w:tcPr>
          <w:p>
            <w:pPr>
              <w:spacing w:line="262" w:lineRule="auto"/>
            </w:pPr>
            <w:r/>
            <w:r>
              <w:rPr>
                <w:b w:val="0"/>
                <w:color w:val="182E49"/>
                <w:sz w:val="17"/>
              </w:rPr>
              <w:t>Applicability based on design; no retention feature shown</w:t>
            </w:r>
          </w:p>
        </w:tc>
      </w:tr>
      <w:tr>
        <w:trPr>
          <w:cantSplit/>
        </w:trPr>
        <w:tc>
          <w:tcPr>
            <w:tcW w:type="dxa" w:w="2664"/>
            <w:vAlign w:val="center"/>
            <w:shd w:fill="F2F6F9"/>
          </w:tcPr>
          <w:p>
            <w:pPr>
              <w:spacing w:line="262" w:lineRule="auto"/>
            </w:pPr>
            <w:r/>
            <w:r>
              <w:rPr>
                <w:b w:val="0"/>
                <w:color w:val="182E49"/>
                <w:sz w:val="17"/>
              </w:rPr>
              <w:t>6.8–6.10 + Annex I–L</w:t>
            </w:r>
          </w:p>
        </w:tc>
        <w:tc>
          <w:tcPr>
            <w:tcW w:type="dxa" w:w="4968"/>
            <w:vAlign w:val="center"/>
            <w:shd w:fill="F2F6F9"/>
          </w:tcPr>
          <w:p>
            <w:pPr>
              <w:spacing w:line="262" w:lineRule="auto"/>
            </w:pPr>
            <w:r/>
            <w:r>
              <w:rPr>
                <w:b w:val="0"/>
                <w:color w:val="182E49"/>
                <w:sz w:val="17"/>
              </w:rPr>
              <w:t>Catheter balloon features</w:t>
            </w:r>
          </w:p>
        </w:tc>
        <w:tc>
          <w:tcPr>
            <w:tcW w:type="dxa" w:w="3744"/>
            <w:vAlign w:val="center"/>
            <w:shd w:fill="F2F6F9"/>
          </w:tcPr>
          <w:p>
            <w:pPr>
              <w:spacing w:line="262" w:lineRule="auto"/>
            </w:pPr>
            <w:r/>
            <w:r>
              <w:rPr>
                <w:b w:val="0"/>
                <w:color w:val="182E49"/>
                <w:sz w:val="17"/>
              </w:rPr>
              <w:t>N/A pending design proof</w:t>
            </w:r>
          </w:p>
        </w:tc>
        <w:tc>
          <w:tcPr>
            <w:tcW w:type="dxa" w:w="10368"/>
            <w:vAlign w:val="center"/>
            <w:shd w:fill="F2F6F9"/>
          </w:tcPr>
          <w:p>
            <w:pPr>
              <w:spacing w:line="262" w:lineRule="auto"/>
            </w:pPr>
            <w:r/>
            <w:r>
              <w:rPr>
                <w:b w:val="0"/>
                <w:color w:val="182E49"/>
                <w:sz w:val="17"/>
              </w:rPr>
              <w:t>No balloon catheter represented by supplied WI; bellows pump is not a catheter balloon</w:t>
            </w:r>
          </w:p>
        </w:tc>
      </w:tr>
      <w:tr>
        <w:trPr>
          <w:cantSplit/>
        </w:trPr>
        <w:tc>
          <w:tcPr>
            <w:tcW w:type="dxa" w:w="2664"/>
            <w:vAlign w:val="center"/>
          </w:tcPr>
          <w:p>
            <w:pPr>
              <w:spacing w:line="262" w:lineRule="auto"/>
            </w:pPr>
            <w:r/>
            <w:r>
              <w:rPr>
                <w:b w:val="0"/>
                <w:color w:val="182E49"/>
                <w:sz w:val="17"/>
              </w:rPr>
              <w:t>6.11 + Annex M</w:t>
            </w:r>
          </w:p>
        </w:tc>
        <w:tc>
          <w:tcPr>
            <w:tcW w:type="dxa" w:w="4968"/>
            <w:vAlign w:val="center"/>
          </w:tcPr>
          <w:p>
            <w:pPr>
              <w:spacing w:line="262" w:lineRule="auto"/>
            </w:pPr>
            <w:r/>
            <w:r>
              <w:rPr>
                <w:b w:val="0"/>
                <w:color w:val="182E49"/>
                <w:sz w:val="17"/>
              </w:rPr>
              <w:t>Aspiration/vacuum leak</w:t>
            </w:r>
          </w:p>
        </w:tc>
        <w:tc>
          <w:tcPr>
            <w:tcW w:type="dxa" w:w="3744"/>
            <w:vAlign w:val="center"/>
          </w:tcPr>
          <w:p>
            <w:pPr>
              <w:spacing w:line="262" w:lineRule="auto"/>
            </w:pPr>
            <w:r/>
            <w:r>
              <w:rPr>
                <w:b w:val="0"/>
                <w:color w:val="182E49"/>
                <w:sz w:val="17"/>
              </w:rPr>
              <w:t>GAP-013 / GAP-022</w:t>
            </w:r>
          </w:p>
        </w:tc>
        <w:tc>
          <w:tcPr>
            <w:tcW w:type="dxa" w:w="10368"/>
            <w:vAlign w:val="center"/>
          </w:tcPr>
          <w:p>
            <w:pPr>
              <w:spacing w:line="262" w:lineRule="auto"/>
            </w:pPr>
            <w:r/>
            <w:r>
              <w:rPr>
                <w:b w:val="0"/>
                <w:color w:val="182E49"/>
                <w:sz w:val="17"/>
              </w:rPr>
              <w:t>Manual screen not enough to confirm method</w:t>
            </w:r>
          </w:p>
        </w:tc>
      </w:tr>
      <w:tr>
        <w:trPr>
          <w:cantSplit/>
        </w:trPr>
        <w:tc>
          <w:tcPr>
            <w:tcW w:type="dxa" w:w="2664"/>
            <w:vAlign w:val="center"/>
            <w:shd w:fill="F2F6F9"/>
          </w:tcPr>
          <w:p>
            <w:pPr>
              <w:spacing w:line="262" w:lineRule="auto"/>
            </w:pPr>
            <w:r/>
            <w:r>
              <w:rPr>
                <w:b w:val="0"/>
                <w:color w:val="182E49"/>
                <w:sz w:val="17"/>
              </w:rPr>
              <w:t>7.1–7.2</w:t>
            </w:r>
          </w:p>
        </w:tc>
        <w:tc>
          <w:tcPr>
            <w:tcW w:type="dxa" w:w="4968"/>
            <w:vAlign w:val="center"/>
            <w:shd w:fill="F2F6F9"/>
          </w:tcPr>
          <w:p>
            <w:pPr>
              <w:spacing w:line="262" w:lineRule="auto"/>
            </w:pPr>
            <w:r/>
            <w:r>
              <w:rPr>
                <w:b w:val="0"/>
                <w:color w:val="182E49"/>
                <w:sz w:val="17"/>
              </w:rPr>
              <w:t>Manufacturer marking/packaging</w:t>
            </w:r>
          </w:p>
        </w:tc>
        <w:tc>
          <w:tcPr>
            <w:tcW w:type="dxa" w:w="3744"/>
            <w:vAlign w:val="center"/>
            <w:shd w:fill="F2F6F9"/>
          </w:tcPr>
          <w:p>
            <w:pPr>
              <w:spacing w:line="262" w:lineRule="auto"/>
            </w:pPr>
            <w:r/>
            <w:r>
              <w:rPr>
                <w:b w:val="0"/>
                <w:color w:val="182E49"/>
                <w:sz w:val="17"/>
              </w:rPr>
              <w:t>GAP-016 / GAP-018 / GAP-022</w:t>
            </w:r>
          </w:p>
        </w:tc>
        <w:tc>
          <w:tcPr>
            <w:tcW w:type="dxa" w:w="10368"/>
            <w:vAlign w:val="center"/>
            <w:shd w:fill="F2F6F9"/>
          </w:tcPr>
          <w:p>
            <w:pPr>
              <w:spacing w:line="262" w:lineRule="auto"/>
            </w:pPr>
            <w:r/>
            <w:r>
              <w:rPr>
                <w:b w:val="0"/>
                <w:color w:val="182E49"/>
                <w:sz w:val="17"/>
              </w:rPr>
              <w:t>Partial WI; label proof missing</w:t>
            </w:r>
          </w:p>
        </w:tc>
      </w:tr>
      <w:tr>
        <w:trPr>
          <w:cantSplit/>
        </w:trPr>
        <w:tc>
          <w:tcPr>
            <w:tcW w:type="dxa" w:w="2664"/>
            <w:vAlign w:val="center"/>
          </w:tcPr>
          <w:p>
            <w:pPr>
              <w:spacing w:line="262" w:lineRule="auto"/>
            </w:pPr>
            <w:r/>
            <w:r>
              <w:rPr>
                <w:b w:val="0"/>
                <w:color w:val="182E49"/>
                <w:sz w:val="17"/>
              </w:rPr>
              <w:t>7.3</w:t>
            </w:r>
          </w:p>
        </w:tc>
        <w:tc>
          <w:tcPr>
            <w:tcW w:type="dxa" w:w="4968"/>
            <w:vAlign w:val="center"/>
          </w:tcPr>
          <w:p>
            <w:pPr>
              <w:spacing w:line="262" w:lineRule="auto"/>
            </w:pPr>
            <w:r/>
            <w:r>
              <w:rPr>
                <w:b w:val="0"/>
                <w:color w:val="182E49"/>
                <w:sz w:val="17"/>
              </w:rPr>
              <w:t>Separate IFU (if supplied)</w:t>
            </w:r>
          </w:p>
        </w:tc>
        <w:tc>
          <w:tcPr>
            <w:tcW w:type="dxa" w:w="3744"/>
            <w:vAlign w:val="center"/>
          </w:tcPr>
          <w:p>
            <w:pPr>
              <w:spacing w:line="262" w:lineRule="auto"/>
            </w:pPr>
            <w:r/>
            <w:r>
              <w:rPr>
                <w:b w:val="0"/>
                <w:color w:val="182E49"/>
                <w:sz w:val="17"/>
              </w:rPr>
              <w:t>GAP-019</w:t>
            </w:r>
          </w:p>
        </w:tc>
        <w:tc>
          <w:tcPr>
            <w:tcW w:type="dxa" w:w="10368"/>
            <w:vAlign w:val="center"/>
          </w:tcPr>
          <w:p>
            <w:pPr>
              <w:spacing w:line="262" w:lineRule="auto"/>
            </w:pPr>
            <w:r/>
            <w:r>
              <w:rPr>
                <w:b w:val="0"/>
                <w:color w:val="182E49"/>
                <w:sz w:val="17"/>
              </w:rPr>
              <w:t>IFU source unavailable</w:t>
            </w:r>
          </w:p>
        </w:tc>
      </w:tr>
    </w:tbl>
    <w:p>
      <w:pPr>
        <w:pStyle w:val="Heading1"/>
      </w:pPr>
      <w:r>
        <w:t>5. Identified Gaps (initial findings)</w:t>
      </w:r>
    </w:p>
    <w:tbl>
      <w:tblPr>
        <w:tblStyle w:val="TableGrid"/>
        <w:tblW w:type="auto" w:w="0"/>
        <w:jc w:val="center"/>
        <w:tblLayout w:type="fixed"/>
        <w:tblLook w:firstColumn="1" w:firstRow="1" w:lastColumn="0" w:lastRow="0" w:noHBand="0" w:noVBand="1" w:val="04A0"/>
      </w:tblPr>
      <w:tblGrid>
        <w:gridCol w:w="7325"/>
        <w:gridCol w:w="7325"/>
        <w:gridCol w:w="7325"/>
      </w:tblGrid>
      <w:tr>
        <w:trPr>
          <w:tblHeader w:val="true"/>
        </w:trPr>
        <w:tc>
          <w:tcPr>
            <w:tcW w:type="dxa" w:w="2160"/>
            <w:vAlign w:val="center"/>
            <w:shd w:fill="182E49"/>
          </w:tcPr>
          <w:p>
            <w:pPr>
              <w:spacing w:line="262" w:lineRule="auto"/>
            </w:pPr>
            <w:r>
              <w:rPr>
                <w:color w:val="FFFFFF"/>
              </w:rPr>
            </w:r>
            <w:r>
              <w:rPr>
                <w:b/>
                <w:color w:val="FFFFFF"/>
                <w:sz w:val="17"/>
              </w:rPr>
              <w:t>Gap</w:t>
            </w:r>
          </w:p>
        </w:tc>
        <w:tc>
          <w:tcPr>
            <w:tcW w:type="dxa" w:w="1440"/>
            <w:vAlign w:val="center"/>
            <w:shd w:fill="182E49"/>
          </w:tcPr>
          <w:p>
            <w:pPr>
              <w:spacing w:line="262" w:lineRule="auto"/>
            </w:pPr>
            <w:r>
              <w:rPr>
                <w:color w:val="FFFFFF"/>
              </w:rPr>
            </w:r>
            <w:r>
              <w:rPr>
                <w:b/>
                <w:color w:val="FFFFFF"/>
                <w:sz w:val="17"/>
              </w:rPr>
              <w:t>Priority</w:t>
            </w:r>
          </w:p>
        </w:tc>
        <w:tc>
          <w:tcPr>
            <w:tcW w:type="dxa" w:w="18144"/>
            <w:vAlign w:val="center"/>
            <w:shd w:fill="182E49"/>
          </w:tcPr>
          <w:p>
            <w:pPr>
              <w:spacing w:line="262" w:lineRule="auto"/>
            </w:pPr>
            <w:r>
              <w:rPr>
                <w:color w:val="FFFFFF"/>
              </w:rPr>
            </w:r>
            <w:r>
              <w:rPr>
                <w:b/>
                <w:color w:val="FFFFFF"/>
                <w:sz w:val="17"/>
              </w:rPr>
              <w:t>Technical deficiency</w:t>
            </w:r>
          </w:p>
        </w:tc>
      </w:tr>
      <w:tr>
        <w:trPr>
          <w:cantSplit/>
        </w:trPr>
        <w:tc>
          <w:tcPr>
            <w:tcW w:type="dxa" w:w="2160"/>
            <w:vAlign w:val="center"/>
          </w:tcPr>
          <w:p>
            <w:pPr>
              <w:spacing w:line="262" w:lineRule="auto"/>
            </w:pPr>
            <w:r/>
            <w:r>
              <w:rPr>
                <w:b w:val="0"/>
                <w:color w:val="182E49"/>
                <w:sz w:val="17"/>
              </w:rPr>
              <w:t>GAP-001</w:t>
            </w:r>
          </w:p>
        </w:tc>
        <w:tc>
          <w:tcPr>
            <w:tcW w:type="dxa" w:w="1440"/>
            <w:vAlign w:val="center"/>
          </w:tcPr>
          <w:p>
            <w:pPr>
              <w:spacing w:line="262" w:lineRule="auto"/>
            </w:pPr>
            <w:r/>
            <w:r>
              <w:rPr>
                <w:b w:val="0"/>
                <w:color w:val="182E49"/>
                <w:sz w:val="17"/>
              </w:rPr>
              <w:t>P2</w:t>
            </w:r>
          </w:p>
        </w:tc>
        <w:tc>
          <w:tcPr>
            <w:tcW w:type="dxa" w:w="18144"/>
            <w:vAlign w:val="center"/>
          </w:tcPr>
          <w:p>
            <w:pPr>
              <w:spacing w:line="262" w:lineRule="auto"/>
            </w:pPr>
            <w:r/>
            <w:r>
              <w:rPr>
                <w:b w:val="0"/>
                <w:color w:val="182E49"/>
                <w:sz w:val="17"/>
              </w:rPr>
              <w:t>Unreconciled controlled document identity</w:t>
            </w:r>
          </w:p>
        </w:tc>
      </w:tr>
      <w:tr>
        <w:trPr>
          <w:cantSplit/>
        </w:trPr>
        <w:tc>
          <w:tcPr>
            <w:tcW w:type="dxa" w:w="2160"/>
            <w:vAlign w:val="center"/>
            <w:shd w:fill="F2F6F9"/>
          </w:tcPr>
          <w:p>
            <w:pPr>
              <w:spacing w:line="262" w:lineRule="auto"/>
            </w:pPr>
            <w:r/>
            <w:r>
              <w:rPr>
                <w:b w:val="0"/>
                <w:color w:val="182E49"/>
                <w:sz w:val="17"/>
              </w:rPr>
              <w:t>GAP-002</w:t>
            </w:r>
          </w:p>
        </w:tc>
        <w:tc>
          <w:tcPr>
            <w:tcW w:type="dxa" w:w="1440"/>
            <w:vAlign w:val="center"/>
            <w:shd w:fill="F2F6F9"/>
          </w:tcPr>
          <w:p>
            <w:pPr>
              <w:spacing w:line="262" w:lineRule="auto"/>
            </w:pPr>
            <w:r/>
            <w:r>
              <w:rPr>
                <w:b w:val="0"/>
                <w:color w:val="182E49"/>
                <w:sz w:val="17"/>
              </w:rPr>
              <w:t>P1</w:t>
            </w:r>
          </w:p>
        </w:tc>
        <w:tc>
          <w:tcPr>
            <w:tcW w:type="dxa" w:w="18144"/>
            <w:vAlign w:val="center"/>
            <w:shd w:fill="F2F6F9"/>
          </w:tcPr>
          <w:p>
            <w:pPr>
              <w:spacing w:line="262" w:lineRule="auto"/>
            </w:pPr>
            <w:r/>
            <w:r>
              <w:rPr>
                <w:b w:val="0"/>
                <w:color w:val="182E49"/>
                <w:sz w:val="17"/>
              </w:rPr>
              <w:t>Intended performance and risk file are not linked</w:t>
            </w:r>
          </w:p>
        </w:tc>
      </w:tr>
      <w:tr>
        <w:trPr>
          <w:cantSplit/>
        </w:trPr>
        <w:tc>
          <w:tcPr>
            <w:tcW w:type="dxa" w:w="2160"/>
            <w:vAlign w:val="center"/>
          </w:tcPr>
          <w:p>
            <w:pPr>
              <w:spacing w:line="262" w:lineRule="auto"/>
            </w:pPr>
            <w:r/>
            <w:r>
              <w:rPr>
                <w:b w:val="0"/>
                <w:color w:val="182E49"/>
                <w:sz w:val="17"/>
              </w:rPr>
              <w:t>GAP-003</w:t>
            </w:r>
          </w:p>
        </w:tc>
        <w:tc>
          <w:tcPr>
            <w:tcW w:type="dxa" w:w="1440"/>
            <w:vAlign w:val="center"/>
          </w:tcPr>
          <w:p>
            <w:pPr>
              <w:spacing w:line="262" w:lineRule="auto"/>
            </w:pPr>
            <w:r/>
            <w:r>
              <w:rPr>
                <w:b w:val="0"/>
                <w:color w:val="182E49"/>
                <w:sz w:val="17"/>
              </w:rPr>
              <w:t>P1</w:t>
            </w:r>
          </w:p>
        </w:tc>
        <w:tc>
          <w:tcPr>
            <w:tcW w:type="dxa" w:w="18144"/>
            <w:vAlign w:val="center"/>
          </w:tcPr>
          <w:p>
            <w:pPr>
              <w:spacing w:line="262" w:lineRule="auto"/>
            </w:pPr>
            <w:r/>
            <w:r>
              <w:rPr>
                <w:b w:val="0"/>
                <w:color w:val="182E49"/>
                <w:sz w:val="17"/>
              </w:rPr>
              <w:t>Biocompatibility evidence linkage absent</w:t>
            </w:r>
          </w:p>
        </w:tc>
      </w:tr>
      <w:tr>
        <w:trPr>
          <w:cantSplit/>
        </w:trPr>
        <w:tc>
          <w:tcPr>
            <w:tcW w:type="dxa" w:w="2160"/>
            <w:vAlign w:val="center"/>
            <w:shd w:fill="F2F6F9"/>
          </w:tcPr>
          <w:p>
            <w:pPr>
              <w:spacing w:line="262" w:lineRule="auto"/>
            </w:pPr>
            <w:r/>
            <w:r>
              <w:rPr>
                <w:b w:val="0"/>
                <w:color w:val="182E49"/>
                <w:sz w:val="17"/>
              </w:rPr>
              <w:t>GAP-004</w:t>
            </w:r>
          </w:p>
        </w:tc>
        <w:tc>
          <w:tcPr>
            <w:tcW w:type="dxa" w:w="1440"/>
            <w:vAlign w:val="center"/>
            <w:shd w:fill="F2F6F9"/>
          </w:tcPr>
          <w:p>
            <w:pPr>
              <w:spacing w:line="262" w:lineRule="auto"/>
            </w:pPr>
            <w:r/>
            <w:r>
              <w:rPr>
                <w:b w:val="0"/>
                <w:color w:val="182E49"/>
                <w:sz w:val="17"/>
              </w:rPr>
              <w:t>P2</w:t>
            </w:r>
          </w:p>
        </w:tc>
        <w:tc>
          <w:tcPr>
            <w:tcW w:type="dxa" w:w="18144"/>
            <w:vAlign w:val="center"/>
            <w:shd w:fill="F2F6F9"/>
          </w:tcPr>
          <w:p>
            <w:pPr>
              <w:spacing w:line="262" w:lineRule="auto"/>
            </w:pPr>
            <w:r/>
            <w:r>
              <w:rPr>
                <w:b w:val="0"/>
                <w:color w:val="182E49"/>
                <w:sz w:val="17"/>
              </w:rPr>
              <w:t>Detectability status not governed by risk decision</w:t>
            </w:r>
          </w:p>
        </w:tc>
      </w:tr>
      <w:tr>
        <w:trPr>
          <w:cantSplit/>
        </w:trPr>
        <w:tc>
          <w:tcPr>
            <w:tcW w:type="dxa" w:w="2160"/>
            <w:vAlign w:val="center"/>
          </w:tcPr>
          <w:p>
            <w:pPr>
              <w:spacing w:line="262" w:lineRule="auto"/>
            </w:pPr>
            <w:r/>
            <w:r>
              <w:rPr>
                <w:b w:val="0"/>
                <w:color w:val="182E49"/>
                <w:sz w:val="17"/>
              </w:rPr>
              <w:t>GAP-005</w:t>
            </w:r>
          </w:p>
        </w:tc>
        <w:tc>
          <w:tcPr>
            <w:tcW w:type="dxa" w:w="1440"/>
            <w:vAlign w:val="center"/>
          </w:tcPr>
          <w:p>
            <w:pPr>
              <w:spacing w:line="262" w:lineRule="auto"/>
            </w:pPr>
            <w:r/>
            <w:r>
              <w:rPr>
                <w:b w:val="0"/>
                <w:color w:val="182E49"/>
                <w:sz w:val="17"/>
              </w:rPr>
              <w:t>P2</w:t>
            </w:r>
          </w:p>
        </w:tc>
        <w:tc>
          <w:tcPr>
            <w:tcW w:type="dxa" w:w="18144"/>
            <w:vAlign w:val="center"/>
          </w:tcPr>
          <w:p>
            <w:pPr>
              <w:spacing w:line="262" w:lineRule="auto"/>
            </w:pPr>
            <w:r/>
            <w:r>
              <w:rPr>
                <w:b w:val="0"/>
                <w:color w:val="182E49"/>
                <w:sz w:val="17"/>
              </w:rPr>
              <w:t>Surface finish method does not reflect risk-based magnification</w:t>
            </w:r>
          </w:p>
        </w:tc>
      </w:tr>
      <w:tr>
        <w:trPr>
          <w:cantSplit/>
        </w:trPr>
        <w:tc>
          <w:tcPr>
            <w:tcW w:type="dxa" w:w="2160"/>
            <w:vAlign w:val="center"/>
            <w:shd w:fill="F2F6F9"/>
          </w:tcPr>
          <w:p>
            <w:pPr>
              <w:spacing w:line="262" w:lineRule="auto"/>
            </w:pPr>
            <w:r/>
            <w:r>
              <w:rPr>
                <w:b w:val="0"/>
                <w:color w:val="182E49"/>
                <w:sz w:val="17"/>
              </w:rPr>
              <w:t>GAP-006</w:t>
            </w:r>
          </w:p>
        </w:tc>
        <w:tc>
          <w:tcPr>
            <w:tcW w:type="dxa" w:w="1440"/>
            <w:vAlign w:val="center"/>
            <w:shd w:fill="F2F6F9"/>
          </w:tcPr>
          <w:p>
            <w:pPr>
              <w:spacing w:line="262" w:lineRule="auto"/>
            </w:pPr>
            <w:r/>
            <w:r>
              <w:rPr>
                <w:b w:val="0"/>
                <w:color w:val="182E49"/>
                <w:sz w:val="17"/>
              </w:rPr>
              <w:t>P2</w:t>
            </w:r>
          </w:p>
        </w:tc>
        <w:tc>
          <w:tcPr>
            <w:tcW w:type="dxa" w:w="18144"/>
            <w:vAlign w:val="center"/>
            <w:shd w:fill="F2F6F9"/>
          </w:tcPr>
          <w:p>
            <w:pPr>
              <w:spacing w:line="262" w:lineRule="auto"/>
            </w:pPr>
            <w:r/>
            <w:r>
              <w:rPr>
                <w:b w:val="0"/>
                <w:color w:val="182E49"/>
                <w:sz w:val="17"/>
              </w:rPr>
              <w:t>Catheter size designation and OD tolerances not controlled</w:t>
            </w:r>
          </w:p>
        </w:tc>
      </w:tr>
      <w:tr>
        <w:trPr>
          <w:cantSplit/>
        </w:trPr>
        <w:tc>
          <w:tcPr>
            <w:tcW w:type="dxa" w:w="2160"/>
            <w:vAlign w:val="center"/>
          </w:tcPr>
          <w:p>
            <w:pPr>
              <w:spacing w:line="262" w:lineRule="auto"/>
            </w:pPr>
            <w:r/>
            <w:r>
              <w:rPr>
                <w:b w:val="0"/>
                <w:color w:val="182E49"/>
                <w:sz w:val="17"/>
              </w:rPr>
              <w:t>GAP-007</w:t>
            </w:r>
          </w:p>
        </w:tc>
        <w:tc>
          <w:tcPr>
            <w:tcW w:type="dxa" w:w="1440"/>
            <w:vAlign w:val="center"/>
          </w:tcPr>
          <w:p>
            <w:pPr>
              <w:spacing w:line="262" w:lineRule="auto"/>
            </w:pPr>
            <w:r/>
            <w:r>
              <w:rPr>
                <w:b w:val="0"/>
                <w:color w:val="182E49"/>
                <w:sz w:val="17"/>
              </w:rPr>
              <w:t>P1</w:t>
            </w:r>
          </w:p>
        </w:tc>
        <w:tc>
          <w:tcPr>
            <w:tcW w:type="dxa" w:w="18144"/>
            <w:vAlign w:val="center"/>
          </w:tcPr>
          <w:p>
            <w:pPr>
              <w:spacing w:line="262" w:lineRule="auto"/>
            </w:pPr>
            <w:r/>
            <w:r>
              <w:rPr>
                <w:b w:val="0"/>
                <w:color w:val="182E49"/>
                <w:sz w:val="17"/>
              </w:rPr>
              <w:t>Misconnection hazards lack verified risk review</w:t>
            </w:r>
          </w:p>
        </w:tc>
      </w:tr>
      <w:tr>
        <w:trPr>
          <w:cantSplit/>
        </w:trPr>
        <w:tc>
          <w:tcPr>
            <w:tcW w:type="dxa" w:w="2160"/>
            <w:vAlign w:val="center"/>
            <w:shd w:fill="F2F6F9"/>
          </w:tcPr>
          <w:p>
            <w:pPr>
              <w:spacing w:line="262" w:lineRule="auto"/>
            </w:pPr>
            <w:r/>
            <w:r>
              <w:rPr>
                <w:b w:val="0"/>
                <w:color w:val="182E49"/>
                <w:sz w:val="17"/>
              </w:rPr>
              <w:t>GAP-008</w:t>
            </w:r>
          </w:p>
        </w:tc>
        <w:tc>
          <w:tcPr>
            <w:tcW w:type="dxa" w:w="1440"/>
            <w:vAlign w:val="center"/>
            <w:shd w:fill="F2F6F9"/>
          </w:tcPr>
          <w:p>
            <w:pPr>
              <w:spacing w:line="262" w:lineRule="auto"/>
            </w:pPr>
            <w:r/>
            <w:r>
              <w:rPr>
                <w:b w:val="0"/>
                <w:color w:val="182E49"/>
                <w:sz w:val="17"/>
              </w:rPr>
              <w:t>P1</w:t>
            </w:r>
          </w:p>
        </w:tc>
        <w:tc>
          <w:tcPr>
            <w:tcW w:type="dxa" w:w="18144"/>
            <w:vAlign w:val="center"/>
            <w:shd w:fill="F2F6F9"/>
          </w:tcPr>
          <w:p>
            <w:pPr>
              <w:spacing w:line="262" w:lineRule="auto"/>
            </w:pPr>
            <w:r/>
            <w:r>
              <w:rPr>
                <w:b w:val="0"/>
                <w:color w:val="182E49"/>
                <w:sz w:val="17"/>
              </w:rPr>
              <w:t>Maximum vacuum deformation test not operationally defined</w:t>
            </w:r>
          </w:p>
        </w:tc>
      </w:tr>
      <w:tr>
        <w:trPr>
          <w:cantSplit/>
        </w:trPr>
        <w:tc>
          <w:tcPr>
            <w:tcW w:type="dxa" w:w="2160"/>
            <w:vAlign w:val="center"/>
          </w:tcPr>
          <w:p>
            <w:pPr>
              <w:spacing w:line="262" w:lineRule="auto"/>
            </w:pPr>
            <w:r/>
            <w:r>
              <w:rPr>
                <w:b w:val="0"/>
                <w:color w:val="182E49"/>
                <w:sz w:val="17"/>
              </w:rPr>
              <w:t>GAP-009</w:t>
            </w:r>
          </w:p>
        </w:tc>
        <w:tc>
          <w:tcPr>
            <w:tcW w:type="dxa" w:w="1440"/>
            <w:vAlign w:val="center"/>
          </w:tcPr>
          <w:p>
            <w:pPr>
              <w:spacing w:line="262" w:lineRule="auto"/>
            </w:pPr>
            <w:r/>
            <w:r>
              <w:rPr>
                <w:b w:val="0"/>
                <w:color w:val="182E49"/>
                <w:sz w:val="17"/>
              </w:rPr>
              <w:t>P2</w:t>
            </w:r>
          </w:p>
        </w:tc>
        <w:tc>
          <w:tcPr>
            <w:tcW w:type="dxa" w:w="18144"/>
            <w:vAlign w:val="center"/>
          </w:tcPr>
          <w:p>
            <w:pPr>
              <w:spacing w:line="262" w:lineRule="auto"/>
            </w:pPr>
            <w:r/>
            <w:r>
              <w:rPr>
                <w:b w:val="0"/>
                <w:color w:val="182E49"/>
                <w:sz w:val="17"/>
              </w:rPr>
              <w:t>Corrosion Annex B procedure and evidence unspecified</w:t>
            </w:r>
          </w:p>
        </w:tc>
      </w:tr>
      <w:tr>
        <w:trPr>
          <w:cantSplit/>
        </w:trPr>
        <w:tc>
          <w:tcPr>
            <w:tcW w:type="dxa" w:w="2160"/>
            <w:vAlign w:val="center"/>
            <w:shd w:fill="F2F6F9"/>
          </w:tcPr>
          <w:p>
            <w:pPr>
              <w:spacing w:line="262" w:lineRule="auto"/>
            </w:pPr>
            <w:r/>
            <w:r>
              <w:rPr>
                <w:b w:val="0"/>
                <w:color w:val="182E49"/>
                <w:sz w:val="17"/>
              </w:rPr>
              <w:t>GAP-010</w:t>
            </w:r>
          </w:p>
        </w:tc>
        <w:tc>
          <w:tcPr>
            <w:tcW w:type="dxa" w:w="1440"/>
            <w:vAlign w:val="center"/>
            <w:shd w:fill="F2F6F9"/>
          </w:tcPr>
          <w:p>
            <w:pPr>
              <w:spacing w:line="262" w:lineRule="auto"/>
            </w:pPr>
            <w:r/>
            <w:r>
              <w:rPr>
                <w:b w:val="0"/>
                <w:color w:val="182E49"/>
                <w:sz w:val="17"/>
              </w:rPr>
              <w:t>P1</w:t>
            </w:r>
          </w:p>
        </w:tc>
        <w:tc>
          <w:tcPr>
            <w:tcW w:type="dxa" w:w="18144"/>
            <w:vAlign w:val="center"/>
            <w:shd w:fill="F2F6F9"/>
          </w:tcPr>
          <w:p>
            <w:pPr>
              <w:spacing w:line="262" w:lineRule="auto"/>
            </w:pPr>
            <w:r/>
            <w:r>
              <w:rPr>
                <w:b w:val="0"/>
                <w:color w:val="182E49"/>
                <w:sz w:val="17"/>
              </w:rPr>
              <w:t>External connector tensile limits absent</w:t>
            </w:r>
          </w:p>
        </w:tc>
      </w:tr>
      <w:tr>
        <w:trPr>
          <w:cantSplit/>
        </w:trPr>
        <w:tc>
          <w:tcPr>
            <w:tcW w:type="dxa" w:w="2160"/>
            <w:vAlign w:val="center"/>
          </w:tcPr>
          <w:p>
            <w:pPr>
              <w:spacing w:line="262" w:lineRule="auto"/>
            </w:pPr>
            <w:r/>
            <w:r>
              <w:rPr>
                <w:b w:val="0"/>
                <w:color w:val="182E49"/>
                <w:sz w:val="17"/>
              </w:rPr>
              <w:t>GAP-011</w:t>
            </w:r>
          </w:p>
        </w:tc>
        <w:tc>
          <w:tcPr>
            <w:tcW w:type="dxa" w:w="1440"/>
            <w:vAlign w:val="center"/>
          </w:tcPr>
          <w:p>
            <w:pPr>
              <w:spacing w:line="262" w:lineRule="auto"/>
            </w:pPr>
            <w:r/>
            <w:r>
              <w:rPr>
                <w:b w:val="0"/>
                <w:color w:val="182E49"/>
                <w:sz w:val="17"/>
              </w:rPr>
              <w:t>P1</w:t>
            </w:r>
          </w:p>
        </w:tc>
        <w:tc>
          <w:tcPr>
            <w:tcW w:type="dxa" w:w="18144"/>
            <w:vAlign w:val="center"/>
          </w:tcPr>
          <w:p>
            <w:pPr>
              <w:spacing w:line="262" w:lineRule="auto"/>
            </w:pPr>
            <w:r/>
            <w:r>
              <w:rPr>
                <w:b w:val="0"/>
                <w:color w:val="182E49"/>
                <w:sz w:val="17"/>
              </w:rPr>
              <w:t>Tube and bonded-junction tensile criteria missing</w:t>
            </w:r>
          </w:p>
        </w:tc>
      </w:tr>
      <w:tr>
        <w:trPr>
          <w:cantSplit/>
        </w:trPr>
        <w:tc>
          <w:tcPr>
            <w:tcW w:type="dxa" w:w="2160"/>
            <w:vAlign w:val="center"/>
            <w:shd w:fill="F2F6F9"/>
          </w:tcPr>
          <w:p>
            <w:pPr>
              <w:spacing w:line="262" w:lineRule="auto"/>
            </w:pPr>
            <w:r/>
            <w:r>
              <w:rPr>
                <w:b w:val="0"/>
                <w:color w:val="182E49"/>
                <w:sz w:val="17"/>
              </w:rPr>
              <w:t>GAP-012</w:t>
            </w:r>
          </w:p>
        </w:tc>
        <w:tc>
          <w:tcPr>
            <w:tcW w:type="dxa" w:w="1440"/>
            <w:vAlign w:val="center"/>
            <w:shd w:fill="F2F6F9"/>
          </w:tcPr>
          <w:p>
            <w:pPr>
              <w:spacing w:line="262" w:lineRule="auto"/>
            </w:pPr>
            <w:r/>
            <w:r>
              <w:rPr>
                <w:b w:val="0"/>
                <w:color w:val="182E49"/>
                <w:sz w:val="17"/>
              </w:rPr>
              <w:t>P1</w:t>
            </w:r>
          </w:p>
        </w:tc>
        <w:tc>
          <w:tcPr>
            <w:tcW w:type="dxa" w:w="18144"/>
            <w:vAlign w:val="center"/>
            <w:shd w:fill="F2F6F9"/>
          </w:tcPr>
          <w:p>
            <w:pPr>
              <w:spacing w:line="262" w:lineRule="auto"/>
            </w:pPr>
            <w:r/>
            <w:r>
              <w:rPr>
                <w:b w:val="0"/>
                <w:color w:val="182E49"/>
                <w:sz w:val="17"/>
              </w:rPr>
              <w:t>Bellow collection-device impact performance not substantiated</w:t>
            </w:r>
          </w:p>
        </w:tc>
      </w:tr>
      <w:tr>
        <w:trPr>
          <w:cantSplit/>
        </w:trPr>
        <w:tc>
          <w:tcPr>
            <w:tcW w:type="dxa" w:w="2160"/>
            <w:vAlign w:val="center"/>
          </w:tcPr>
          <w:p>
            <w:pPr>
              <w:spacing w:line="262" w:lineRule="auto"/>
            </w:pPr>
            <w:r/>
            <w:r>
              <w:rPr>
                <w:b w:val="0"/>
                <w:color w:val="182E49"/>
                <w:sz w:val="17"/>
              </w:rPr>
              <w:t>GAP-013</w:t>
            </w:r>
          </w:p>
        </w:tc>
        <w:tc>
          <w:tcPr>
            <w:tcW w:type="dxa" w:w="1440"/>
            <w:vAlign w:val="center"/>
          </w:tcPr>
          <w:p>
            <w:pPr>
              <w:spacing w:line="262" w:lineRule="auto"/>
            </w:pPr>
            <w:r/>
            <w:r>
              <w:rPr>
                <w:b w:val="0"/>
                <w:color w:val="182E49"/>
                <w:sz w:val="17"/>
              </w:rPr>
              <w:t>P1</w:t>
            </w:r>
          </w:p>
        </w:tc>
        <w:tc>
          <w:tcPr>
            <w:tcW w:type="dxa" w:w="18144"/>
            <w:vAlign w:val="center"/>
          </w:tcPr>
          <w:p>
            <w:pPr>
              <w:spacing w:line="262" w:lineRule="auto"/>
            </w:pPr>
            <w:r/>
            <w:r>
              <w:rPr>
                <w:b w:val="0"/>
                <w:color w:val="182E49"/>
                <w:sz w:val="17"/>
              </w:rPr>
              <w:t>Vacuum air-leak testing lacks ISO method and limits</w:t>
            </w:r>
          </w:p>
        </w:tc>
      </w:tr>
      <w:tr>
        <w:trPr>
          <w:cantSplit/>
        </w:trPr>
        <w:tc>
          <w:tcPr>
            <w:tcW w:type="dxa" w:w="2160"/>
            <w:vAlign w:val="center"/>
            <w:shd w:fill="F2F6F9"/>
          </w:tcPr>
          <w:p>
            <w:pPr>
              <w:spacing w:line="262" w:lineRule="auto"/>
            </w:pPr>
            <w:r/>
            <w:r>
              <w:rPr>
                <w:b w:val="0"/>
                <w:color w:val="182E49"/>
                <w:sz w:val="17"/>
              </w:rPr>
              <w:t>GAP-014</w:t>
            </w:r>
          </w:p>
        </w:tc>
        <w:tc>
          <w:tcPr>
            <w:tcW w:type="dxa" w:w="1440"/>
            <w:vAlign w:val="center"/>
            <w:shd w:fill="F2F6F9"/>
          </w:tcPr>
          <w:p>
            <w:pPr>
              <w:spacing w:line="262" w:lineRule="auto"/>
            </w:pPr>
            <w:r/>
            <w:r>
              <w:rPr>
                <w:b w:val="0"/>
                <w:color w:val="182E49"/>
                <w:sz w:val="17"/>
              </w:rPr>
              <w:t>P2</w:t>
            </w:r>
          </w:p>
        </w:tc>
        <w:tc>
          <w:tcPr>
            <w:tcW w:type="dxa" w:w="18144"/>
            <w:vAlign w:val="center"/>
            <w:shd w:fill="F2F6F9"/>
          </w:tcPr>
          <w:p>
            <w:pPr>
              <w:spacing w:line="262" w:lineRule="auto"/>
            </w:pPr>
            <w:r/>
            <w:r>
              <w:rPr>
                <w:b w:val="0"/>
                <w:color w:val="182E49"/>
                <w:sz w:val="17"/>
              </w:rPr>
              <w:t>Claimed flow-rate verification is conditional but unmapped</w:t>
            </w:r>
          </w:p>
        </w:tc>
      </w:tr>
      <w:tr>
        <w:trPr>
          <w:cantSplit/>
        </w:trPr>
        <w:tc>
          <w:tcPr>
            <w:tcW w:type="dxa" w:w="2160"/>
            <w:vAlign w:val="center"/>
          </w:tcPr>
          <w:p>
            <w:pPr>
              <w:spacing w:line="262" w:lineRule="auto"/>
            </w:pPr>
            <w:r/>
            <w:r>
              <w:rPr>
                <w:b w:val="0"/>
                <w:color w:val="182E49"/>
                <w:sz w:val="17"/>
              </w:rPr>
              <w:t>GAP-015</w:t>
            </w:r>
          </w:p>
        </w:tc>
        <w:tc>
          <w:tcPr>
            <w:tcW w:type="dxa" w:w="1440"/>
            <w:vAlign w:val="center"/>
          </w:tcPr>
          <w:p>
            <w:pPr>
              <w:spacing w:line="262" w:lineRule="auto"/>
            </w:pPr>
            <w:r/>
            <w:r>
              <w:rPr>
                <w:b w:val="0"/>
                <w:color w:val="182E49"/>
                <w:sz w:val="17"/>
              </w:rPr>
              <w:t>P2</w:t>
            </w:r>
          </w:p>
        </w:tc>
        <w:tc>
          <w:tcPr>
            <w:tcW w:type="dxa" w:w="18144"/>
            <w:vAlign w:val="center"/>
          </w:tcPr>
          <w:p>
            <w:pPr>
              <w:spacing w:line="262" w:lineRule="auto"/>
            </w:pPr>
            <w:r/>
            <w:r>
              <w:rPr>
                <w:b w:val="0"/>
                <w:color w:val="182E49"/>
                <w:sz w:val="17"/>
              </w:rPr>
              <w:t>Kink and retention requirements lack applicability decisions</w:t>
            </w:r>
          </w:p>
        </w:tc>
      </w:tr>
      <w:tr>
        <w:trPr>
          <w:cantSplit/>
        </w:trPr>
        <w:tc>
          <w:tcPr>
            <w:tcW w:type="dxa" w:w="2160"/>
            <w:vAlign w:val="center"/>
            <w:shd w:fill="F2F6F9"/>
          </w:tcPr>
          <w:p>
            <w:pPr>
              <w:spacing w:line="262" w:lineRule="auto"/>
            </w:pPr>
            <w:r/>
            <w:r>
              <w:rPr>
                <w:b w:val="0"/>
                <w:color w:val="182E49"/>
                <w:sz w:val="17"/>
              </w:rPr>
              <w:t>GAP-016</w:t>
            </w:r>
          </w:p>
        </w:tc>
        <w:tc>
          <w:tcPr>
            <w:tcW w:type="dxa" w:w="1440"/>
            <w:vAlign w:val="center"/>
            <w:shd w:fill="F2F6F9"/>
          </w:tcPr>
          <w:p>
            <w:pPr>
              <w:spacing w:line="262" w:lineRule="auto"/>
            </w:pPr>
            <w:r/>
            <w:r>
              <w:rPr>
                <w:b w:val="0"/>
                <w:color w:val="182E49"/>
                <w:sz w:val="17"/>
              </w:rPr>
              <w:t>P2</w:t>
            </w:r>
          </w:p>
        </w:tc>
        <w:tc>
          <w:tcPr>
            <w:tcW w:type="dxa" w:w="18144"/>
            <w:vAlign w:val="center"/>
            <w:shd w:fill="F2F6F9"/>
          </w:tcPr>
          <w:p>
            <w:pPr>
              <w:spacing w:line="262" w:lineRule="auto"/>
            </w:pPr>
            <w:r/>
            <w:r>
              <w:rPr>
                <w:b w:val="0"/>
                <w:color w:val="182E49"/>
                <w:sz w:val="17"/>
              </w:rPr>
              <w:t>Bellows collection capacity controlled as options, not measured limits</w:t>
            </w:r>
          </w:p>
        </w:tc>
      </w:tr>
      <w:tr>
        <w:trPr>
          <w:cantSplit/>
        </w:trPr>
        <w:tc>
          <w:tcPr>
            <w:tcW w:type="dxa" w:w="2160"/>
            <w:vAlign w:val="center"/>
          </w:tcPr>
          <w:p>
            <w:pPr>
              <w:spacing w:line="262" w:lineRule="auto"/>
            </w:pPr>
            <w:r/>
            <w:r>
              <w:rPr>
                <w:b w:val="0"/>
                <w:color w:val="182E49"/>
                <w:sz w:val="17"/>
              </w:rPr>
              <w:t>GAP-017</w:t>
            </w:r>
          </w:p>
        </w:tc>
        <w:tc>
          <w:tcPr>
            <w:tcW w:type="dxa" w:w="1440"/>
            <w:vAlign w:val="center"/>
          </w:tcPr>
          <w:p>
            <w:pPr>
              <w:spacing w:line="262" w:lineRule="auto"/>
            </w:pPr>
            <w:r/>
            <w:r>
              <w:rPr>
                <w:b w:val="0"/>
                <w:color w:val="182E49"/>
                <w:sz w:val="17"/>
              </w:rPr>
              <w:t>P1</w:t>
            </w:r>
          </w:p>
        </w:tc>
        <w:tc>
          <w:tcPr>
            <w:tcW w:type="dxa" w:w="18144"/>
            <w:vAlign w:val="center"/>
          </w:tcPr>
          <w:p>
            <w:pPr>
              <w:spacing w:line="262" w:lineRule="auto"/>
            </w:pPr>
            <w:r/>
            <w:r>
              <w:rPr>
                <w:b w:val="0"/>
                <w:color w:val="182E49"/>
                <w:sz w:val="17"/>
              </w:rPr>
              <w:t>Sterile-product validation release traceability incomplete</w:t>
            </w:r>
          </w:p>
        </w:tc>
      </w:tr>
      <w:tr>
        <w:trPr>
          <w:cantSplit/>
        </w:trPr>
        <w:tc>
          <w:tcPr>
            <w:tcW w:type="dxa" w:w="2160"/>
            <w:vAlign w:val="center"/>
            <w:shd w:fill="F2F6F9"/>
          </w:tcPr>
          <w:p>
            <w:pPr>
              <w:spacing w:line="262" w:lineRule="auto"/>
            </w:pPr>
            <w:r/>
            <w:r>
              <w:rPr>
                <w:b w:val="0"/>
                <w:color w:val="182E49"/>
                <w:sz w:val="17"/>
              </w:rPr>
              <w:t>GAP-018</w:t>
            </w:r>
          </w:p>
        </w:tc>
        <w:tc>
          <w:tcPr>
            <w:tcW w:type="dxa" w:w="1440"/>
            <w:vAlign w:val="center"/>
            <w:shd w:fill="F2F6F9"/>
          </w:tcPr>
          <w:p>
            <w:pPr>
              <w:spacing w:line="262" w:lineRule="auto"/>
            </w:pPr>
            <w:r/>
            <w:r>
              <w:rPr>
                <w:b w:val="0"/>
                <w:color w:val="182E49"/>
                <w:sz w:val="17"/>
              </w:rPr>
              <w:t>P2</w:t>
            </w:r>
          </w:p>
        </w:tc>
        <w:tc>
          <w:tcPr>
            <w:tcW w:type="dxa" w:w="18144"/>
            <w:vAlign w:val="center"/>
            <w:shd w:fill="F2F6F9"/>
          </w:tcPr>
          <w:p>
            <w:pPr>
              <w:spacing w:line="262" w:lineRule="auto"/>
            </w:pPr>
            <w:r/>
            <w:r>
              <w:rPr>
                <w:b w:val="0"/>
                <w:color w:val="182E49"/>
                <w:sz w:val="17"/>
              </w:rPr>
              <w:t>Device/package marking details not fully traceable</w:t>
            </w:r>
          </w:p>
        </w:tc>
      </w:tr>
      <w:tr>
        <w:trPr>
          <w:cantSplit/>
        </w:trPr>
        <w:tc>
          <w:tcPr>
            <w:tcW w:type="dxa" w:w="2160"/>
            <w:vAlign w:val="center"/>
          </w:tcPr>
          <w:p>
            <w:pPr>
              <w:spacing w:line="262" w:lineRule="auto"/>
            </w:pPr>
            <w:r/>
            <w:r>
              <w:rPr>
                <w:b w:val="0"/>
                <w:color w:val="182E49"/>
                <w:sz w:val="17"/>
              </w:rPr>
              <w:t>GAP-019</w:t>
            </w:r>
          </w:p>
        </w:tc>
        <w:tc>
          <w:tcPr>
            <w:tcW w:type="dxa" w:w="1440"/>
            <w:vAlign w:val="center"/>
          </w:tcPr>
          <w:p>
            <w:pPr>
              <w:spacing w:line="262" w:lineRule="auto"/>
            </w:pPr>
            <w:r/>
            <w:r>
              <w:rPr>
                <w:b w:val="0"/>
                <w:color w:val="182E49"/>
                <w:sz w:val="17"/>
              </w:rPr>
              <w:t>P2</w:t>
            </w:r>
          </w:p>
        </w:tc>
        <w:tc>
          <w:tcPr>
            <w:tcW w:type="dxa" w:w="18144"/>
            <w:vAlign w:val="center"/>
          </w:tcPr>
          <w:p>
            <w:pPr>
              <w:spacing w:line="262" w:lineRule="auto"/>
            </w:pPr>
            <w:r/>
            <w:r>
              <w:rPr>
                <w:b w:val="0"/>
                <w:color w:val="182E49"/>
                <w:sz w:val="17"/>
              </w:rPr>
              <w:t>IFU mandatory content verification not referenced</w:t>
            </w:r>
          </w:p>
        </w:tc>
      </w:tr>
      <w:tr>
        <w:trPr>
          <w:cantSplit/>
        </w:trPr>
        <w:tc>
          <w:tcPr>
            <w:tcW w:type="dxa" w:w="2160"/>
            <w:vAlign w:val="center"/>
            <w:shd w:fill="F2F6F9"/>
          </w:tcPr>
          <w:p>
            <w:pPr>
              <w:spacing w:line="262" w:lineRule="auto"/>
            </w:pPr>
            <w:r/>
            <w:r>
              <w:rPr>
                <w:b w:val="0"/>
                <w:color w:val="182E49"/>
                <w:sz w:val="17"/>
              </w:rPr>
              <w:t>GAP-020</w:t>
            </w:r>
          </w:p>
        </w:tc>
        <w:tc>
          <w:tcPr>
            <w:tcW w:type="dxa" w:w="1440"/>
            <w:vAlign w:val="center"/>
            <w:shd w:fill="F2F6F9"/>
          </w:tcPr>
          <w:p>
            <w:pPr>
              <w:spacing w:line="262" w:lineRule="auto"/>
            </w:pPr>
            <w:r/>
            <w:r>
              <w:rPr>
                <w:b w:val="0"/>
                <w:color w:val="182E49"/>
                <w:sz w:val="17"/>
              </w:rPr>
              <w:t>P2</w:t>
            </w:r>
          </w:p>
        </w:tc>
        <w:tc>
          <w:tcPr>
            <w:tcW w:type="dxa" w:w="18144"/>
            <w:vAlign w:val="center"/>
            <w:shd w:fill="F2F6F9"/>
          </w:tcPr>
          <w:p>
            <w:pPr>
              <w:spacing w:line="262" w:lineRule="auto"/>
            </w:pPr>
            <w:r/>
            <w:r>
              <w:rPr>
                <w:b w:val="0"/>
                <w:color w:val="182E49"/>
                <w:sz w:val="17"/>
              </w:rPr>
              <w:t>In-process results are not uniquely quantified or traceable</w:t>
            </w:r>
          </w:p>
        </w:tc>
      </w:tr>
      <w:tr>
        <w:trPr>
          <w:cantSplit/>
        </w:trPr>
        <w:tc>
          <w:tcPr>
            <w:tcW w:type="dxa" w:w="2160"/>
            <w:vAlign w:val="center"/>
          </w:tcPr>
          <w:p>
            <w:pPr>
              <w:spacing w:line="262" w:lineRule="auto"/>
            </w:pPr>
            <w:r/>
            <w:r>
              <w:rPr>
                <w:b w:val="0"/>
                <w:color w:val="182E49"/>
                <w:sz w:val="17"/>
              </w:rPr>
              <w:t>GAP-021</w:t>
            </w:r>
          </w:p>
        </w:tc>
        <w:tc>
          <w:tcPr>
            <w:tcW w:type="dxa" w:w="1440"/>
            <w:vAlign w:val="center"/>
          </w:tcPr>
          <w:p>
            <w:pPr>
              <w:spacing w:line="262" w:lineRule="auto"/>
            </w:pPr>
            <w:r/>
            <w:r>
              <w:rPr>
                <w:b w:val="0"/>
                <w:color w:val="182E49"/>
                <w:sz w:val="17"/>
              </w:rPr>
              <w:t>P2</w:t>
            </w:r>
          </w:p>
        </w:tc>
        <w:tc>
          <w:tcPr>
            <w:tcW w:type="dxa" w:w="18144"/>
            <w:vAlign w:val="center"/>
          </w:tcPr>
          <w:p>
            <w:pPr>
              <w:spacing w:line="262" w:lineRule="auto"/>
            </w:pPr>
            <w:r/>
            <w:r>
              <w:rPr>
                <w:b w:val="0"/>
                <w:color w:val="182E49"/>
                <w:sz w:val="17"/>
              </w:rPr>
              <w:t>Multi-channel table dimensions and revision are ambiguous</w:t>
            </w:r>
          </w:p>
        </w:tc>
      </w:tr>
      <w:tr>
        <w:trPr>
          <w:cantSplit/>
        </w:trPr>
        <w:tc>
          <w:tcPr>
            <w:tcW w:type="dxa" w:w="2160"/>
            <w:vAlign w:val="center"/>
            <w:shd w:fill="F2F6F9"/>
          </w:tcPr>
          <w:p>
            <w:pPr>
              <w:spacing w:line="262" w:lineRule="auto"/>
            </w:pPr>
            <w:r/>
            <w:r>
              <w:rPr>
                <w:b w:val="0"/>
                <w:color w:val="182E49"/>
                <w:sz w:val="17"/>
              </w:rPr>
              <w:t>GAP-022</w:t>
            </w:r>
          </w:p>
        </w:tc>
        <w:tc>
          <w:tcPr>
            <w:tcW w:type="dxa" w:w="1440"/>
            <w:vAlign w:val="center"/>
            <w:shd w:fill="F2F6F9"/>
          </w:tcPr>
          <w:p>
            <w:pPr>
              <w:spacing w:line="262" w:lineRule="auto"/>
            </w:pPr>
            <w:r/>
            <w:r>
              <w:rPr>
                <w:b w:val="0"/>
                <w:color w:val="182E49"/>
                <w:sz w:val="17"/>
              </w:rPr>
              <w:t>P2</w:t>
            </w:r>
          </w:p>
        </w:tc>
        <w:tc>
          <w:tcPr>
            <w:tcW w:type="dxa" w:w="18144"/>
            <w:vAlign w:val="center"/>
            <w:shd w:fill="F2F6F9"/>
          </w:tcPr>
          <w:p>
            <w:pPr>
              <w:spacing w:line="262" w:lineRule="auto"/>
            </w:pPr>
            <w:r/>
            <w:r>
              <w:rPr>
                <w:b w:val="0"/>
                <w:color w:val="182E49"/>
                <w:sz w:val="17"/>
              </w:rPr>
              <w:t>Vacuum stability and rated pressure claim mapping missing</w:t>
            </w:r>
          </w:p>
        </w:tc>
      </w:tr>
      <w:tr>
        <w:trPr>
          <w:cantSplit/>
        </w:trPr>
        <w:tc>
          <w:tcPr>
            <w:tcW w:type="dxa" w:w="2160"/>
            <w:vAlign w:val="center"/>
          </w:tcPr>
          <w:p>
            <w:pPr>
              <w:spacing w:line="262" w:lineRule="auto"/>
            </w:pPr>
            <w:r/>
            <w:r>
              <w:rPr>
                <w:b w:val="0"/>
                <w:color w:val="182E49"/>
                <w:sz w:val="17"/>
              </w:rPr>
              <w:t>GAP-023</w:t>
            </w:r>
          </w:p>
        </w:tc>
        <w:tc>
          <w:tcPr>
            <w:tcW w:type="dxa" w:w="1440"/>
            <w:vAlign w:val="center"/>
          </w:tcPr>
          <w:p>
            <w:pPr>
              <w:spacing w:line="262" w:lineRule="auto"/>
            </w:pPr>
            <w:r/>
            <w:r>
              <w:rPr>
                <w:b w:val="0"/>
                <w:color w:val="182E49"/>
                <w:sz w:val="17"/>
              </w:rPr>
              <w:t>P2</w:t>
            </w:r>
          </w:p>
        </w:tc>
        <w:tc>
          <w:tcPr>
            <w:tcW w:type="dxa" w:w="18144"/>
            <w:vAlign w:val="center"/>
          </w:tcPr>
          <w:p>
            <w:pPr>
              <w:spacing w:line="262" w:lineRule="auto"/>
            </w:pPr>
            <w:r/>
            <w:r>
              <w:rPr>
                <w:b w:val="0"/>
                <w:color w:val="182E49"/>
                <w:sz w:val="17"/>
              </w:rPr>
              <w:t>MRI-risk applicability has not been documented</w:t>
            </w:r>
          </w:p>
        </w:tc>
      </w:tr>
    </w:tbl>
    <w:p>
      <w:pPr>
        <w:pStyle w:val="Heading1"/>
      </w:pPr>
      <w:r>
        <w:t>6. MASTER GAP &amp; REVISION TABLE</w:t>
      </w:r>
    </w:p>
    <w:p>
      <w:r>
        <w:t>Mandatory seven-column crosswalk. Each revised clause is proposed wording for technical approval; section IDs map to the revised WI. In-process inspection form columns represent F-823-i12 and F-823-i108, not final inspection. Evidence is a required closure test, never a claim that tests were performed.</w:t>
      </w:r>
    </w:p>
    <w:tbl>
      <w:tblPr>
        <w:tblStyle w:val="TableGrid"/>
        <w:tblW w:type="auto" w:w="0"/>
        <w:jc w:val="center"/>
        <w:tblLayout w:type="fixed"/>
        <w:tblLook w:firstColumn="1" w:firstRow="1" w:lastColumn="0" w:lastRow="0" w:noHBand="0" w:noVBand="1" w:val="04A0"/>
      </w:tblPr>
      <w:tblGrid>
        <w:gridCol w:w="3139"/>
        <w:gridCol w:w="3139"/>
        <w:gridCol w:w="3139"/>
        <w:gridCol w:w="3139"/>
        <w:gridCol w:w="3139"/>
        <w:gridCol w:w="3139"/>
        <w:gridCol w:w="3139"/>
      </w:tblGrid>
      <w:tr>
        <w:trPr>
          <w:tblHeader w:val="true"/>
        </w:trPr>
        <w:tc>
          <w:tcPr>
            <w:tcW w:type="dxa" w:w="2952"/>
            <w:vAlign w:val="center"/>
            <w:shd w:fill="182E49"/>
          </w:tcPr>
          <w:p>
            <w:pPr>
              <w:spacing w:line="262" w:lineRule="auto"/>
            </w:pPr>
            <w:r>
              <w:rPr>
                <w:color w:val="FFFFFF"/>
              </w:rPr>
            </w:r>
            <w:r>
              <w:rPr>
                <w:b/>
                <w:color w:val="FFFFFF"/>
                <w:sz w:val="16"/>
              </w:rPr>
              <w:t>Gap / Our Problem</w:t>
            </w:r>
          </w:p>
        </w:tc>
        <w:tc>
          <w:tcPr>
            <w:tcW w:type="dxa" w:w="3168"/>
            <w:vAlign w:val="center"/>
            <w:shd w:fill="182E49"/>
          </w:tcPr>
          <w:p>
            <w:pPr>
              <w:spacing w:line="262" w:lineRule="auto"/>
            </w:pPr>
            <w:r>
              <w:rPr>
                <w:color w:val="FFFFFF"/>
              </w:rPr>
            </w:r>
            <w:r>
              <w:rPr>
                <w:b/>
                <w:color w:val="FFFFFF"/>
                <w:sz w:val="16"/>
              </w:rPr>
              <w:t>ISO Says</w:t>
            </w:r>
          </w:p>
        </w:tc>
        <w:tc>
          <w:tcPr>
            <w:tcW w:type="dxa" w:w="2966"/>
            <w:vAlign w:val="center"/>
            <w:shd w:fill="182E49"/>
          </w:tcPr>
          <w:p>
            <w:pPr>
              <w:spacing w:line="262" w:lineRule="auto"/>
            </w:pPr>
            <w:r>
              <w:rPr>
                <w:color w:val="FFFFFF"/>
              </w:rPr>
            </w:r>
            <w:r>
              <w:rPr>
                <w:b/>
                <w:color w:val="FFFFFF"/>
                <w:sz w:val="16"/>
              </w:rPr>
              <w:t>Existing WI Text</w:t>
            </w:r>
          </w:p>
        </w:tc>
        <w:tc>
          <w:tcPr>
            <w:tcW w:type="dxa" w:w="3888"/>
            <w:vAlign w:val="center"/>
            <w:shd w:fill="182E49"/>
          </w:tcPr>
          <w:p>
            <w:pPr>
              <w:spacing w:line="262" w:lineRule="auto"/>
            </w:pPr>
            <w:r>
              <w:rPr>
                <w:color w:val="FFFFFF"/>
              </w:rPr>
            </w:r>
            <w:r>
              <w:rPr>
                <w:b/>
                <w:color w:val="FFFFFF"/>
                <w:sz w:val="16"/>
              </w:rPr>
              <w:t>Revised WI Text</w:t>
            </w:r>
          </w:p>
        </w:tc>
        <w:tc>
          <w:tcPr>
            <w:tcW w:type="dxa" w:w="2808"/>
            <w:vAlign w:val="center"/>
            <w:shd w:fill="182E49"/>
          </w:tcPr>
          <w:p>
            <w:pPr>
              <w:spacing w:line="262" w:lineRule="auto"/>
            </w:pPr>
            <w:r>
              <w:rPr>
                <w:color w:val="FFFFFF"/>
              </w:rPr>
            </w:r>
            <w:r>
              <w:rPr>
                <w:b/>
                <w:color w:val="FFFFFF"/>
                <w:sz w:val="16"/>
              </w:rPr>
              <w:t>Existing Inspection Text</w:t>
            </w:r>
          </w:p>
        </w:tc>
        <w:tc>
          <w:tcPr>
            <w:tcW w:type="dxa" w:w="3528"/>
            <w:vAlign w:val="center"/>
            <w:shd w:fill="182E49"/>
          </w:tcPr>
          <w:p>
            <w:pPr>
              <w:spacing w:line="262" w:lineRule="auto"/>
            </w:pPr>
            <w:r>
              <w:rPr>
                <w:color w:val="FFFFFF"/>
              </w:rPr>
            </w:r>
            <w:r>
              <w:rPr>
                <w:b/>
                <w:color w:val="FFFFFF"/>
                <w:sz w:val="16"/>
              </w:rPr>
              <w:t>Revised Inspection Text</w:t>
            </w:r>
          </w:p>
        </w:tc>
        <w:tc>
          <w:tcPr>
            <w:tcW w:type="dxa" w:w="2434"/>
            <w:vAlign w:val="center"/>
            <w:shd w:fill="182E49"/>
          </w:tcPr>
          <w:p>
            <w:pPr>
              <w:spacing w:line="262" w:lineRule="auto"/>
            </w:pPr>
            <w:r>
              <w:rPr>
                <w:color w:val="FFFFFF"/>
              </w:rPr>
            </w:r>
            <w:r>
              <w:rPr>
                <w:b/>
                <w:color w:val="FFFFFF"/>
                <w:sz w:val="16"/>
              </w:rPr>
              <w:t>Evidence (ISO Closure)</w:t>
            </w:r>
          </w:p>
        </w:tc>
      </w:tr>
      <w:tr>
        <w:trPr>
          <w:cantSplit/>
        </w:trPr>
        <w:tc>
          <w:tcPr>
            <w:tcW w:type="dxa" w:w="2952"/>
            <w:vAlign w:val="center"/>
          </w:tcPr>
          <w:p>
            <w:pPr>
              <w:spacing w:line="262" w:lineRule="auto"/>
            </w:pPr>
            <w:r/>
            <w:r>
              <w:rPr>
                <w:b w:val="0"/>
                <w:color w:val="182E49"/>
                <w:sz w:val="16"/>
              </w:rPr>
              <w:t>GAP-001 | P2 — Unreconciled controlled document identity. WI internal Rev.4 conflicts with uploaded Rev.5 filename; F-823-i12 references WI-8-2-2-23-1 rather than WI-8-2-2-23, and F-823-i108 worksheet Rev.4 conflicts with Rev.6 filename. Current approved identities are not verified.</w:t>
            </w:r>
          </w:p>
        </w:tc>
        <w:tc>
          <w:tcPr>
            <w:tcW w:type="dxa" w:w="3168"/>
            <w:vAlign w:val="center"/>
          </w:tcPr>
          <w:p>
            <w:pPr>
              <w:spacing w:line="262" w:lineRule="auto"/>
            </w:pPr>
            <w:r/>
            <w:r>
              <w:rPr>
                <w:b w:val="0"/>
                <w:color w:val="182E49"/>
                <w:sz w:val="16"/>
              </w:rPr>
              <w:t>Document-control traceability issue (not a discrete ISO 20697 product characteristic). Effective controlled instructions and forms must be established before use.</w:t>
            </w:r>
          </w:p>
        </w:tc>
        <w:tc>
          <w:tcPr>
            <w:tcW w:type="dxa" w:w="2966"/>
            <w:vAlign w:val="center"/>
          </w:tcPr>
          <w:p>
            <w:pPr>
              <w:spacing w:line="262" w:lineRule="auto"/>
            </w:pPr>
            <w:r/>
            <w:r>
              <w:rPr>
                <w:b w:val="0"/>
                <w:color w:val="182E49"/>
                <w:sz w:val="16"/>
              </w:rPr>
              <w:t>WI pp. 1–7 header: WI-8-2-2-23 Rev. 4 dated 25.12.2022; filename indicates Rev. 5. WI p. 7 §14 cites F-823-i12.</w:t>
            </w:r>
          </w:p>
        </w:tc>
        <w:tc>
          <w:tcPr>
            <w:tcW w:type="dxa" w:w="3888"/>
            <w:vAlign w:val="center"/>
          </w:tcPr>
          <w:p>
            <w:pPr>
              <w:spacing w:line="262" w:lineRule="auto"/>
            </w:pPr>
            <w:r/>
            <w:r>
              <w:rPr>
                <w:b w:val="0"/>
                <w:color w:val="182E49"/>
                <w:sz w:val="16"/>
              </w:rPr>
              <w:t>§17 Document Control: Before issuing production records, Document Control shall confirm the effective approved revision of WI-8-2-2-23 and all referenced forms; reconcile source filename versus approved internal revision; confirm whether WI-8-2-2-23-1 is a distinct approved instruction. Supersession requires controlled approval and documented mapping.</w:t>
            </w:r>
          </w:p>
        </w:tc>
        <w:tc>
          <w:tcPr>
            <w:tcW w:type="dxa" w:w="2808"/>
            <w:vAlign w:val="center"/>
          </w:tcPr>
          <w:p>
            <w:pPr>
              <w:spacing w:line="262" w:lineRule="auto"/>
            </w:pPr>
            <w:r/>
            <w:r>
              <w:rPr>
                <w:b w:val="0"/>
                <w:color w:val="182E49"/>
                <w:sz w:val="16"/>
              </w:rPr>
              <w:t>F-823-i12 row 4 cites WI-8-2-2-23-1; F-823-i108 sheet tab shows (Rev.4), uploaded filename shows Rev. 6.</w:t>
            </w:r>
          </w:p>
        </w:tc>
        <w:tc>
          <w:tcPr>
            <w:tcW w:type="dxa" w:w="3528"/>
            <w:vAlign w:val="center"/>
          </w:tcPr>
          <w:p>
            <w:pPr>
              <w:spacing w:line="262" w:lineRule="auto"/>
            </w:pPr>
            <w:r/>
            <w:r>
              <w:rPr>
                <w:b w:val="0"/>
                <w:color w:val="182E49"/>
                <w:sz w:val="16"/>
              </w:rPr>
              <w:t>Form header: WI ID [approved] / WI revision [approved] / Form ID [approved] / Form revision [approved] / Effective date [approved]. Disallow production issue until discrepancies are reconciled.</w:t>
            </w:r>
          </w:p>
        </w:tc>
        <w:tc>
          <w:tcPr>
            <w:tcW w:type="dxa" w:w="2434"/>
            <w:vAlign w:val="center"/>
          </w:tcPr>
          <w:p>
            <w:pPr>
              <w:spacing w:line="262" w:lineRule="auto"/>
            </w:pPr>
            <w:r/>
            <w:r>
              <w:rPr>
                <w:b w:val="0"/>
                <w:color w:val="182E49"/>
                <w:sz w:val="16"/>
              </w:rPr>
              <w:t>Required evidence: Approved document master list; historical supersession/revision records; signed approved forms and WI; traceability reconciliation. Status: Open — Approval; no evidence supplied.</w:t>
              <w:br/>
              <w:t>Control route: Document control.</w:t>
              <w:br/>
              <w:t>Evidence reference: Pending.</w:t>
              <w:br/>
              <w:t>Closure criteria: approved controls + verified representative record.</w:t>
              <w:br/>
              <w:t>Current closure: Open — Approval.</w:t>
            </w:r>
          </w:p>
        </w:tc>
      </w:tr>
      <w:tr>
        <w:trPr>
          <w:cantSplit/>
        </w:trPr>
        <w:tc>
          <w:tcPr>
            <w:tcW w:type="dxa" w:w="2952"/>
            <w:vAlign w:val="center"/>
            <w:shd w:fill="F2F6F9"/>
          </w:tcPr>
          <w:p>
            <w:pPr>
              <w:spacing w:line="262" w:lineRule="auto"/>
            </w:pPr>
            <w:r/>
            <w:r>
              <w:rPr>
                <w:b w:val="0"/>
                <w:color w:val="182E49"/>
                <w:sz w:val="16"/>
              </w:rPr>
              <w:t>GAP-002 | P1 — Intended performance and risk file are not linked. Existing routine quality checks do not identify an approved risk-management file or demonstrate the intended drainage performance for each configuration. ISO §4/5.1 cannot be closed from cosmetic/fit checks alone.</w:t>
            </w:r>
          </w:p>
        </w:tc>
        <w:tc>
          <w:tcPr>
            <w:tcW w:type="dxa" w:w="3168"/>
            <w:vAlign w:val="center"/>
            <w:shd w:fill="F2F6F9"/>
          </w:tcPr>
          <w:p>
            <w:pPr>
              <w:spacing w:line="262" w:lineRule="auto"/>
            </w:pPr>
            <w:r/>
            <w:r>
              <w:rPr>
                <w:b w:val="0"/>
                <w:color w:val="182E49"/>
                <w:sz w:val="16"/>
              </w:rPr>
              <w:t>§4 ISO p.3 (PDF p.9): drainage system must maintain drainage; catheter must access target safely. §5.1 ISO pp.3–4 (PDF pp.9–10): apply design risk-management process and verify via risk-management file.</w:t>
            </w:r>
          </w:p>
        </w:tc>
        <w:tc>
          <w:tcPr>
            <w:tcW w:type="dxa" w:w="2966"/>
            <w:vAlign w:val="center"/>
            <w:shd w:fill="F2F6F9"/>
          </w:tcPr>
          <w:p>
            <w:pPr>
              <w:spacing w:line="262" w:lineRule="auto"/>
            </w:pPr>
            <w:r/>
            <w:r>
              <w:rPr>
                <w:b w:val="0"/>
                <w:color w:val="182E49"/>
                <w:sz w:val="16"/>
              </w:rPr>
              <w:t>WI p.1 §§1–4 broadly addresses quality; pp.2–5 cover component checks; no risk-file reference, intended performance verification matrix, or drainage performance release linkage visible.</w:t>
            </w:r>
          </w:p>
        </w:tc>
        <w:tc>
          <w:tcPr>
            <w:tcW w:type="dxa" w:w="3888"/>
            <w:vAlign w:val="center"/>
            <w:shd w:fill="F2F6F9"/>
          </w:tcPr>
          <w:p>
            <w:pPr>
              <w:spacing w:line="262" w:lineRule="auto"/>
            </w:pPr>
            <w:r/>
            <w:r>
              <w:rPr>
                <w:b w:val="0"/>
                <w:color w:val="182E49"/>
                <w:sz w:val="16"/>
              </w:rPr>
              <w:t>§3 Product Applicability / §5 Risk: QA/Engineering shall maintain a product/configuration risk file and approved performance matrix for each wound drainage set variant, identifying intended suction/gravity use, drainage performance, hazards, design verification, acceptance criteria and record IDs. QC shall verify current approvals are traceably available before controlled production release; production checks do not replace design verification.</w:t>
            </w:r>
          </w:p>
        </w:tc>
        <w:tc>
          <w:tcPr>
            <w:tcW w:type="dxa" w:w="2808"/>
            <w:vAlign w:val="center"/>
            <w:shd w:fill="F2F6F9"/>
          </w:tcPr>
          <w:p>
            <w:pPr>
              <w:spacing w:line="262" w:lineRule="auto"/>
            </w:pPr>
            <w:r/>
            <w:r>
              <w:rPr>
                <w:b w:val="0"/>
                <w:color w:val="182E49"/>
                <w:sz w:val="16"/>
              </w:rPr>
              <w:t>F-823-i12 rows 11–27 / F-823-i108 rows 10–19 list visual checks without a risk/performance-file reference.</w:t>
            </w:r>
          </w:p>
        </w:tc>
        <w:tc>
          <w:tcPr>
            <w:tcW w:type="dxa" w:w="3528"/>
            <w:vAlign w:val="center"/>
            <w:shd w:fill="F2F6F9"/>
          </w:tcPr>
          <w:p>
            <w:pPr>
              <w:spacing w:line="262" w:lineRule="auto"/>
            </w:pPr>
            <w:r/>
            <w:r>
              <w:rPr>
                <w:b w:val="0"/>
                <w:color w:val="182E49"/>
                <w:sz w:val="16"/>
              </w:rPr>
              <w:t>Configuration / intended use / Risk-file ID / approved design-verification matrix ID / applicability approval / review status [linked controlled evidence; not routine design retesting].</w:t>
            </w:r>
          </w:p>
        </w:tc>
        <w:tc>
          <w:tcPr>
            <w:tcW w:type="dxa" w:w="2434"/>
            <w:vAlign w:val="center"/>
            <w:shd w:fill="F2F6F9"/>
          </w:tcPr>
          <w:p>
            <w:pPr>
              <w:spacing w:line="262" w:lineRule="auto"/>
            </w:pPr>
            <w:r/>
            <w:r>
              <w:rPr>
                <w:b w:val="0"/>
                <w:color w:val="182E49"/>
                <w:sz w:val="16"/>
              </w:rPr>
              <w:t>Required evidence: Approved risk analysis and intended-performance verification evidence; product configuration / variant mapping. Status: Open — Evidence.</w:t>
              <w:br/>
              <w:t>Control route: Design qualification / risk management.</w:t>
              <w:br/>
              <w:t>Evidence reference: Pending.</w:t>
              <w:br/>
              <w:t>Closure criteria: approved controls + verified representative record.</w:t>
              <w:br/>
              <w:t>Current closure: Open — Evidence / Approval.</w:t>
            </w:r>
          </w:p>
        </w:tc>
      </w:tr>
      <w:tr>
        <w:trPr>
          <w:cantSplit/>
        </w:trPr>
        <w:tc>
          <w:tcPr>
            <w:tcW w:type="dxa" w:w="2952"/>
            <w:vAlign w:val="center"/>
          </w:tcPr>
          <w:p>
            <w:pPr>
              <w:spacing w:line="262" w:lineRule="auto"/>
            </w:pPr>
            <w:r/>
            <w:r>
              <w:rPr>
                <w:b w:val="0"/>
                <w:color w:val="182E49"/>
                <w:sz w:val="16"/>
              </w:rPr>
              <w:t>GAP-003 | P1 — Biocompatibility evidence linkage absent. Neither the WI nor both line forms link patient-contacting materials to biological evaluation under ISO 10993-1. Absence of reports prevents an evidence-based biological safety decision.</w:t>
            </w:r>
          </w:p>
        </w:tc>
        <w:tc>
          <w:tcPr>
            <w:tcW w:type="dxa" w:w="3168"/>
            <w:vAlign w:val="center"/>
          </w:tcPr>
          <w:p>
            <w:pPr>
              <w:spacing w:line="262" w:lineRule="auto"/>
            </w:pPr>
            <w:r/>
            <w:r>
              <w:rPr>
                <w:b w:val="0"/>
                <w:color w:val="182E49"/>
                <w:sz w:val="16"/>
              </w:rPr>
              <w:t>§5.2 ISO p.4 (PDF p.10): the device must be free from biological hazards based on appropriate ISO 10993-1 evaluation and testing.</w:t>
            </w:r>
          </w:p>
        </w:tc>
        <w:tc>
          <w:tcPr>
            <w:tcW w:type="dxa" w:w="2966"/>
            <w:vAlign w:val="center"/>
          </w:tcPr>
          <w:p>
            <w:pPr>
              <w:spacing w:line="262" w:lineRule="auto"/>
            </w:pPr>
            <w:r/>
            <w:r>
              <w:rPr>
                <w:b w:val="0"/>
                <w:color w:val="182E49"/>
                <w:sz w:val="16"/>
              </w:rPr>
              <w:t>WI pp.1–7 does not explicitly identify a biological evaluation or approved material change-impact control.</w:t>
            </w:r>
          </w:p>
        </w:tc>
        <w:tc>
          <w:tcPr>
            <w:tcW w:type="dxa" w:w="3888"/>
            <w:vAlign w:val="center"/>
          </w:tcPr>
          <w:p>
            <w:pPr>
              <w:spacing w:line="262" w:lineRule="auto"/>
            </w:pPr>
            <w:r/>
            <w:r>
              <w:rPr>
                <w:b w:val="0"/>
                <w:color w:val="182E49"/>
                <w:sz w:val="16"/>
              </w:rPr>
              <w:t>§5.2 Material Safety: For each patient-contacting drainage catheter material and relevant accessory, QA shall maintain approved ISO 10993-1 biological evaluation based on contact nature/duration, including material, supplier and processing changes. Record report numbers and approved conclusions; maintain traceability to approved bill of materials. No assumption that every lot requires biological tests.</w:t>
            </w:r>
          </w:p>
        </w:tc>
        <w:tc>
          <w:tcPr>
            <w:tcW w:type="dxa" w:w="2808"/>
            <w:vAlign w:val="center"/>
          </w:tcPr>
          <w:p>
            <w:pPr>
              <w:spacing w:line="262" w:lineRule="auto"/>
            </w:pPr>
            <w:r/>
            <w:r>
              <w:rPr>
                <w:b w:val="0"/>
                <w:color w:val="182E49"/>
                <w:sz w:val="16"/>
              </w:rPr>
              <w:t>F-823-i12 row 24: “As per requirement”; F-823-i108 rows 10–17 address physical appearance, not biological evaluation.</w:t>
            </w:r>
          </w:p>
        </w:tc>
        <w:tc>
          <w:tcPr>
            <w:tcW w:type="dxa" w:w="3528"/>
            <w:vAlign w:val="center"/>
          </w:tcPr>
          <w:p>
            <w:pPr>
              <w:spacing w:line="262" w:lineRule="auto"/>
            </w:pPr>
            <w:r/>
            <w:r>
              <w:rPr>
                <w:b w:val="0"/>
                <w:color w:val="182E49"/>
                <w:sz w:val="16"/>
              </w:rPr>
              <w:t>Biological evaluation report ID / covered device variant and material revision / change review ID / current approval [reference-only evidence linkage].</w:t>
            </w:r>
          </w:p>
        </w:tc>
        <w:tc>
          <w:tcPr>
            <w:tcW w:type="dxa" w:w="2434"/>
            <w:vAlign w:val="center"/>
          </w:tcPr>
          <w:p>
            <w:pPr>
              <w:spacing w:line="262" w:lineRule="auto"/>
            </w:pPr>
            <w:r/>
            <w:r>
              <w:rPr>
                <w:b w:val="0"/>
                <w:color w:val="182E49"/>
                <w:sz w:val="16"/>
              </w:rPr>
              <w:t>Required evidence: Signed biological evaluation / test reports as justified, material/supplier configuration and change-control records. Status: Open — Evidence.</w:t>
              <w:br/>
              <w:t>Control route: Biological evaluation / change control.</w:t>
              <w:br/>
              <w:t>Evidence reference: Pending.</w:t>
              <w:br/>
              <w:t>Closure criteria: approved controls + verified representative record.</w:t>
              <w:br/>
              <w:t>Current closure: Open — Evidence / Approval.</w:t>
            </w:r>
          </w:p>
        </w:tc>
      </w:tr>
      <w:tr>
        <w:trPr>
          <w:cantSplit/>
        </w:trPr>
        <w:tc>
          <w:tcPr>
            <w:tcW w:type="dxa" w:w="2952"/>
            <w:vAlign w:val="center"/>
            <w:shd w:fill="F2F6F9"/>
          </w:tcPr>
          <w:p>
            <w:pPr>
              <w:spacing w:line="262" w:lineRule="auto"/>
            </w:pPr>
            <w:r/>
            <w:r>
              <w:rPr>
                <w:b w:val="0"/>
                <w:color w:val="182E49"/>
                <w:sz w:val="16"/>
              </w:rPr>
              <w:t>GAP-004 | P2 — Detectability status not governed by risk decision. WI treats a visible X-ray stripe as unconditional and references ASTM F640, but has no risk-based obligation decision or verified effective-length detectability report; appearance does not prove imaging detectability.</w:t>
            </w:r>
          </w:p>
        </w:tc>
        <w:tc>
          <w:tcPr>
            <w:tcW w:type="dxa" w:w="3168"/>
            <w:vAlign w:val="center"/>
            <w:shd w:fill="F2F6F9"/>
          </w:tcPr>
          <w:p>
            <w:pPr>
              <w:spacing w:line="262" w:lineRule="auto"/>
            </w:pPr>
            <w:r/>
            <w:r>
              <w:rPr>
                <w:b w:val="0"/>
                <w:color w:val="182E49"/>
                <w:sz w:val="16"/>
              </w:rPr>
              <w:t>§5.3 ISO p.4 (PDF p.10): X-ray or alternative detectability of effective catheter length is required IF risk assessment determines so; ASTM F640 is an example method, not universally mandatory.</w:t>
            </w:r>
          </w:p>
        </w:tc>
        <w:tc>
          <w:tcPr>
            <w:tcW w:type="dxa" w:w="2966"/>
            <w:vAlign w:val="center"/>
            <w:shd w:fill="F2F6F9"/>
          </w:tcPr>
          <w:p>
            <w:pPr>
              <w:spacing w:line="262" w:lineRule="auto"/>
            </w:pPr>
            <w:r/>
            <w:r>
              <w:rPr>
                <w:b w:val="0"/>
                <w:color w:val="182E49"/>
                <w:sz w:val="16"/>
              </w:rPr>
              <w:t>WI p.3 §§6.2–6.3 identifies blue/white X-ray line; p.6 §10.5 states effective length with X-ray line and ASTM F640 compliance unconditionally.</w:t>
            </w:r>
          </w:p>
        </w:tc>
        <w:tc>
          <w:tcPr>
            <w:tcW w:type="dxa" w:w="3888"/>
            <w:vAlign w:val="center"/>
            <w:shd w:fill="F2F6F9"/>
          </w:tcPr>
          <w:p>
            <w:pPr>
              <w:spacing w:line="262" w:lineRule="auto"/>
            </w:pPr>
            <w:r/>
            <w:r>
              <w:rPr>
                <w:b w:val="0"/>
                <w:color w:val="182E49"/>
                <w:sz w:val="16"/>
              </w:rPr>
              <w:t>§9 Detectability: Determine from the approved device risk assessment whether clinical detectability is required for each catheter configuration. Where required, verify effective-length detectability by approved validated test method and acceptance criteria; record evidence ID. Where not required, retain approved documented risk justification. Visual X-ray-line inspection remains an in-process workmanship control and is not, alone, performance proof.</w:t>
            </w:r>
          </w:p>
        </w:tc>
        <w:tc>
          <w:tcPr>
            <w:tcW w:type="dxa" w:w="2808"/>
            <w:vAlign w:val="center"/>
            <w:shd w:fill="F2F6F9"/>
          </w:tcPr>
          <w:p>
            <w:pPr>
              <w:spacing w:line="262" w:lineRule="auto"/>
            </w:pPr>
            <w:r/>
            <w:r>
              <w:rPr>
                <w:b w:val="0"/>
                <w:color w:val="182E49"/>
                <w:sz w:val="16"/>
              </w:rPr>
              <w:t>F-823-i108 row 17 “Accurate blue line/white line, straight line, clear barium sulfate”; F-823-i12 no detectability validation field.</w:t>
            </w:r>
          </w:p>
        </w:tc>
        <w:tc>
          <w:tcPr>
            <w:tcW w:type="dxa" w:w="3528"/>
            <w:vAlign w:val="center"/>
            <w:shd w:fill="F2F6F9"/>
          </w:tcPr>
          <w:p>
            <w:pPr>
              <w:spacing w:line="262" w:lineRule="auto"/>
            </w:pPr>
            <w:r/>
            <w:r>
              <w:rPr>
                <w:b w:val="0"/>
                <w:color w:val="182E49"/>
                <w:sz w:val="16"/>
              </w:rPr>
              <w:t>X-ray-line visual condition [Pass/Fail]; detectability required by risk? [Yes/No]; approved radiopacity/detectability report ID [if Yes]; risk rationale ID [if No].</w:t>
            </w:r>
          </w:p>
        </w:tc>
        <w:tc>
          <w:tcPr>
            <w:tcW w:type="dxa" w:w="2434"/>
            <w:vAlign w:val="center"/>
            <w:shd w:fill="F2F6F9"/>
          </w:tcPr>
          <w:p>
            <w:pPr>
              <w:spacing w:line="262" w:lineRule="auto"/>
            </w:pPr>
            <w:r/>
            <w:r>
              <w:rPr>
                <w:b w:val="0"/>
                <w:color w:val="182E49"/>
                <w:sz w:val="16"/>
              </w:rPr>
              <w:t>Required evidence: Approved risk decision + effective-length detectability report (if required), link to variant and formulation. Status: Open — Evidence.</w:t>
              <w:br/>
              <w:t>Control route: Design qualification / routine appearance check.</w:t>
              <w:br/>
              <w:t>Evidence reference: Pending.</w:t>
              <w:br/>
              <w:t>Closure criteria: approved controls + verified representative record.</w:t>
              <w:br/>
              <w:t>Current closure: Open — Evidence / Approval.</w:t>
            </w:r>
          </w:p>
        </w:tc>
      </w:tr>
      <w:tr>
        <w:trPr>
          <w:cantSplit/>
        </w:trPr>
        <w:tc>
          <w:tcPr>
            <w:tcW w:type="dxa" w:w="2952"/>
            <w:vAlign w:val="center"/>
          </w:tcPr>
          <w:p>
            <w:pPr>
              <w:spacing w:line="262" w:lineRule="auto"/>
            </w:pPr>
            <w:r/>
            <w:r>
              <w:rPr>
                <w:b w:val="0"/>
                <w:color w:val="182E49"/>
                <w:sz w:val="16"/>
              </w:rPr>
              <w:t>GAP-005 | P2 — Surface finish method does not reflect risk-based magnification. WI applies 2.5× universally despite ISO allowing risk-based use; vague “Clear/Good” acceptance lacks an approved defect catalogue or consistent evidence of inspection controls.</w:t>
            </w:r>
          </w:p>
        </w:tc>
        <w:tc>
          <w:tcPr>
            <w:tcW w:type="dxa" w:w="3168"/>
            <w:vAlign w:val="center"/>
          </w:tcPr>
          <w:p>
            <w:pPr>
              <w:spacing w:line="262" w:lineRule="auto"/>
            </w:pPr>
            <w:r/>
            <w:r>
              <w:rPr>
                <w:b w:val="0"/>
                <w:color w:val="182E49"/>
                <w:sz w:val="16"/>
              </w:rPr>
              <w:t>§5.4 ISO p.4 (PDF p.10): external effective catheter surface must be free of extraneous matter and defects posing unacceptable harm risk; minimum 2.5× magnification only if risk assessment deems it necessary.</w:t>
            </w:r>
          </w:p>
        </w:tc>
        <w:tc>
          <w:tcPr>
            <w:tcW w:type="dxa" w:w="2966"/>
            <w:vAlign w:val="center"/>
          </w:tcPr>
          <w:p>
            <w:pPr>
              <w:spacing w:line="262" w:lineRule="auto"/>
            </w:pPr>
            <w:r/>
            <w:r>
              <w:rPr>
                <w:b w:val="0"/>
                <w:color w:val="182E49"/>
                <w:sz w:val="16"/>
              </w:rPr>
              <w:t>WI p.5 §9 requires “under and minimum 2,5x magnification” without linking the risk decision; also states no bumps/bubbles/fish eyes.</w:t>
            </w:r>
          </w:p>
        </w:tc>
        <w:tc>
          <w:tcPr>
            <w:tcW w:type="dxa" w:w="3888"/>
            <w:vAlign w:val="center"/>
          </w:tcPr>
          <w:p>
            <w:pPr>
              <w:spacing w:line="262" w:lineRule="auto"/>
            </w:pPr>
            <w:r/>
            <w:r>
              <w:rPr>
                <w:b w:val="0"/>
                <w:color w:val="182E49"/>
                <w:sz w:val="16"/>
              </w:rPr>
              <w:t>§9 In-Process Surface Check: Inspect full applicable external effective catheter length with normal or corrected vision; reject foreign matter and surface/process defects unacceptable under the approved visual defect catalogue. Apply ≥2.5× magnification when the approved risk assessment requires it. Document lighting/inspection instruction, sample identification and defect disposition in controlled record.</w:t>
            </w:r>
          </w:p>
        </w:tc>
        <w:tc>
          <w:tcPr>
            <w:tcW w:type="dxa" w:w="2808"/>
            <w:vAlign w:val="center"/>
          </w:tcPr>
          <w:p>
            <w:pPr>
              <w:spacing w:line="262" w:lineRule="auto"/>
            </w:pPr>
            <w:r/>
            <w:r>
              <w:rPr>
                <w:b w:val="0"/>
                <w:color w:val="182E49"/>
                <w:sz w:val="16"/>
              </w:rPr>
              <w:t>F-823-i12 row 11 “Clear, Good”; F-823-i108 rows 10–15 “smooth surface”, “No bumps, No black spot, No fish eyes, No sink marked”.</w:t>
            </w:r>
          </w:p>
        </w:tc>
        <w:tc>
          <w:tcPr>
            <w:tcW w:type="dxa" w:w="3528"/>
            <w:vAlign w:val="center"/>
          </w:tcPr>
          <w:p>
            <w:pPr>
              <w:spacing w:line="262" w:lineRule="auto"/>
            </w:pPr>
            <w:r/>
            <w:r>
              <w:rPr>
                <w:b w:val="0"/>
                <w:color w:val="182E49"/>
                <w:sz w:val="16"/>
              </w:rPr>
              <w:t>Surface inspection / identified defect code / risk-required 2.5× [Y/N] / magnification used / actual observation / Pass-Fail / lot &amp; time / disposition.</w:t>
            </w:r>
          </w:p>
        </w:tc>
        <w:tc>
          <w:tcPr>
            <w:tcW w:type="dxa" w:w="2434"/>
            <w:vAlign w:val="center"/>
          </w:tcPr>
          <w:p>
            <w:pPr>
              <w:spacing w:line="262" w:lineRule="auto"/>
            </w:pPr>
            <w:r/>
            <w:r>
              <w:rPr>
                <w:b w:val="0"/>
                <w:color w:val="182E49"/>
                <w:sz w:val="16"/>
              </w:rPr>
              <w:t>Required evidence: Approved visual defect standard; risk-based magnification decision; completed line inspection records; reject traceability. Status: Open — Technical Input / Evidence.</w:t>
              <w:br/>
              <w:t>Control route: Routine in-process inspection.</w:t>
              <w:br/>
              <w:t>Evidence reference: Pending.</w:t>
              <w:br/>
              <w:t>Closure criteria: approved controls + verified representative record.</w:t>
              <w:br/>
              <w:t>Current closure: Open — Technical Input / Evidence.</w:t>
            </w:r>
          </w:p>
        </w:tc>
      </w:tr>
      <w:tr>
        <w:trPr>
          <w:cantSplit/>
        </w:trPr>
        <w:tc>
          <w:tcPr>
            <w:tcW w:type="dxa" w:w="2952"/>
            <w:vAlign w:val="center"/>
            <w:shd w:fill="F2F6F9"/>
          </w:tcPr>
          <w:p>
            <w:pPr>
              <w:spacing w:line="262" w:lineRule="auto"/>
            </w:pPr>
            <w:r/>
            <w:r>
              <w:rPr>
                <w:b w:val="0"/>
                <w:color w:val="182E49"/>
                <w:sz w:val="16"/>
              </w:rPr>
              <w:t>GAP-006 | P2 — Catheter size designation and OD tolerances not controlled. WI and forms say “per requirement” for OD/ID/length without controlled size-specific criteria, ISO OD designation, actual mm readings or drawing effective-length tolerances.</w:t>
            </w:r>
          </w:p>
        </w:tc>
        <w:tc>
          <w:tcPr>
            <w:tcW w:type="dxa" w:w="3168"/>
            <w:vAlign w:val="center"/>
            <w:shd w:fill="F2F6F9"/>
          </w:tcPr>
          <w:p>
            <w:pPr>
              <w:spacing w:line="262" w:lineRule="auto"/>
            </w:pPr>
            <w:r/>
            <w:r>
              <w:rPr>
                <w:b w:val="0"/>
                <w:color w:val="182E49"/>
                <w:sz w:val="16"/>
              </w:rPr>
              <w:t>§5.5.2 ISO p.4 (PDF p.10): nominal outer diameter designated in mm, rounded upwards to 0.1 mm; stated OD tolerance ±1 French; non-round by maximum axis. §5.5.3 p.4: effective length expressed in mm (&lt;100 mm), or mm/cm (≥100 mm); ISO does not set length tolerance.</w:t>
            </w:r>
          </w:p>
        </w:tc>
        <w:tc>
          <w:tcPr>
            <w:tcW w:type="dxa" w:w="2966"/>
            <w:vAlign w:val="center"/>
            <w:shd w:fill="F2F6F9"/>
          </w:tcPr>
          <w:p>
            <w:pPr>
              <w:spacing w:line="262" w:lineRule="auto"/>
            </w:pPr>
            <w:r/>
            <w:r>
              <w:rPr>
                <w:b w:val="0"/>
                <w:color w:val="182E49"/>
                <w:sz w:val="16"/>
              </w:rPr>
              <w:t>WI p.3 §6 says ID/OD and length per specification; p.4 in-process table Redon length “500 mm”; WI p.5 §9 length “per required specification” without reference to controlled variant-specific OD/length tolerance table.</w:t>
            </w:r>
          </w:p>
        </w:tc>
        <w:tc>
          <w:tcPr>
            <w:tcW w:type="dxa" w:w="3888"/>
            <w:vAlign w:val="center"/>
            <w:shd w:fill="F2F6F9"/>
          </w:tcPr>
          <w:p>
            <w:pPr>
              <w:spacing w:line="262" w:lineRule="auto"/>
            </w:pPr>
            <w:r/>
            <w:r>
              <w:rPr>
                <w:b w:val="0"/>
                <w:color w:val="182E49"/>
                <w:sz w:val="16"/>
              </w:rPr>
              <w:t>§8 Dimensional Control: Identify product configuration/SKU and approved drawing. Record nominal OD in mm in accordance with ISO §5.5.2, applicable ISO stated-size tolerance ±1 Fr, and company drawing limits where tighter. Record effective length in proper units; establish product-specific effective-length tolerance in approved drawing (OPEN TECHNICAL INPUT REQUIRED if unavailable). Verify ID, multi-channel geometry and tube lengths using approved measurable specifications.</w:t>
            </w:r>
          </w:p>
        </w:tc>
        <w:tc>
          <w:tcPr>
            <w:tcW w:type="dxa" w:w="2808"/>
            <w:vAlign w:val="center"/>
            <w:shd w:fill="F2F6F9"/>
          </w:tcPr>
          <w:p>
            <w:pPr>
              <w:spacing w:line="262" w:lineRule="auto"/>
            </w:pPr>
            <w:r/>
            <w:r>
              <w:rPr>
                <w:b w:val="0"/>
                <w:color w:val="182E49"/>
                <w:sz w:val="16"/>
              </w:rPr>
              <w:t>F-823-i108 rows 12, 15 and 21–26: “As per requirement” OD/ID/length; F-823-i12 row 20 Redon 500 mm. No actual numeric readings/tolerances visible in time grid.</w:t>
            </w:r>
          </w:p>
        </w:tc>
        <w:tc>
          <w:tcPr>
            <w:tcW w:type="dxa" w:w="3528"/>
            <w:vAlign w:val="center"/>
            <w:shd w:fill="F2F6F9"/>
          </w:tcPr>
          <w:p>
            <w:pPr>
              <w:spacing w:line="262" w:lineRule="auto"/>
            </w:pPr>
            <w:r/>
            <w:r>
              <w:rPr>
                <w:b w:val="0"/>
                <w:color w:val="182E49"/>
                <w:sz w:val="16"/>
              </w:rPr>
              <w:t>SKU / drawing Rev / tube position / nominal OD mm / upper-lower criteria / actual OD mm / nominal ID or channels / actual reading / nominal length &amp; drawing tolerance / actual length / instrument ID / Pass-Fail.</w:t>
            </w:r>
          </w:p>
        </w:tc>
        <w:tc>
          <w:tcPr>
            <w:tcW w:type="dxa" w:w="2434"/>
            <w:vAlign w:val="center"/>
            <w:shd w:fill="F2F6F9"/>
          </w:tcPr>
          <w:p>
            <w:pPr>
              <w:spacing w:line="262" w:lineRule="auto"/>
            </w:pPr>
            <w:r/>
            <w:r>
              <w:rPr>
                <w:b w:val="0"/>
                <w:color w:val="182E49"/>
                <w:sz w:val="16"/>
              </w:rPr>
              <w:t>Required evidence: Approved drawings by size; dimensional control plan; calibrated gauge records; actual inspection results. Status: Open — Technical Input / Evidence.</w:t>
              <w:br/>
              <w:t>Control route: Routine in-process dimensional checking.</w:t>
              <w:br/>
              <w:t>Evidence reference: Pending.</w:t>
              <w:br/>
              <w:t>Closure criteria: approved controls + verified representative record.</w:t>
              <w:br/>
              <w:t>Current closure: Open — Technical Input / Evidence.</w:t>
            </w:r>
          </w:p>
        </w:tc>
      </w:tr>
      <w:tr>
        <w:trPr>
          <w:cantSplit/>
        </w:trPr>
        <w:tc>
          <w:tcPr>
            <w:tcW w:type="dxa" w:w="2952"/>
            <w:vAlign w:val="center"/>
          </w:tcPr>
          <w:p>
            <w:pPr>
              <w:spacing w:line="262" w:lineRule="auto"/>
            </w:pPr>
            <w:r/>
            <w:r>
              <w:rPr>
                <w:b w:val="0"/>
                <w:color w:val="182E49"/>
                <w:sz w:val="16"/>
              </w:rPr>
              <w:t>GAP-007 | P1 — Misconnection hazards lack verified risk review. The luer-tip and other fitting checks establish identity/fit only. No ISO 80369-1-based misconnection risk decision or approved compatible-part mapping is referenced.</w:t>
            </w:r>
          </w:p>
        </w:tc>
        <w:tc>
          <w:tcPr>
            <w:tcW w:type="dxa" w:w="3168"/>
            <w:vAlign w:val="center"/>
          </w:tcPr>
          <w:p>
            <w:pPr>
              <w:spacing w:line="262" w:lineRule="auto"/>
            </w:pPr>
            <w:r/>
            <w:r>
              <w:rPr>
                <w:b w:val="0"/>
                <w:color w:val="182E49"/>
                <w:sz w:val="16"/>
              </w:rPr>
              <w:t>§5.6 ISO p.5 (PDF p.11): avoid connector misconnection based on manufacturer risk assessment following ISO 80369-1 general principles; ISO 20697 does not prescribe one universal connector design.</w:t>
            </w:r>
          </w:p>
        </w:tc>
        <w:tc>
          <w:tcPr>
            <w:tcW w:type="dxa" w:w="2966"/>
            <w:vAlign w:val="center"/>
          </w:tcPr>
          <w:p>
            <w:pPr>
              <w:spacing w:line="262" w:lineRule="auto"/>
            </w:pPr>
            <w:r/>
            <w:r>
              <w:rPr>
                <w:b w:val="0"/>
                <w:color w:val="182E49"/>
                <w:sz w:val="16"/>
              </w:rPr>
              <w:t>WI p.2 §5.8 “Luer tip connector”; p.4 in-process “Connector type: According to size”; no misconnection evaluation or controlled compatibility matrix referenced.</w:t>
            </w:r>
          </w:p>
        </w:tc>
        <w:tc>
          <w:tcPr>
            <w:tcW w:type="dxa" w:w="3888"/>
            <w:vAlign w:val="center"/>
          </w:tcPr>
          <w:p>
            <w:pPr>
              <w:spacing w:line="262" w:lineRule="auto"/>
            </w:pPr>
            <w:r/>
            <w:r>
              <w:rPr>
                <w:b w:val="0"/>
                <w:color w:val="182E49"/>
                <w:sz w:val="16"/>
              </w:rPr>
              <w:t>§5.6 Connector Safety: Engineering/QA shall define each connector interface and intended compatible devices. Approve misconnection hazard analysis per ISO 80369-1 principles and associated design-verification controls. During assembly QC shall verify connector type against approved SKU/BOM; connector fit is checked separately from misconnections risk evidence.</w:t>
            </w:r>
          </w:p>
        </w:tc>
        <w:tc>
          <w:tcPr>
            <w:tcW w:type="dxa" w:w="2808"/>
            <w:vAlign w:val="center"/>
          </w:tcPr>
          <w:p>
            <w:pPr>
              <w:spacing w:line="262" w:lineRule="auto"/>
            </w:pPr>
            <w:r/>
            <w:r>
              <w:rPr>
                <w:b w:val="0"/>
                <w:color w:val="182E49"/>
                <w:sz w:val="16"/>
              </w:rPr>
              <w:t>F-823-i12 row 17 “According to size” and row 14 “Good fitting”; no approved compatibility matrix reference.</w:t>
            </w:r>
          </w:p>
        </w:tc>
        <w:tc>
          <w:tcPr>
            <w:tcW w:type="dxa" w:w="3528"/>
            <w:vAlign w:val="center"/>
          </w:tcPr>
          <w:p>
            <w:pPr>
              <w:spacing w:line="262" w:lineRule="auto"/>
            </w:pPr>
            <w:r/>
            <w:r>
              <w:rPr>
                <w:b w:val="0"/>
                <w:color w:val="182E49"/>
                <w:sz w:val="16"/>
              </w:rPr>
              <w:t>Connector SKU / mating accessory code / approved drawing/BOM revision / connector visual fit result / misconnection risk review ID / design validation evidence ID.</w:t>
            </w:r>
          </w:p>
        </w:tc>
        <w:tc>
          <w:tcPr>
            <w:tcW w:type="dxa" w:w="2434"/>
            <w:vAlign w:val="center"/>
          </w:tcPr>
          <w:p>
            <w:pPr>
              <w:spacing w:line="262" w:lineRule="auto"/>
            </w:pPr>
            <w:r/>
            <w:r>
              <w:rPr>
                <w:b w:val="0"/>
                <w:color w:val="182E49"/>
                <w:sz w:val="16"/>
              </w:rPr>
              <w:t>Required evidence: Approved connector compatibility and misconnection risk analysis, design-verification evidence and completed SKU-level fit checks. Status: Open — Evidence.</w:t>
              <w:br/>
              <w:t>Control route: Design risk qualification + routine component identity.</w:t>
              <w:br/>
              <w:t>Evidence reference: Pending.</w:t>
              <w:br/>
              <w:t>Closure criteria: approved controls + verified representative record.</w:t>
              <w:br/>
              <w:t>Current closure: Open — Evidence / Approval.</w:t>
            </w:r>
          </w:p>
        </w:tc>
      </w:tr>
      <w:tr>
        <w:trPr>
          <w:cantSplit/>
        </w:trPr>
        <w:tc>
          <w:tcPr>
            <w:tcW w:type="dxa" w:w="2952"/>
            <w:vAlign w:val="center"/>
            <w:shd w:fill="F2F6F9"/>
          </w:tcPr>
          <w:p>
            <w:pPr>
              <w:spacing w:line="262" w:lineRule="auto"/>
            </w:pPr>
            <w:r/>
            <w:r>
              <w:rPr>
                <w:b w:val="0"/>
                <w:color w:val="182E49"/>
                <w:sz w:val="16"/>
              </w:rPr>
              <w:t>GAP-008 | P1 — Maximum vacuum deformation test not operationally defined. Annex C is cited but the maximum rated negative pressure, sample conditioning, ≥60-second duration and functional deformation conclusion are missing from instructions/evidence.</w:t>
            </w:r>
          </w:p>
        </w:tc>
        <w:tc>
          <w:tcPr>
            <w:tcW w:type="dxa" w:w="3168"/>
            <w:vAlign w:val="center"/>
            <w:shd w:fill="F2F6F9"/>
          </w:tcPr>
          <w:p>
            <w:pPr>
              <w:spacing w:line="262" w:lineRule="auto"/>
            </w:pPr>
            <w:r/>
            <w:r>
              <w:rPr>
                <w:b w:val="0"/>
                <w:color w:val="182E49"/>
                <w:sz w:val="16"/>
              </w:rPr>
              <w:t>§6.3 ISO p.6 (PDF p.12), Annex C ISO p.14 (PDF p.20): device under manufacturer-defined maximum negative pressure must not collapse to impair function; ready-to-use test; body-inserted parts (37±2)°C ≥15 min, others (22±2)°C and RH ≥40% ≥15 min; apply max pressure ≥60 s.</w:t>
            </w:r>
          </w:p>
        </w:tc>
        <w:tc>
          <w:tcPr>
            <w:tcW w:type="dxa" w:w="2966"/>
            <w:vAlign w:val="center"/>
            <w:shd w:fill="F2F6F9"/>
          </w:tcPr>
          <w:p>
            <w:pPr>
              <w:spacing w:line="262" w:lineRule="auto"/>
            </w:pPr>
            <w:r/>
            <w:r>
              <w:rPr>
                <w:b w:val="0"/>
                <w:color w:val="182E49"/>
                <w:sz w:val="16"/>
              </w:rPr>
              <w:t>WI p.5 §10.2 refers Annex C and absence of deformation/detachment but does not state defined maximum negative pressure, conditioning, ≥60 s or acceptance linked to functional impairment.</w:t>
            </w:r>
          </w:p>
        </w:tc>
        <w:tc>
          <w:tcPr>
            <w:tcW w:type="dxa" w:w="3888"/>
            <w:vAlign w:val="center"/>
            <w:shd w:fill="F2F6F9"/>
          </w:tcPr>
          <w:p>
            <w:pPr>
              <w:spacing w:line="262" w:lineRule="auto"/>
            </w:pPr>
            <w:r/>
            <w:r>
              <w:rPr>
                <w:b w:val="0"/>
                <w:color w:val="182E49"/>
                <w:sz w:val="16"/>
              </w:rPr>
              <w:t>§10.2 Deformation Qualification: Test representative ready-for-use configurations as ISO 20697 Annex C. Condition insertion portions in water/100% RH at (37±2)°C ≥15 min and other components at (22±2)°C, ≥40% RH ≥15 min; immediately apply approved maximum negative pressure [OPEN TECHNICAL INPUT REQUIRED, Pa/kPa] for ≥60 s. Record any collapse/deformation and whether drainage function is impaired; reject if function-impaired. Control route per approved plan; no automatic every-lot requirement.</w:t>
            </w:r>
          </w:p>
        </w:tc>
        <w:tc>
          <w:tcPr>
            <w:tcW w:type="dxa" w:w="2808"/>
            <w:vAlign w:val="center"/>
            <w:shd w:fill="F2F6F9"/>
          </w:tcPr>
          <w:p>
            <w:pPr>
              <w:spacing w:line="262" w:lineRule="auto"/>
            </w:pPr>
            <w:r/>
            <w:r>
              <w:rPr>
                <w:b w:val="0"/>
                <w:color w:val="182E49"/>
                <w:sz w:val="16"/>
              </w:rPr>
              <w:t>F-823-i12 row 15 “No leakage Manual”; this is not deformation Annex C. F-823-i108 no measured negative-pressure field.</w:t>
            </w:r>
          </w:p>
        </w:tc>
        <w:tc>
          <w:tcPr>
            <w:tcW w:type="dxa" w:w="3528"/>
            <w:vAlign w:val="center"/>
            <w:shd w:fill="F2F6F9"/>
          </w:tcPr>
          <w:p>
            <w:pPr>
              <w:spacing w:line="262" w:lineRule="auto"/>
            </w:pPr>
            <w:r/>
            <w:r>
              <w:rPr>
                <w:b w:val="0"/>
                <w:color w:val="182E49"/>
                <w:sz w:val="16"/>
              </w:rPr>
              <w:t>External verification linkage: max pressure specification [Pa/kPa] / Annex C record ID / config &amp; revision / date / observed deformation / performance conclusion / approved acceptance. Routine form: reference to current qualification [no daily Annex C test unless approved plan requires].</w:t>
            </w:r>
          </w:p>
        </w:tc>
        <w:tc>
          <w:tcPr>
            <w:tcW w:type="dxa" w:w="2434"/>
            <w:vAlign w:val="center"/>
            <w:shd w:fill="F2F6F9"/>
          </w:tcPr>
          <w:p>
            <w:pPr>
              <w:spacing w:line="262" w:lineRule="auto"/>
            </w:pPr>
            <w:r/>
            <w:r>
              <w:rPr>
                <w:b w:val="0"/>
                <w:color w:val="182E49"/>
                <w:sz w:val="16"/>
              </w:rPr>
              <w:t>Required evidence: Approved max negative pressure and completed Annex C report incl conditions, duration, finding and functional acceptance, mapped to SKU. Status: Open — Technical Input / Evidence.</w:t>
              <w:br/>
              <w:t>Control route: Qualification / approved periodic plan.</w:t>
              <w:br/>
              <w:t>Evidence reference: Pending.</w:t>
              <w:br/>
              <w:t>Closure criteria: approved controls + verified representative record.</w:t>
              <w:br/>
              <w:t>Current closure: Open — Technical Input / Evidence.</w:t>
            </w:r>
          </w:p>
        </w:tc>
      </w:tr>
      <w:tr>
        <w:trPr>
          <w:cantSplit/>
        </w:trPr>
        <w:tc>
          <w:tcPr>
            <w:tcW w:type="dxa" w:w="2952"/>
            <w:vAlign w:val="center"/>
          </w:tcPr>
          <w:p>
            <w:pPr>
              <w:spacing w:line="262" w:lineRule="auto"/>
            </w:pPr>
            <w:r/>
            <w:r>
              <w:rPr>
                <w:b w:val="0"/>
                <w:color w:val="182E49"/>
                <w:sz w:val="16"/>
              </w:rPr>
              <w:t>GAP-009 | P2 — Corrosion Annex B procedure and evidence unspecified. Trocar checks describe absence of rust and cite Annex B, but omit the saline/boiling/cooling sequence, exposure conditions and traceable completed corrosion reports.</w:t>
            </w:r>
          </w:p>
        </w:tc>
        <w:tc>
          <w:tcPr>
            <w:tcW w:type="dxa" w:w="3168"/>
            <w:vAlign w:val="center"/>
          </w:tcPr>
          <w:p>
            <w:pPr>
              <w:spacing w:line="262" w:lineRule="auto"/>
            </w:pPr>
            <w:r/>
            <w:r>
              <w:rPr>
                <w:b w:val="0"/>
                <w:color w:val="182E49"/>
                <w:sz w:val="16"/>
              </w:rPr>
              <w:t>§6.2 ISO p.6 (PDF p.12) conditional on relevant exposed metal corrosion risk; Annex B ISO p.13 (PDF p.19): 0.15 mol/L NaCl 22±5°C 5 h; boiling water 30 min; 37±2°C 48 h; dry and inspect for corrosion.</w:t>
            </w:r>
          </w:p>
        </w:tc>
        <w:tc>
          <w:tcPr>
            <w:tcW w:type="dxa" w:w="2966"/>
            <w:vAlign w:val="center"/>
          </w:tcPr>
          <w:p>
            <w:pPr>
              <w:spacing w:line="262" w:lineRule="auto"/>
            </w:pPr>
            <w:r/>
            <w:r>
              <w:rPr>
                <w:b w:val="0"/>
                <w:color w:val="182E49"/>
                <w:sz w:val="16"/>
              </w:rPr>
              <w:t>WI p.4 §8 Trocar “free from corrosion and rust particle”; p.5 §10.1 refers ISO Annex B but omits method conditions, applicability decision and test-record linkage.</w:t>
            </w:r>
          </w:p>
        </w:tc>
        <w:tc>
          <w:tcPr>
            <w:tcW w:type="dxa" w:w="3888"/>
            <w:vAlign w:val="center"/>
          </w:tcPr>
          <w:p>
            <w:pPr>
              <w:spacing w:line="262" w:lineRule="auto"/>
            </w:pPr>
            <w:r/>
            <w:r>
              <w:rPr>
                <w:b w:val="0"/>
                <w:color w:val="182E49"/>
                <w:sz w:val="16"/>
              </w:rPr>
              <w:t>§10.1 Trocar Corrosion: For exposed metallic trocar elements where corrosion could impair function, conduct Annex B verification using prescribed saline/thermal sequence; examine dried specimen for visible corrosion. Record lot/configuration, test solutions/time/temperature, corrosion observation and result. Incoming visual rust inspection remains separate. Confirm alternate durations only with documented clinical-risk justification.</w:t>
            </w:r>
          </w:p>
        </w:tc>
        <w:tc>
          <w:tcPr>
            <w:tcW w:type="dxa" w:w="2808"/>
            <w:vAlign w:val="center"/>
          </w:tcPr>
          <w:p>
            <w:pPr>
              <w:spacing w:line="262" w:lineRule="auto"/>
            </w:pPr>
            <w:r/>
            <w:r>
              <w:rPr>
                <w:b w:val="0"/>
                <w:color w:val="182E49"/>
                <w:sz w:val="16"/>
              </w:rPr>
              <w:t>F-823-i12 row 18 Trocar size and row 19 sharpness; F-823-i108 rows 18–19 trocar attachment/dimension; no corrosion test link.</w:t>
            </w:r>
          </w:p>
        </w:tc>
        <w:tc>
          <w:tcPr>
            <w:tcW w:type="dxa" w:w="3528"/>
            <w:vAlign w:val="center"/>
          </w:tcPr>
          <w:p>
            <w:pPr>
              <w:spacing w:line="262" w:lineRule="auto"/>
            </w:pPr>
            <w:r/>
            <w:r>
              <w:rPr>
                <w:b w:val="0"/>
                <w:color w:val="182E49"/>
                <w:sz w:val="16"/>
              </w:rPr>
              <w:t>Incoming trocar appearance/rust [Pass-Fail] / material certificate ref / Annex B report ID or justified risk N/A / approved period / outcome [Pass-Fail-Pending].</w:t>
            </w:r>
          </w:p>
        </w:tc>
        <w:tc>
          <w:tcPr>
            <w:tcW w:type="dxa" w:w="2434"/>
            <w:vAlign w:val="center"/>
          </w:tcPr>
          <w:p>
            <w:pPr>
              <w:spacing w:line="262" w:lineRule="auto"/>
            </w:pPr>
            <w:r/>
            <w:r>
              <w:rPr>
                <w:b w:val="0"/>
                <w:color w:val="182E49"/>
                <w:sz w:val="16"/>
              </w:rPr>
              <w:t>Required evidence: Approved exposed-metal risk decision, materials trace, Annex B completed report and incoming rust checks; Status: Open — Evidence.</w:t>
              <w:br/>
              <w:t>Control route: Incoming inspection + qualification / supplier verification.</w:t>
              <w:br/>
              <w:t>Evidence reference: Pending.</w:t>
              <w:br/>
              <w:t>Closure criteria: approved controls + verified representative record.</w:t>
              <w:br/>
              <w:t>Current closure: Open — Evidence / Approval.</w:t>
            </w:r>
          </w:p>
        </w:tc>
      </w:tr>
      <w:tr>
        <w:trPr>
          <w:cantSplit/>
        </w:trPr>
        <w:tc>
          <w:tcPr>
            <w:tcW w:type="dxa" w:w="2952"/>
            <w:vAlign w:val="center"/>
            <w:shd w:fill="F2F6F9"/>
          </w:tcPr>
          <w:p>
            <w:pPr>
              <w:spacing w:line="262" w:lineRule="auto"/>
            </w:pPr>
            <w:r/>
            <w:r>
              <w:rPr>
                <w:b w:val="0"/>
                <w:color w:val="182E49"/>
                <w:sz w:val="16"/>
              </w:rPr>
              <w:t>GAP-010 | P1 — External connector tensile limits absent. External connectors are checked by “Strong/No pullout” only. WI §10.3 cites Annex E instead of the separate Annex D/Table 1 minimum-force requirements for external connectors.</w:t>
            </w:r>
          </w:p>
        </w:tc>
        <w:tc>
          <w:tcPr>
            <w:tcW w:type="dxa" w:w="3168"/>
            <w:vAlign w:val="center"/>
            <w:shd w:fill="F2F6F9"/>
          </w:tcPr>
          <w:p>
            <w:pPr>
              <w:spacing w:line="262" w:lineRule="auto"/>
            </w:pPr>
            <w:r/>
            <w:r>
              <w:rPr>
                <w:b w:val="0"/>
                <w:color w:val="182E49"/>
                <w:sz w:val="16"/>
              </w:rPr>
              <w:t>§6.4.1 ISO p.6 (PDF p.12), Table 1 / Annex D ISO p.15 (PDF p.21): for outer diameter ≥2≤4 mm minimum 5 N; &gt;4 mm minimum 15 N; &lt;2 mm manufacturer determines via risk. Annex D tensile speed 500 mm/min; no separation.</w:t>
            </w:r>
          </w:p>
        </w:tc>
        <w:tc>
          <w:tcPr>
            <w:tcW w:type="dxa" w:w="2966"/>
            <w:vAlign w:val="center"/>
            <w:shd w:fill="F2F6F9"/>
          </w:tcPr>
          <w:p>
            <w:pPr>
              <w:spacing w:line="262" w:lineRule="auto"/>
            </w:pPr>
            <w:r/>
            <w:r>
              <w:rPr>
                <w:b w:val="0"/>
                <w:color w:val="182E49"/>
                <w:sz w:val="16"/>
              </w:rPr>
              <w:t>WI pp.4–5 §8.1.1 says connector fitting “Strong, No pullout”; p.6 §10.3 only references Annex E generally, not connector-specific Annex D or Table 1.</w:t>
            </w:r>
          </w:p>
        </w:tc>
        <w:tc>
          <w:tcPr>
            <w:tcW w:type="dxa" w:w="3888"/>
            <w:vAlign w:val="center"/>
            <w:shd w:fill="F2F6F9"/>
          </w:tcPr>
          <w:p>
            <w:pPr>
              <w:spacing w:line="262" w:lineRule="auto"/>
            </w:pPr>
            <w:r/>
            <w:r>
              <w:rPr>
                <w:b w:val="0"/>
                <w:color w:val="182E49"/>
                <w:sz w:val="16"/>
              </w:rPr>
              <w:t>§10.3.1 External Connections: Map each recommended external mating connection and smallest connected tubular OD. For 2–4 mm require no separation at 5 N; for &gt;4 mm no separation at 15 N, Annex D at 500 mm/min. For &lt;2 mm use approved risk-based force (OPEN TECHNICAL INPUT REQUIRED). Record connection ID, OD, force and separation; verify by qualified/approved control frequency. Routine manual pull-check cannot replace Annex D proof.</w:t>
            </w:r>
          </w:p>
        </w:tc>
        <w:tc>
          <w:tcPr>
            <w:tcW w:type="dxa" w:w="2808"/>
            <w:vAlign w:val="center"/>
            <w:shd w:fill="F2F6F9"/>
          </w:tcPr>
          <w:p>
            <w:pPr>
              <w:spacing w:line="262" w:lineRule="auto"/>
            </w:pPr>
            <w:r/>
            <w:r>
              <w:rPr>
                <w:b w:val="0"/>
                <w:color w:val="182E49"/>
                <w:sz w:val="16"/>
              </w:rPr>
              <w:t>F-823-i12 rows 12/23 “Strong, No pullout”; row 14 “Good fitting”; no measured N results.</w:t>
            </w:r>
          </w:p>
        </w:tc>
        <w:tc>
          <w:tcPr>
            <w:tcW w:type="dxa" w:w="3528"/>
            <w:vAlign w:val="center"/>
            <w:shd w:fill="F2F6F9"/>
          </w:tcPr>
          <w:p>
            <w:pPr>
              <w:spacing w:line="262" w:lineRule="auto"/>
            </w:pPr>
            <w:r/>
            <w:r>
              <w:rPr>
                <w:b w:val="0"/>
                <w:color w:val="182E49"/>
                <w:sz w:val="16"/>
              </w:rPr>
              <w:t>Connector assembly visual fit [Pass-Fail] / Table 1 strength verification reference [record ID] / OD &amp; threshold [N] / actual force / no separation [Y/N] / qualification status.</w:t>
            </w:r>
          </w:p>
        </w:tc>
        <w:tc>
          <w:tcPr>
            <w:tcW w:type="dxa" w:w="2434"/>
            <w:vAlign w:val="center"/>
            <w:shd w:fill="F2F6F9"/>
          </w:tcPr>
          <w:p>
            <w:pPr>
              <w:spacing w:line="262" w:lineRule="auto"/>
            </w:pPr>
            <w:r/>
            <w:r>
              <w:rPr>
                <w:b w:val="0"/>
                <w:color w:val="182E49"/>
                <w:sz w:val="16"/>
              </w:rPr>
              <w:t>Required evidence: Verified Annex D report with force, OD, test speed and separation outcome + controlled part/config mapping. Status: Open — Evidence.</w:t>
              <w:br/>
              <w:t>Control route: Type qualification / periodic verification.</w:t>
              <w:br/>
              <w:t>Evidence reference: Pending.</w:t>
              <w:br/>
              <w:t>Closure criteria: approved controls + verified representative record.</w:t>
              <w:br/>
              <w:t>Current closure: Open — Evidence / Approval.</w:t>
            </w:r>
          </w:p>
        </w:tc>
      </w:tr>
      <w:tr>
        <w:trPr>
          <w:cantSplit/>
        </w:trPr>
        <w:tc>
          <w:tcPr>
            <w:tcW w:type="dxa" w:w="2952"/>
            <w:vAlign w:val="center"/>
          </w:tcPr>
          <w:p>
            <w:pPr>
              <w:spacing w:line="262" w:lineRule="auto"/>
            </w:pPr>
            <w:r/>
            <w:r>
              <w:rPr>
                <w:b w:val="0"/>
                <w:color w:val="182E49"/>
                <w:sz w:val="16"/>
              </w:rPr>
              <w:t>GAP-011 | P1 — Tube and bonded-junction tensile criteria missing. Tube junctions and adhesive bonds have no Table 2 numerical limits, gauge-length strain speed, conditioning or actual Newton results, so Annex E performance is unverified.</w:t>
            </w:r>
          </w:p>
        </w:tc>
        <w:tc>
          <w:tcPr>
            <w:tcW w:type="dxa" w:w="3168"/>
            <w:vAlign w:val="center"/>
          </w:tcPr>
          <w:p>
            <w:pPr>
              <w:spacing w:line="262" w:lineRule="auto"/>
            </w:pPr>
            <w:r/>
            <w:r>
              <w:rPr>
                <w:b w:val="0"/>
                <w:color w:val="182E49"/>
                <w:sz w:val="16"/>
              </w:rPr>
              <w:t>§6.4.2 ISO p.7 (PDF p.13), Table 2 / Annex E ISO pp.16–17 (PDF pp.22–23): minimum 10 N for test piece OD 2–4 mm and 20 N for &gt;4 mm; &lt;2 mm risk-based; test each relevant tubular portion/junction with specified conditioning and strain rate.</w:t>
            </w:r>
          </w:p>
        </w:tc>
        <w:tc>
          <w:tcPr>
            <w:tcW w:type="dxa" w:w="2966"/>
            <w:vAlign w:val="center"/>
          </w:tcPr>
          <w:p>
            <w:pPr>
              <w:spacing w:line="262" w:lineRule="auto"/>
            </w:pPr>
            <w:r/>
            <w:r>
              <w:rPr>
                <w:b w:val="0"/>
                <w:color w:val="182E49"/>
                <w:sz w:val="16"/>
              </w:rPr>
              <w:t>WI p.4 §8 requires strong gluing/no pullout and p.6 §10.3 incorrectly leaves “standard force” undefined. Annex E citation exists but lacks Table 2 force and method.</w:t>
            </w:r>
          </w:p>
        </w:tc>
        <w:tc>
          <w:tcPr>
            <w:tcW w:type="dxa" w:w="3888"/>
            <w:vAlign w:val="center"/>
          </w:tcPr>
          <w:p>
            <w:pPr>
              <w:spacing w:line="262" w:lineRule="auto"/>
            </w:pPr>
            <w:r/>
            <w:r>
              <w:rPr>
                <w:b w:val="0"/>
                <w:color w:val="182E49"/>
                <w:sz w:val="16"/>
              </w:rPr>
              <w:t>§10.3.2 Tubular/Junction Strength: Identify each catheter tubular segment and bonded junction. After Annex E conditioning (insertion portions at 37±2°C/100% RH or water ≥2 h; other portions 22±5°C/≥40% RH ≥2 h), apply tensile strain 20 mm/min per mm gauge length until separation or applicable specified force. Accept ≥10 N for 2–4 mm; ≥20 N for &gt;4 mm; &lt;2 mm manufacturer-approved risk-based limit. Record OD, gauge length, speed, force and failure location.</w:t>
            </w:r>
          </w:p>
        </w:tc>
        <w:tc>
          <w:tcPr>
            <w:tcW w:type="dxa" w:w="2808"/>
            <w:vAlign w:val="center"/>
          </w:tcPr>
          <w:p>
            <w:pPr>
              <w:spacing w:line="262" w:lineRule="auto"/>
            </w:pPr>
            <w:r/>
            <w:r>
              <w:rPr>
                <w:b w:val="0"/>
                <w:color w:val="182E49"/>
                <w:sz w:val="16"/>
              </w:rPr>
              <w:t>F-823-i12 rows 12, 23 manual “Strong, No pullout”; F-823-i108 row 18 “Good fixing and not pulled out”; no actual tensile values.</w:t>
            </w:r>
          </w:p>
        </w:tc>
        <w:tc>
          <w:tcPr>
            <w:tcW w:type="dxa" w:w="3528"/>
            <w:vAlign w:val="center"/>
          </w:tcPr>
          <w:p>
            <w:pPr>
              <w:spacing w:line="262" w:lineRule="auto"/>
            </w:pPr>
            <w:r/>
            <w:r>
              <w:rPr>
                <w:b w:val="0"/>
                <w:color w:val="182E49"/>
                <w:sz w:val="16"/>
              </w:rPr>
              <w:t>Bonding visual/manual check [Pass-Fail] / Annex E approved force [N] / measured [N] / failed location / controlled lab verification reference / per-SKU applicability.</w:t>
            </w:r>
          </w:p>
        </w:tc>
        <w:tc>
          <w:tcPr>
            <w:tcW w:type="dxa" w:w="2434"/>
            <w:vAlign w:val="center"/>
          </w:tcPr>
          <w:p>
            <w:pPr>
              <w:spacing w:line="262" w:lineRule="auto"/>
            </w:pPr>
            <w:r/>
            <w:r>
              <w:rPr>
                <w:b w:val="0"/>
                <w:color w:val="182E49"/>
                <w:sz w:val="16"/>
              </w:rPr>
              <w:t>Required evidence: Completed Annex E force reports for each relevant segment/junction, calibrated tester and approved sampling/control plan. Status: Open — Evidence / Technical Input.</w:t>
              <w:br/>
              <w:t>Control route: Qualification + approved periodic verification.</w:t>
              <w:br/>
              <w:t>Evidence reference: Pending.</w:t>
              <w:br/>
              <w:t>Closure criteria: approved controls + verified representative record.</w:t>
              <w:br/>
              <w:t>Current closure: Open — Technical Input / Evidence.</w:t>
            </w:r>
          </w:p>
        </w:tc>
      </w:tr>
      <w:tr>
        <w:trPr>
          <w:cantSplit/>
        </w:trPr>
        <w:tc>
          <w:tcPr>
            <w:tcW w:type="dxa" w:w="2952"/>
            <w:vAlign w:val="center"/>
            <w:shd w:fill="F2F6F9"/>
          </w:tcPr>
          <w:p>
            <w:pPr>
              <w:spacing w:line="262" w:lineRule="auto"/>
            </w:pPr>
            <w:r/>
            <w:r>
              <w:rPr>
                <w:b w:val="0"/>
                <w:color w:val="182E49"/>
                <w:sz w:val="16"/>
              </w:rPr>
              <w:t>GAP-012 | P1 — Bellow collection-device impact performance not substantiated. The bellows device is visually checked for leaks/capacity, while ISO Annex F impact, 700-mm drop and ≤2% vacuum-loss evidence are not included or linked.</w:t>
            </w:r>
          </w:p>
        </w:tc>
        <w:tc>
          <w:tcPr>
            <w:tcW w:type="dxa" w:w="3168"/>
            <w:vAlign w:val="center"/>
            <w:shd w:fill="F2F6F9"/>
          </w:tcPr>
          <w:p>
            <w:pPr>
              <w:spacing w:line="262" w:lineRule="auto"/>
            </w:pPr>
            <w:r/>
            <w:r>
              <w:rPr>
                <w:b w:val="0"/>
                <w:color w:val="182E49"/>
                <w:sz w:val="16"/>
              </w:rPr>
              <w:t>§6.5 ISO p.7 (PDF p.13), Annex F ISO pp.18–19 (PDF pp.24–25): collection device must not leak and suction source must not lose &gt;2% vacuum in defined impact test; drop height 700 mm at (22±5)°C, measure pressure before and ≥60 s after drop.</w:t>
            </w:r>
          </w:p>
        </w:tc>
        <w:tc>
          <w:tcPr>
            <w:tcW w:type="dxa" w:w="2966"/>
            <w:vAlign w:val="center"/>
            <w:shd w:fill="F2F6F9"/>
          </w:tcPr>
          <w:p>
            <w:pPr>
              <w:spacing w:line="262" w:lineRule="auto"/>
            </w:pPr>
            <w:r/>
            <w:r>
              <w:rPr>
                <w:b w:val="0"/>
                <w:color w:val="182E49"/>
                <w:sz w:val="16"/>
              </w:rPr>
              <w:t>WI p.2 §5.3 “no damaged ... should be leakage free”; no impact test defined for bellow pump or loss of vacuum.</w:t>
            </w:r>
          </w:p>
        </w:tc>
        <w:tc>
          <w:tcPr>
            <w:tcW w:type="dxa" w:w="3888"/>
            <w:vAlign w:val="center"/>
            <w:shd w:fill="F2F6F9"/>
          </w:tcPr>
          <w:p>
            <w:pPr>
              <w:spacing w:line="262" w:lineRule="auto"/>
            </w:pPr>
            <w:r/>
            <w:r>
              <w:rPr>
                <w:b w:val="0"/>
                <w:color w:val="182E49"/>
                <w:sz w:val="16"/>
              </w:rPr>
              <w:t>§10.4 Collection Device Impact: For relevant bellows/collection unit, conduct Annex F impact testing on representative ready-for-use configuration. Fill collection device to claimed capacity, seal port and free-fall 700 mm onto specified hard surface at (22±5)°C; accept no leakage. For a suction source measure maximum negative pressure before and no earlier than 60 s after impact; maximum vacuum loss 2%. Record test configuration and before/after values.</w:t>
            </w:r>
          </w:p>
        </w:tc>
        <w:tc>
          <w:tcPr>
            <w:tcW w:type="dxa" w:w="2808"/>
            <w:vAlign w:val="center"/>
            <w:shd w:fill="F2F6F9"/>
          </w:tcPr>
          <w:p>
            <w:pPr>
              <w:spacing w:line="262" w:lineRule="auto"/>
            </w:pPr>
            <w:r/>
            <w:r>
              <w:rPr>
                <w:b w:val="0"/>
                <w:color w:val="182E49"/>
                <w:sz w:val="16"/>
              </w:rPr>
              <w:t>F-823-i12 rows 11, 15 and 16 have appearance/manual leak/capacity, no impact result or controlled report link.</w:t>
            </w:r>
          </w:p>
        </w:tc>
        <w:tc>
          <w:tcPr>
            <w:tcW w:type="dxa" w:w="3528"/>
            <w:vAlign w:val="center"/>
            <w:shd w:fill="F2F6F9"/>
          </w:tcPr>
          <w:p>
            <w:pPr>
              <w:spacing w:line="262" w:lineRule="auto"/>
            </w:pPr>
            <w:r/>
            <w:r>
              <w:rPr>
                <w:b w:val="0"/>
                <w:color w:val="182E49"/>
                <w:sz w:val="16"/>
              </w:rPr>
              <w:t>Collection/suction configuration / impact qualification ID / capacity and vacuum claim / before kPa / after kPa / loss % / leaked Y-N / acceptance / validation date.</w:t>
            </w:r>
          </w:p>
        </w:tc>
        <w:tc>
          <w:tcPr>
            <w:tcW w:type="dxa" w:w="2434"/>
            <w:vAlign w:val="center"/>
            <w:shd w:fill="F2F6F9"/>
          </w:tcPr>
          <w:p>
            <w:pPr>
              <w:spacing w:line="262" w:lineRule="auto"/>
            </w:pPr>
            <w:r/>
            <w:r>
              <w:rPr>
                <w:b w:val="0"/>
                <w:color w:val="182E49"/>
                <w:sz w:val="16"/>
              </w:rPr>
              <w:t>Required evidence: Annex F report, equipment qualification, before-after readings, SKU match and QA approval. Status: Open — Evidence.</w:t>
              <w:br/>
              <w:t>Control route: Type / qualification testing.</w:t>
              <w:br/>
              <w:t>Evidence reference: Pending.</w:t>
              <w:br/>
              <w:t>Closure criteria: approved controls + verified representative record.</w:t>
              <w:br/>
              <w:t>Current closure: Open — Evidence / Approval.</w:t>
            </w:r>
          </w:p>
        </w:tc>
      </w:tr>
      <w:tr>
        <w:trPr>
          <w:cantSplit/>
        </w:trPr>
        <w:tc>
          <w:tcPr>
            <w:tcW w:type="dxa" w:w="2952"/>
            <w:vAlign w:val="center"/>
          </w:tcPr>
          <w:p>
            <w:pPr>
              <w:spacing w:line="262" w:lineRule="auto"/>
            </w:pPr>
            <w:r/>
            <w:r>
              <w:rPr>
                <w:b w:val="0"/>
                <w:color w:val="182E49"/>
                <w:sz w:val="16"/>
              </w:rPr>
              <w:t>GAP-013 | P1 — Vacuum air-leak testing lacks ISO method and limits. Manual bellows leak check does not define ISO Annex M de-aerated-water setup, maximum negative pressure or 120+120-second exposure; equivalent performance evidence is absent.</w:t>
            </w:r>
          </w:p>
        </w:tc>
        <w:tc>
          <w:tcPr>
            <w:tcW w:type="dxa" w:w="3168"/>
            <w:vAlign w:val="center"/>
          </w:tcPr>
          <w:p>
            <w:pPr>
              <w:spacing w:line="262" w:lineRule="auto"/>
            </w:pPr>
            <w:r/>
            <w:r>
              <w:rPr>
                <w:b w:val="0"/>
                <w:color w:val="182E49"/>
                <w:sz w:val="16"/>
              </w:rPr>
              <w:t>§6.11 ISO p.8 (PDF p.14), Annex M ISO pp.35–36 (PDF pp.41–42): no air ingress at manufacturer-defined max negative pressure; de-aerated water 22±5°C; stabilize 120 s then maintain 120 s; record location of any leakage.</w:t>
            </w:r>
          </w:p>
        </w:tc>
        <w:tc>
          <w:tcPr>
            <w:tcW w:type="dxa" w:w="2966"/>
            <w:vAlign w:val="center"/>
          </w:tcPr>
          <w:p>
            <w:pPr>
              <w:spacing w:line="262" w:lineRule="auto"/>
            </w:pPr>
            <w:r/>
            <w:r>
              <w:rPr>
                <w:b w:val="0"/>
                <w:color w:val="182E49"/>
                <w:sz w:val="16"/>
              </w:rPr>
              <w:t>WI p.4 §8.1.1 leak test “No leakage Manual”; WI p.2 §5.3 leakage free. No Annex M method, max pressure or 120+120 s hold is specified.</w:t>
            </w:r>
          </w:p>
        </w:tc>
        <w:tc>
          <w:tcPr>
            <w:tcW w:type="dxa" w:w="3888"/>
            <w:vAlign w:val="center"/>
          </w:tcPr>
          <w:p>
            <w:pPr>
              <w:spacing w:line="262" w:lineRule="auto"/>
            </w:pPr>
            <w:r/>
            <w:r>
              <w:rPr>
                <w:b w:val="0"/>
                <w:color w:val="182E49"/>
                <w:sz w:val="16"/>
              </w:rPr>
              <w:t>§10.5 Vacuum Leak Qualification: Assemble ready-for-use drainage system; fill with de-aerated distilled/deionized water at (22±5)°C, eliminate air, occlude, apply approved max negative pressure [OPEN TECHNICAL INPUT REQUIRED]. Stabilize 120 s then maintain additional 120 s. Observe bubbles/air ingress; accept none. Record pressure, time, leak site and disposition. Manual in-process leak check is an additional production screen, not evidence of Annex M conformity unless shown equivalent/approved.</w:t>
            </w:r>
          </w:p>
        </w:tc>
        <w:tc>
          <w:tcPr>
            <w:tcW w:type="dxa" w:w="2808"/>
            <w:vAlign w:val="center"/>
          </w:tcPr>
          <w:p>
            <w:pPr>
              <w:spacing w:line="262" w:lineRule="auto"/>
            </w:pPr>
            <w:r/>
            <w:r>
              <w:rPr>
                <w:b w:val="0"/>
                <w:color w:val="182E49"/>
                <w:sz w:val="16"/>
              </w:rPr>
              <w:t>F-823-i12 row 15 “No leakage Manual”; no pressure/time, actual method or pass criteria for Annex M.</w:t>
            </w:r>
          </w:p>
        </w:tc>
        <w:tc>
          <w:tcPr>
            <w:tcW w:type="dxa" w:w="3528"/>
            <w:vAlign w:val="center"/>
          </w:tcPr>
          <w:p>
            <w:pPr>
              <w:spacing w:line="262" w:lineRule="auto"/>
            </w:pPr>
            <w:r/>
            <w:r>
              <w:rPr>
                <w:b w:val="0"/>
                <w:color w:val="182E49"/>
                <w:sz w:val="16"/>
              </w:rPr>
              <w:t>Routine manual leak screen: test setup [approved WI reference], actual observation [leak/no leak], component ID/time. Separate Annex M record ID / max pressure kPa / actual test and result / approved frequency.</w:t>
            </w:r>
          </w:p>
        </w:tc>
        <w:tc>
          <w:tcPr>
            <w:tcW w:type="dxa" w:w="2434"/>
            <w:vAlign w:val="center"/>
          </w:tcPr>
          <w:p>
            <w:pPr>
              <w:spacing w:line="262" w:lineRule="auto"/>
            </w:pPr>
            <w:r/>
            <w:r>
              <w:rPr>
                <w:b w:val="0"/>
                <w:color w:val="182E49"/>
                <w:sz w:val="16"/>
              </w:rPr>
              <w:t>Required evidence: Approved vacuum-pressure specification; ISO Annex M test report showing 120+120 s, pressure and outcome; controlled lot/variant mapping. Status: Open — Technical Input / Evidence.</w:t>
              <w:br/>
              <w:t>Control route: Routine manual check + qualification/periodic Annex M.</w:t>
              <w:br/>
              <w:t>Evidence reference: Pending.</w:t>
              <w:br/>
              <w:t>Closure criteria: approved controls + verified representative record.</w:t>
              <w:br/>
              <w:t>Current closure: Open — Technical Input / Evidence.</w:t>
            </w:r>
          </w:p>
        </w:tc>
      </w:tr>
      <w:tr>
        <w:trPr>
          <w:cantSplit/>
        </w:trPr>
        <w:tc>
          <w:tcPr>
            <w:tcW w:type="dxa" w:w="2952"/>
            <w:vAlign w:val="center"/>
            <w:shd w:fill="F2F6F9"/>
          </w:tcPr>
          <w:p>
            <w:pPr>
              <w:spacing w:line="262" w:lineRule="auto"/>
            </w:pPr>
            <w:r/>
            <w:r>
              <w:rPr>
                <w:b w:val="0"/>
                <w:color w:val="182E49"/>
                <w:sz w:val="16"/>
              </w:rPr>
              <w:t>GAP-014 | P2 — Claimed flow-rate verification is conditional but unmapped. Blocked-channel appearance checks cannot verify quantitative flow performance if flow is claimed; no claim applicability determination or per-lumen Annex G result is available.</w:t>
            </w:r>
          </w:p>
        </w:tc>
        <w:tc>
          <w:tcPr>
            <w:tcW w:type="dxa" w:w="3168"/>
            <w:vAlign w:val="center"/>
            <w:shd w:fill="F2F6F9"/>
          </w:tcPr>
          <w:p>
            <w:pPr>
              <w:spacing w:line="262" w:lineRule="auto"/>
            </w:pPr>
            <w:r/>
            <w:r>
              <w:rPr>
                <w:b w:val="0"/>
                <w:color w:val="182E49"/>
                <w:sz w:val="16"/>
              </w:rPr>
              <w:t>§6.6 ISO p.7 (PDF p.13), Annex G ISO pp.20–21 (PDF pp.26–27): IF flow rate claimed, each lumen ≥80% of stated for nominal OD &lt;1.0 mm, or ≥90% for OD ≥1.0 mm; three measurements per lumen, average ml/min under Annex G hydrostatic conditions.</w:t>
            </w:r>
          </w:p>
        </w:tc>
        <w:tc>
          <w:tcPr>
            <w:tcW w:type="dxa" w:w="2966"/>
            <w:vAlign w:val="center"/>
            <w:shd w:fill="F2F6F9"/>
          </w:tcPr>
          <w:p>
            <w:pPr>
              <w:spacing w:line="262" w:lineRule="auto"/>
            </w:pPr>
            <w:r/>
            <w:r>
              <w:rPr>
                <w:b w:val="0"/>
                <w:color w:val="182E49"/>
                <w:sz w:val="16"/>
              </w:rPr>
              <w:t>WI pp.3–6 has tube dimensions/hole conditions but no flow-rate claim screening, or Annex G report for claimed flow.</w:t>
            </w:r>
          </w:p>
        </w:tc>
        <w:tc>
          <w:tcPr>
            <w:tcW w:type="dxa" w:w="3888"/>
            <w:vAlign w:val="center"/>
            <w:shd w:fill="F2F6F9"/>
          </w:tcPr>
          <w:p>
            <w:pPr>
              <w:spacing w:line="262" w:lineRule="auto"/>
            </w:pPr>
            <w:r/>
            <w:r>
              <w:rPr>
                <w:b w:val="0"/>
                <w:color w:val="182E49"/>
                <w:sz w:val="16"/>
              </w:rPr>
              <w:t>§10.6 Flow Rate: QA shall document whether a quantitative flow-rate claim is made for each SKU/lumen. If yes, test each applicable lumen by Annex G using constant 1000±5 mm water head, suitable apparatus, 22±5°C medium and ≥30 s collection, three runs/lumen. Compare average to manufacturer-stated claim and relevant 80/90% minimum. If no claim, record approved N/A rationale; do not introduce a routine lot test without approval.</w:t>
            </w:r>
          </w:p>
        </w:tc>
        <w:tc>
          <w:tcPr>
            <w:tcW w:type="dxa" w:w="2808"/>
            <w:vAlign w:val="center"/>
            <w:shd w:fill="F2F6F9"/>
          </w:tcPr>
          <w:p>
            <w:pPr>
              <w:spacing w:line="262" w:lineRule="auto"/>
            </w:pPr>
            <w:r/>
            <w:r>
              <w:rPr>
                <w:b w:val="0"/>
                <w:color w:val="182E49"/>
                <w:sz w:val="16"/>
              </w:rPr>
              <w:t>F-823-i108 rows 11, 16 controls unobstructed four channels; not flow-rate evidence.</w:t>
            </w:r>
          </w:p>
        </w:tc>
        <w:tc>
          <w:tcPr>
            <w:tcW w:type="dxa" w:w="3528"/>
            <w:vAlign w:val="center"/>
            <w:shd w:fill="F2F6F9"/>
          </w:tcPr>
          <w:p>
            <w:pPr>
              <w:spacing w:line="262" w:lineRule="auto"/>
            </w:pPr>
            <w:r/>
            <w:r>
              <w:rPr>
                <w:b w:val="0"/>
                <w:color w:val="182E49"/>
                <w:sz w:val="16"/>
              </w:rPr>
              <w:t>Flow claim Y/N / IFU/catalog claim reference / each-lumen rated ml/min / actual three runs and average / minimum % / Annex G report ID / approval or justified N/A.</w:t>
            </w:r>
          </w:p>
        </w:tc>
        <w:tc>
          <w:tcPr>
            <w:tcW w:type="dxa" w:w="2434"/>
            <w:vAlign w:val="center"/>
            <w:shd w:fill="F2F6F9"/>
          </w:tcPr>
          <w:p>
            <w:pPr>
              <w:spacing w:line="262" w:lineRule="auto"/>
            </w:pPr>
            <w:r/>
            <w:r>
              <w:rPr>
                <w:b w:val="0"/>
                <w:color w:val="182E49"/>
                <w:sz w:val="16"/>
              </w:rPr>
              <w:t>Required evidence: Approved claim assessment plus Annex G results if claimed; current product config mapping. Status: Open — Applicability / Evidence.</w:t>
              <w:br/>
              <w:t>Control route: Conditional design qualification.</w:t>
              <w:br/>
              <w:t>Evidence reference: Pending.</w:t>
              <w:br/>
              <w:t>Closure criteria: approved controls + verified representative record.</w:t>
              <w:br/>
              <w:t>Current closure: Open — Technical Input / Evidence.</w:t>
            </w:r>
          </w:p>
        </w:tc>
      </w:tr>
      <w:tr>
        <w:trPr>
          <w:cantSplit/>
        </w:trPr>
        <w:tc>
          <w:tcPr>
            <w:tcW w:type="dxa" w:w="2952"/>
            <w:vAlign w:val="center"/>
          </w:tcPr>
          <w:p>
            <w:pPr>
              <w:spacing w:line="262" w:lineRule="auto"/>
            </w:pPr>
            <w:r/>
            <w:r>
              <w:rPr>
                <w:b w:val="0"/>
                <w:color w:val="182E49"/>
                <w:sz w:val="16"/>
              </w:rPr>
              <w:t>GAP-015 | P2 — Kink and retention requirements lack applicability decisions. Visual flexibility is not a risk-based clinically relevant kink limit, and the presence/absence of a catheter non-balloon retention mechanism is not documented.</w:t>
            </w:r>
          </w:p>
        </w:tc>
        <w:tc>
          <w:tcPr>
            <w:tcW w:type="dxa" w:w="3168"/>
            <w:vAlign w:val="center"/>
          </w:tcPr>
          <w:p>
            <w:pPr>
              <w:spacing w:line="262" w:lineRule="auto"/>
            </w:pPr>
            <w:r/>
            <w:r>
              <w:rPr>
                <w:b w:val="0"/>
                <w:color w:val="182E49"/>
                <w:sz w:val="16"/>
              </w:rPr>
              <w:t>§6.1 ISO p.6 (PDF p.12): manufacturer determines clinically relevant kink value from intended use and risk; ISO does not mandate numeric minimum. §6.7 p.7 (PDF p.13): if non-balloon retention means exist, demonstrate prevention of undesired displacement; Annexes A/H are informative.</w:t>
            </w:r>
          </w:p>
        </w:tc>
        <w:tc>
          <w:tcPr>
            <w:tcW w:type="dxa" w:w="2966"/>
            <w:vAlign w:val="center"/>
          </w:tcPr>
          <w:p>
            <w:pPr>
              <w:spacing w:line="262" w:lineRule="auto"/>
            </w:pPr>
            <w:r/>
            <w:r>
              <w:rPr>
                <w:b w:val="0"/>
                <w:color w:val="182E49"/>
                <w:sz w:val="16"/>
              </w:rPr>
              <w:t>WI pp.3–5 calls tubes flexible and smooth; no documented kink acceptance assessment or retention-feature configuration review.</w:t>
            </w:r>
          </w:p>
        </w:tc>
        <w:tc>
          <w:tcPr>
            <w:tcW w:type="dxa" w:w="3888"/>
            <w:vAlign w:val="center"/>
          </w:tcPr>
          <w:p>
            <w:pPr>
              <w:spacing w:line="262" w:lineRule="auto"/>
            </w:pPr>
            <w:r/>
            <w:r>
              <w:rPr>
                <w:b w:val="0"/>
                <w:color w:val="182E49"/>
                <w:sz w:val="16"/>
              </w:rPr>
              <w:t>§10.7 Kink/Retention Design: Engineering shall determine and document clinically relevant catheter kink limits based on intended placement and approved risk file, with test method and values approved for each design. Where catheter contains non-balloon retention means, approve relevant retention strength verification and evidence; otherwise record N/A with confirmed drawing/IFU. Informative Annex A/H may support method selection but do not create ISO-set numerical pass limits.</w:t>
            </w:r>
          </w:p>
        </w:tc>
        <w:tc>
          <w:tcPr>
            <w:tcW w:type="dxa" w:w="2808"/>
            <w:vAlign w:val="center"/>
          </w:tcPr>
          <w:p>
            <w:pPr>
              <w:spacing w:line="262" w:lineRule="auto"/>
            </w:pPr>
            <w:r/>
            <w:r>
              <w:rPr>
                <w:b w:val="0"/>
                <w:color w:val="182E49"/>
                <w:sz w:val="16"/>
              </w:rPr>
              <w:t>F-823-i108 row 10 “Flexible”; no kink mandrel result. No identified retention characteristic in either form.</w:t>
            </w:r>
          </w:p>
        </w:tc>
        <w:tc>
          <w:tcPr>
            <w:tcW w:type="dxa" w:w="3528"/>
            <w:vAlign w:val="center"/>
          </w:tcPr>
          <w:p>
            <w:pPr>
              <w:spacing w:line="262" w:lineRule="auto"/>
            </w:pPr>
            <w:r/>
            <w:r>
              <w:rPr>
                <w:b w:val="0"/>
                <w:color w:val="182E49"/>
                <w:sz w:val="16"/>
              </w:rPr>
              <w:t>Kink-risk decision / approved bend radius/mandrel mm [if applicable] / qualification record / retention means Y-N / retention evidence ID or N/A justification.</w:t>
            </w:r>
          </w:p>
        </w:tc>
        <w:tc>
          <w:tcPr>
            <w:tcW w:type="dxa" w:w="2434"/>
            <w:vAlign w:val="center"/>
          </w:tcPr>
          <w:p>
            <w:pPr>
              <w:spacing w:line="262" w:lineRule="auto"/>
            </w:pPr>
            <w:r/>
            <w:r>
              <w:rPr>
                <w:b w:val="0"/>
                <w:color w:val="182E49"/>
                <w:sz w:val="16"/>
              </w:rPr>
              <w:t>Required evidence: Approved risk-based clinical kink/retention criteria and verification, or signed documented N/A. Status: Open — Technical Input.</w:t>
              <w:br/>
              <w:t>Control route: Risk-based design qualification.</w:t>
              <w:br/>
              <w:t>Evidence reference: Pending.</w:t>
              <w:br/>
              <w:t>Closure criteria: approved controls + verified representative record.</w:t>
              <w:br/>
              <w:t>Current closure: Open — Technical Input.</w:t>
            </w:r>
          </w:p>
        </w:tc>
      </w:tr>
      <w:tr>
        <w:trPr>
          <w:cantSplit/>
        </w:trPr>
        <w:tc>
          <w:tcPr>
            <w:tcW w:type="dxa" w:w="2952"/>
            <w:vAlign w:val="center"/>
            <w:shd w:fill="F2F6F9"/>
          </w:tcPr>
          <w:p>
            <w:pPr>
              <w:spacing w:line="262" w:lineRule="auto"/>
            </w:pPr>
            <w:r/>
            <w:r>
              <w:rPr>
                <w:b w:val="0"/>
                <w:color w:val="182E49"/>
                <w:sz w:val="16"/>
              </w:rPr>
              <w:t>GAP-016 | P2 — Bellows collection capacity controlled as options, not measured limits. WI capacity header singles out 400 ml but its requirements list 200/400/600 ml; no approved SKU-to-nominal mapping, tolerance or actual volumetric reading is specified.</w:t>
            </w:r>
          </w:p>
        </w:tc>
        <w:tc>
          <w:tcPr>
            <w:tcW w:type="dxa" w:w="3168"/>
            <w:vAlign w:val="center"/>
            <w:shd w:fill="F2F6F9"/>
          </w:tcPr>
          <w:p>
            <w:pPr>
              <w:spacing w:line="262" w:lineRule="auto"/>
            </w:pPr>
            <w:r/>
            <w:r>
              <w:rPr>
                <w:b w:val="0"/>
                <w:color w:val="182E49"/>
                <w:sz w:val="16"/>
              </w:rPr>
              <w:t>§7.2(d) ISO p.9 (PDF p.15): effective collection capacity expressed in ml on packaging where collection device present. §4 p.3: device must maintain intended drainage. ISO does not impose one universal capacity tolerance.</w:t>
            </w:r>
          </w:p>
        </w:tc>
        <w:tc>
          <w:tcPr>
            <w:tcW w:type="dxa" w:w="2966"/>
            <w:vAlign w:val="center"/>
            <w:shd w:fill="F2F6F9"/>
          </w:tcPr>
          <w:p>
            <w:pPr>
              <w:spacing w:line="262" w:lineRule="auto"/>
            </w:pPr>
            <w:r/>
            <w:r>
              <w:rPr>
                <w:b w:val="0"/>
                <w:color w:val="182E49"/>
                <w:sz w:val="16"/>
              </w:rPr>
              <w:t>WI p.4 §8.1.1 describes “Capacity (400ml)” but requirements list 200/400/600 ml; p.4 §7 refers “accurate in capacity”, without acceptance tolerance or test conditions.</w:t>
            </w:r>
          </w:p>
        </w:tc>
        <w:tc>
          <w:tcPr>
            <w:tcW w:type="dxa" w:w="3888"/>
            <w:vAlign w:val="center"/>
            <w:shd w:fill="F2F6F9"/>
          </w:tcPr>
          <w:p>
            <w:pPr>
              <w:spacing w:line="262" w:lineRule="auto"/>
            </w:pPr>
            <w:r/>
            <w:r>
              <w:rPr>
                <w:b w:val="0"/>
                <w:color w:val="182E49"/>
                <w:sz w:val="16"/>
              </w:rPr>
              <w:t>§8.6 Bellows Capacity: Select approved SKU nominal collecting capacity [200, 400 or 600 ml as applicable to company listed variants]. Measure capacity by approved volumetric method and compare to approved drawing tolerance [OPEN TECHNICAL INPUT REQUIRED]. Record actual volume in ml, calibrated measuring equipment ID, selected SKU/nominal capacity and result. Confirm packaging capacity agrees with verified configuration.</w:t>
            </w:r>
          </w:p>
        </w:tc>
        <w:tc>
          <w:tcPr>
            <w:tcW w:type="dxa" w:w="2808"/>
            <w:vAlign w:val="center"/>
            <w:shd w:fill="F2F6F9"/>
          </w:tcPr>
          <w:p>
            <w:pPr>
              <w:spacing w:line="262" w:lineRule="auto"/>
            </w:pPr>
            <w:r/>
            <w:r>
              <w:rPr>
                <w:b w:val="0"/>
                <w:color w:val="182E49"/>
                <w:sz w:val="16"/>
              </w:rPr>
              <w:t>F-823-i12 row 16 “200ml, 400ml, 600ml” with hourly blank boxes; no numeric actual reading, tolerance or SKU-size cross-reference.</w:t>
            </w:r>
          </w:p>
        </w:tc>
        <w:tc>
          <w:tcPr>
            <w:tcW w:type="dxa" w:w="3528"/>
            <w:vAlign w:val="center"/>
            <w:shd w:fill="F2F6F9"/>
          </w:tcPr>
          <w:p>
            <w:pPr>
              <w:spacing w:line="262" w:lineRule="auto"/>
            </w:pPr>
            <w:r/>
            <w:r>
              <w:rPr>
                <w:b w:val="0"/>
                <w:color w:val="182E49"/>
                <w:sz w:val="16"/>
              </w:rPr>
              <w:t>Declared capacity [200/400/600 ml as applicable] / accepted range [approved drawing] / actual measured ml / measuring equipment ID / time / result.</w:t>
            </w:r>
          </w:p>
        </w:tc>
        <w:tc>
          <w:tcPr>
            <w:tcW w:type="dxa" w:w="2434"/>
            <w:vAlign w:val="center"/>
            <w:shd w:fill="F2F6F9"/>
          </w:tcPr>
          <w:p>
            <w:pPr>
              <w:spacing w:line="262" w:lineRule="auto"/>
            </w:pPr>
            <w:r/>
            <w:r>
              <w:rPr>
                <w:b w:val="0"/>
                <w:color w:val="182E49"/>
                <w:sz w:val="16"/>
              </w:rPr>
              <w:t>Required evidence: Approved capacity tolerances, validated practical method, calibrated cylinder and completed line measurements. Status: Open — Technical Input / Evidence.</w:t>
              <w:br/>
              <w:t>Control route: Routine in-process approved sampling.</w:t>
              <w:br/>
              <w:t>Evidence reference: Pending.</w:t>
              <w:br/>
              <w:t>Closure criteria: approved controls + verified representative record.</w:t>
              <w:br/>
              <w:t>Current closure: Open — Technical Input / Evidence.</w:t>
            </w:r>
          </w:p>
        </w:tc>
      </w:tr>
      <w:tr>
        <w:trPr>
          <w:cantSplit/>
        </w:trPr>
        <w:tc>
          <w:tcPr>
            <w:tcW w:type="dxa" w:w="2952"/>
            <w:vAlign w:val="center"/>
          </w:tcPr>
          <w:p>
            <w:pPr>
              <w:spacing w:line="262" w:lineRule="auto"/>
            </w:pPr>
            <w:r/>
            <w:r>
              <w:rPr>
                <w:b w:val="0"/>
                <w:color w:val="182E49"/>
                <w:sz w:val="16"/>
              </w:rPr>
              <w:t>GAP-017 | P1 — Sterile-product validation release traceability incomplete. The WI correctly references sterilization/release, but the supplied package contains no approved SAL 10^-6 validation or executed load/release records, so actual sterile conformance cannot be verified.</w:t>
            </w:r>
          </w:p>
        </w:tc>
        <w:tc>
          <w:tcPr>
            <w:tcW w:type="dxa" w:w="3168"/>
            <w:vAlign w:val="center"/>
          </w:tcPr>
          <w:p>
            <w:pPr>
              <w:spacing w:line="262" w:lineRule="auto"/>
            </w:pPr>
            <w:r/>
            <w:r>
              <w:rPr>
                <w:b w:val="0"/>
                <w:color w:val="182E49"/>
                <w:sz w:val="16"/>
              </w:rPr>
              <w:t>§5.8 ISO p.6 (PDF p.12): sterile drainage catheter/accessories comply with applicable sterilization standards and demonstrate SAL 10^-6.</w:t>
            </w:r>
          </w:p>
        </w:tc>
        <w:tc>
          <w:tcPr>
            <w:tcW w:type="dxa" w:w="2966"/>
            <w:vAlign w:val="center"/>
          </w:tcPr>
          <w:p>
            <w:pPr>
              <w:spacing w:line="262" w:lineRule="auto"/>
            </w:pPr>
            <w:r/>
            <w:r>
              <w:rPr>
                <w:b w:val="0"/>
                <w:color w:val="182E49"/>
                <w:sz w:val="16"/>
              </w:rPr>
              <w:t>WI p.6 §12 refers sterilization WI-7-5-1-1; §13 requires review of sterilization cycle reports and laboratory tests before release. No evidence of validated sterilization/SAL report included in supplied files.</w:t>
            </w:r>
          </w:p>
        </w:tc>
        <w:tc>
          <w:tcPr>
            <w:tcW w:type="dxa" w:w="3888"/>
            <w:vAlign w:val="center"/>
          </w:tcPr>
          <w:p>
            <w:pPr>
              <w:spacing w:line="262" w:lineRule="auto"/>
            </w:pPr>
            <w:r/>
            <w:r>
              <w:rPr>
                <w:b w:val="0"/>
                <w:color w:val="182E49"/>
                <w:sz w:val="16"/>
              </w:rPr>
              <w:t>§14 Sterilization &amp; Release Link: QA shall maintain an approved sterilization validation process demonstrating SAL 10^-6 per applicable sterilization standard, and validated routine limits. Before release, compare production lot to sterilization load/validated cycle, review deviations, package integrity and required laboratory evidence, and record authorized release signature on F-8-2-4. Do not equate a routine in-process form with sterile product release.</w:t>
            </w:r>
          </w:p>
        </w:tc>
        <w:tc>
          <w:tcPr>
            <w:tcW w:type="dxa" w:w="2808"/>
            <w:vAlign w:val="center"/>
          </w:tcPr>
          <w:p>
            <w:pPr>
              <w:spacing w:line="262" w:lineRule="auto"/>
            </w:pPr>
            <w:r/>
            <w:r>
              <w:rPr>
                <w:b w:val="0"/>
                <w:color w:val="182E49"/>
                <w:sz w:val="16"/>
              </w:rPr>
              <w:t>F-823-i12/i108 are pre-sterilization in-process forms and contain no sterile-release decision (correct workflow separation).</w:t>
            </w:r>
          </w:p>
        </w:tc>
        <w:tc>
          <w:tcPr>
            <w:tcW w:type="dxa" w:w="3528"/>
            <w:vAlign w:val="center"/>
          </w:tcPr>
          <w:p>
            <w:pPr>
              <w:spacing w:line="262" w:lineRule="auto"/>
            </w:pPr>
            <w:r/>
            <w:r>
              <w:rPr>
                <w:b w:val="0"/>
                <w:color w:val="182E49"/>
                <w:sz w:val="16"/>
              </w:rPr>
              <w:t>In-process form: Production lot ID / next process / F-8-2-4 release record reference [post-sterilization only; not release here].</w:t>
            </w:r>
          </w:p>
        </w:tc>
        <w:tc>
          <w:tcPr>
            <w:tcW w:type="dxa" w:w="2434"/>
            <w:vAlign w:val="center"/>
          </w:tcPr>
          <w:p>
            <w:pPr>
              <w:spacing w:line="262" w:lineRule="auto"/>
            </w:pPr>
            <w:r/>
            <w:r>
              <w:rPr>
                <w:b w:val="0"/>
                <w:color w:val="182E49"/>
                <w:sz w:val="16"/>
              </w:rPr>
              <w:t>Required evidence: Approved SAL validation/revalidation, sterilization batch record, sterile release and lab evidence. Status: Open — Evidence; no executed records supplied.</w:t>
              <w:br/>
              <w:t>Control route: Validated process + each sterilization load release.</w:t>
              <w:br/>
              <w:t>Evidence reference: Pending.</w:t>
              <w:br/>
              <w:t>Closure criteria: approved controls + verified representative record.</w:t>
              <w:br/>
              <w:t>Current closure: Open — Evidence / Approval.</w:t>
            </w:r>
          </w:p>
        </w:tc>
      </w:tr>
      <w:tr>
        <w:trPr>
          <w:cantSplit/>
        </w:trPr>
        <w:tc>
          <w:tcPr>
            <w:tcW w:type="dxa" w:w="2952"/>
            <w:vAlign w:val="center"/>
            <w:shd w:fill="F2F6F9"/>
          </w:tcPr>
          <w:p>
            <w:pPr>
              <w:spacing w:line="262" w:lineRule="auto"/>
            </w:pPr>
            <w:r/>
            <w:r>
              <w:rPr>
                <w:b w:val="0"/>
                <w:color w:val="182E49"/>
                <w:sz w:val="16"/>
              </w:rPr>
              <w:t>GAP-018 | P2 — Device/package marking details not fully traceable. Generic packaging list excludes conditional ISO 7.2 information such as single-use, effective collection volume, vacuum stability and pressure rating; artwork/marking proof unavailable.</w:t>
            </w:r>
          </w:p>
        </w:tc>
        <w:tc>
          <w:tcPr>
            <w:tcW w:type="dxa" w:w="3168"/>
            <w:vAlign w:val="center"/>
            <w:shd w:fill="F2F6F9"/>
          </w:tcPr>
          <w:p>
            <w:pPr>
              <w:spacing w:line="262" w:lineRule="auto"/>
            </w:pPr>
            <w:r/>
            <w:r>
              <w:rPr>
                <w:b w:val="0"/>
                <w:color w:val="182E49"/>
                <w:sz w:val="16"/>
              </w:rPr>
              <w:t>§7.1 and §7.2 ISO p.9 (PDF p.15): marking legible, durable; packaging minimums include special storage/handling, single-use indicator, detectability where appropriate, collection capacity, pre-evacuated vacuum stability, rated max negative pressure and balloon volume where applicable.</w:t>
            </w:r>
          </w:p>
        </w:tc>
        <w:tc>
          <w:tcPr>
            <w:tcW w:type="dxa" w:w="2966"/>
            <w:vAlign w:val="center"/>
            <w:shd w:fill="F2F6F9"/>
          </w:tcPr>
          <w:p>
            <w:pPr>
              <w:spacing w:line="262" w:lineRule="auto"/>
            </w:pPr>
            <w:r/>
            <w:r>
              <w:rPr>
                <w:b w:val="0"/>
                <w:color w:val="182E49"/>
                <w:sz w:val="16"/>
              </w:rPr>
              <w:t>WI p.6 §11 lists product name/code, size, lot, dates, sterilization logos etc but does not identify ISO-specific conditional collection pressure/vacuum stability/single-use requirements or durability test.</w:t>
            </w:r>
          </w:p>
        </w:tc>
        <w:tc>
          <w:tcPr>
            <w:tcW w:type="dxa" w:w="3888"/>
            <w:vAlign w:val="center"/>
            <w:shd w:fill="F2F6F9"/>
          </w:tcPr>
          <w:p>
            <w:pPr>
              <w:spacing w:line="262" w:lineRule="auto"/>
            </w:pPr>
            <w:r/>
            <w:r>
              <w:rPr>
                <w:b w:val="0"/>
                <w:color w:val="182E49"/>
                <w:sz w:val="16"/>
              </w:rPr>
              <w:t>§13 Packaging/Marking: Production/QC shall verify label against approved artwork and SKU, including traceability, single-use claim, special handling, collection capacity (ml), detectable indication (when applicable), rated max negative pressure Pa (when appropriate), and vacuum stability date for pre-evacuated source where relevant. Verify legibility and durability by approved method. Record packaging batch, artwork revision and exceptions.</w:t>
            </w:r>
          </w:p>
        </w:tc>
        <w:tc>
          <w:tcPr>
            <w:tcW w:type="dxa" w:w="2808"/>
            <w:vAlign w:val="center"/>
            <w:shd w:fill="F2F6F9"/>
          </w:tcPr>
          <w:p>
            <w:pPr>
              <w:spacing w:line="262" w:lineRule="auto"/>
            </w:pPr>
            <w:r/>
            <w:r>
              <w:rPr>
                <w:b w:val="0"/>
                <w:color w:val="182E49"/>
                <w:sz w:val="16"/>
              </w:rPr>
              <w:t>F-823-i12/i108 have no packaging label fields; WI §14 separately cites packaging form F-823-i4-2 (not supplied).</w:t>
            </w:r>
          </w:p>
        </w:tc>
        <w:tc>
          <w:tcPr>
            <w:tcW w:type="dxa" w:w="3528"/>
            <w:vAlign w:val="center"/>
            <w:shd w:fill="F2F6F9"/>
          </w:tcPr>
          <w:p>
            <w:pPr>
              <w:spacing w:line="262" w:lineRule="auto"/>
            </w:pPr>
            <w:r/>
            <w:r>
              <w:rPr>
                <w:b w:val="0"/>
                <w:color w:val="182E49"/>
                <w:sz w:val="16"/>
              </w:rPr>
              <w:t>Packaging is verified on separately approved F-823-i4-2: add line-record linkage fields for label artwork ID / reviewed ISO conditional claims / checked by / record ID; do not insert packaging rows into tube in-process record.</w:t>
            </w:r>
          </w:p>
        </w:tc>
        <w:tc>
          <w:tcPr>
            <w:tcW w:type="dxa" w:w="2434"/>
            <w:vAlign w:val="center"/>
            <w:shd w:fill="F2F6F9"/>
          </w:tcPr>
          <w:p>
            <w:pPr>
              <w:spacing w:line="262" w:lineRule="auto"/>
            </w:pPr>
            <w:r/>
            <w:r>
              <w:rPr>
                <w:b w:val="0"/>
                <w:color w:val="182E49"/>
                <w:sz w:val="16"/>
              </w:rPr>
              <w:t>Required evidence: Approved label artwork, marking durability record, approved storage/pressure claims, completed packaging form. Status: Open — Evidence / Technical Input.</w:t>
              <w:br/>
              <w:t>Control route: Packaging inspection + design evidence.</w:t>
              <w:br/>
              <w:t>Evidence reference: Pending.</w:t>
              <w:br/>
              <w:t>Closure criteria: approved controls + verified representative record.</w:t>
              <w:br/>
              <w:t>Current closure: Open — Technical Input / Evidence.</w:t>
            </w:r>
          </w:p>
        </w:tc>
      </w:tr>
      <w:tr>
        <w:trPr>
          <w:cantSplit/>
        </w:trPr>
        <w:tc>
          <w:tcPr>
            <w:tcW w:type="dxa" w:w="2952"/>
            <w:vAlign w:val="center"/>
          </w:tcPr>
          <w:p>
            <w:pPr>
              <w:spacing w:line="262" w:lineRule="auto"/>
            </w:pPr>
            <w:r/>
            <w:r>
              <w:rPr>
                <w:b w:val="0"/>
                <w:color w:val="182E49"/>
                <w:sz w:val="16"/>
              </w:rPr>
              <w:t>GAP-019 | P2 — IFU mandatory content verification not referenced. WI describes packaging artwork but there is no verified separate IFU or documented review of ISO 7.3 required information for supplied configurations.</w:t>
            </w:r>
          </w:p>
        </w:tc>
        <w:tc>
          <w:tcPr>
            <w:tcW w:type="dxa" w:w="3168"/>
            <w:vAlign w:val="center"/>
          </w:tcPr>
          <w:p>
            <w:pPr>
              <w:spacing w:line="262" w:lineRule="auto"/>
            </w:pPr>
            <w:r/>
            <w:r>
              <w:rPr>
                <w:b w:val="0"/>
                <w:color w:val="182E49"/>
                <w:sz w:val="16"/>
              </w:rPr>
              <w:t>§7.3 ISO pp.9–10 (PDF pp.15–16): if separate IFU supplied, describe intended use when not evident, correct device combinations, warnings/precautions, issue/revision, applicable single-use, MRI, additive/coating and retention instructions.</w:t>
            </w:r>
          </w:p>
        </w:tc>
        <w:tc>
          <w:tcPr>
            <w:tcW w:type="dxa" w:w="2966"/>
            <w:vAlign w:val="center"/>
          </w:tcPr>
          <w:p>
            <w:pPr>
              <w:spacing w:line="262" w:lineRule="auto"/>
            </w:pPr>
            <w:r/>
            <w:r>
              <w:rPr>
                <w:b w:val="0"/>
                <w:color w:val="182E49"/>
                <w:sz w:val="16"/>
              </w:rPr>
              <w:t>WI p.6 §11 states label content but does not reference an approved device-specific IFU or completeness review.</w:t>
            </w:r>
          </w:p>
        </w:tc>
        <w:tc>
          <w:tcPr>
            <w:tcW w:type="dxa" w:w="3888"/>
            <w:vAlign w:val="center"/>
          </w:tcPr>
          <w:p>
            <w:pPr>
              <w:spacing w:line="262" w:lineRule="auto"/>
            </w:pPr>
            <w:r/>
            <w:r>
              <w:rPr>
                <w:b w:val="0"/>
                <w:color w:val="182E49"/>
                <w:sz w:val="16"/>
              </w:rPr>
              <w:t>§13.3 IFU Review: Regulatory/QA shall verify that any separate IFU for each product variant includes ISO §7.3 applicable content. Maintain approved IFU revision, intended compatible accessories, safe operation, warnings, single-use and MRI/retention information where relevant. Where no separate IFU is supplied, record distribution format and justified scope of applicable on-pack information.</w:t>
            </w:r>
          </w:p>
        </w:tc>
        <w:tc>
          <w:tcPr>
            <w:tcW w:type="dxa" w:w="2808"/>
            <w:vAlign w:val="center"/>
          </w:tcPr>
          <w:p>
            <w:pPr>
              <w:spacing w:line="262" w:lineRule="auto"/>
            </w:pPr>
            <w:r/>
            <w:r>
              <w:rPr>
                <w:b w:val="0"/>
                <w:color w:val="182E49"/>
                <w:sz w:val="16"/>
              </w:rPr>
              <w:t>No IFU check appears on F-823-i12 or F-823-i108 (these are in-process forms).</w:t>
            </w:r>
          </w:p>
        </w:tc>
        <w:tc>
          <w:tcPr>
            <w:tcW w:type="dxa" w:w="3528"/>
            <w:vAlign w:val="center"/>
          </w:tcPr>
          <w:p>
            <w:pPr>
              <w:spacing w:line="262" w:lineRule="auto"/>
            </w:pPr>
            <w:r/>
            <w:r>
              <w:rPr>
                <w:b w:val="0"/>
                <w:color w:val="182E49"/>
                <w:sz w:val="16"/>
              </w:rPr>
              <w:t>Release-facing evidence link (not in-process test): IFU/artwork ID / applicable IFU checklist ID / approved revision / applicability review result.</w:t>
            </w:r>
          </w:p>
        </w:tc>
        <w:tc>
          <w:tcPr>
            <w:tcW w:type="dxa" w:w="2434"/>
            <w:vAlign w:val="center"/>
          </w:tcPr>
          <w:p>
            <w:pPr>
              <w:spacing w:line="262" w:lineRule="auto"/>
            </w:pPr>
            <w:r/>
            <w:r>
              <w:rPr>
                <w:b w:val="0"/>
                <w:color w:val="182E49"/>
                <w:sz w:val="16"/>
              </w:rPr>
              <w:t>Required evidence: Approved IFU, clause-by-clause label/IFU checklist and change-control record. Status: Open — Evidence.</w:t>
              <w:br/>
              <w:t>Control route: Document design verification / artwork review.</w:t>
              <w:br/>
              <w:t>Evidence reference: Pending.</w:t>
              <w:br/>
              <w:t>Closure criteria: approved controls + verified representative record.</w:t>
              <w:br/>
              <w:t>Current closure: Open — Evidence / Approval.</w:t>
            </w:r>
          </w:p>
        </w:tc>
      </w:tr>
      <w:tr>
        <w:trPr>
          <w:cantSplit/>
        </w:trPr>
        <w:tc>
          <w:tcPr>
            <w:tcW w:type="dxa" w:w="2952"/>
            <w:vAlign w:val="center"/>
            <w:shd w:fill="F2F6F9"/>
          </w:tcPr>
          <w:p>
            <w:pPr>
              <w:spacing w:line="262" w:lineRule="auto"/>
            </w:pPr>
            <w:r/>
            <w:r>
              <w:rPr>
                <w:b w:val="0"/>
                <w:color w:val="182E49"/>
                <w:sz w:val="16"/>
              </w:rPr>
              <w:t>GAP-020 | P2 — In-process results are not uniquely quantified or traceable. Source forms provide shift/time boxes and generic acceptance phrases without consistent numeric results, equipment traceability, sample IDs, decisions or failed-check escalation linkage.</w:t>
            </w:r>
          </w:p>
        </w:tc>
        <w:tc>
          <w:tcPr>
            <w:tcW w:type="dxa" w:w="3168"/>
            <w:vAlign w:val="center"/>
            <w:shd w:fill="F2F6F9"/>
          </w:tcPr>
          <w:p>
            <w:pPr>
              <w:spacing w:line="262" w:lineRule="auto"/>
            </w:pPr>
            <w:r/>
            <w:r>
              <w:rPr>
                <w:b w:val="0"/>
                <w:color w:val="182E49"/>
                <w:sz w:val="16"/>
              </w:rPr>
              <w:t>ISO §4 and §§5.4, 5.5, 6.4, 6.11 (pp.3–8; PDF pp.9–14) require appropriate verified functional/performance controls. The need for completed, traceable records is a company quality-control/documentation issue; ISO 20697 does not itself prescribe this form layout.</w:t>
            </w:r>
          </w:p>
        </w:tc>
        <w:tc>
          <w:tcPr>
            <w:tcW w:type="dxa" w:w="2966"/>
            <w:vAlign w:val="center"/>
            <w:shd w:fill="F2F6F9"/>
          </w:tcPr>
          <w:p>
            <w:pPr>
              <w:spacing w:line="262" w:lineRule="auto"/>
            </w:pPr>
            <w:r/>
            <w:r>
              <w:rPr>
                <w:b w:val="0"/>
                <w:color w:val="182E49"/>
                <w:sz w:val="16"/>
              </w:rPr>
              <w:t>WI p.2 §5.2 says QC checks injection components every two hours; pp.4–5 §8.1.1 lists qualitative controls; p.7 §14 cites multiple form IDs but no acceptance decision mapping for test report versus in-process control.</w:t>
            </w:r>
          </w:p>
        </w:tc>
        <w:tc>
          <w:tcPr>
            <w:tcW w:type="dxa" w:w="3888"/>
            <w:vAlign w:val="center"/>
            <w:shd w:fill="F2F6F9"/>
          </w:tcPr>
          <w:p>
            <w:pPr>
              <w:spacing w:line="262" w:lineRule="auto"/>
            </w:pPr>
            <w:r/>
            <w:r>
              <w:rPr>
                <w:b w:val="0"/>
                <w:color w:val="182E49"/>
                <w:sz w:val="16"/>
              </w:rPr>
              <w:t>§7 In-process Recording: Each control entry shall identify production order, SKU, lot, machine/shift, sample/time, characteristic, linked approved specification or workmanship guide, actual numeric value where measurable, instrument ID where used, Pass/Fail/Not performed with reason, tester and reviewer. Sampling/frequency shall follow approved control plan; nominal schedule in forms does not, alone, establish approved test frequency. Escalate fails to nonconforming control and retain objective record IDs.</w:t>
            </w:r>
          </w:p>
        </w:tc>
        <w:tc>
          <w:tcPr>
            <w:tcW w:type="dxa" w:w="2808"/>
            <w:vAlign w:val="center"/>
            <w:shd w:fill="F2F6F9"/>
          </w:tcPr>
          <w:p>
            <w:pPr>
              <w:spacing w:line="262" w:lineRule="auto"/>
            </w:pPr>
            <w:r/>
            <w:r>
              <w:rPr>
                <w:b w:val="0"/>
                <w:color w:val="182E49"/>
                <w:sz w:val="16"/>
              </w:rPr>
              <w:t>F-823-i12 row 7 size/lot, row 8 date/shift, row 10 hourly 7–6, rows 11–27 criteria, row 28 signatures; F-823-i108 row 9 times 7/9/11/1/3/5, row 29 QC/QCM. No explicit per-result numeric fields, disposition and sample IDs.</w:t>
            </w:r>
          </w:p>
        </w:tc>
        <w:tc>
          <w:tcPr>
            <w:tcW w:type="dxa" w:w="3528"/>
            <w:vAlign w:val="center"/>
            <w:shd w:fill="F2F6F9"/>
          </w:tcPr>
          <w:p>
            <w:pPr>
              <w:spacing w:line="262" w:lineRule="auto"/>
            </w:pPr>
            <w:r/>
            <w:r>
              <w:rPr>
                <w:b w:val="0"/>
                <w:color w:val="182E49"/>
                <w:sz w:val="16"/>
              </w:rPr>
              <w:t>Common editable result log: time / sampled lot &amp; station / characteristic / approved criterion or specification / actual value/unit / instrument / Pass-Fail-N/A / deviation or NCR ID / checked/reviewed signatures. Retain scheduled check grid as supplementary timing overview.</w:t>
            </w:r>
          </w:p>
        </w:tc>
        <w:tc>
          <w:tcPr>
            <w:tcW w:type="dxa" w:w="2434"/>
            <w:vAlign w:val="center"/>
            <w:shd w:fill="F2F6F9"/>
          </w:tcPr>
          <w:p>
            <w:pPr>
              <w:spacing w:line="262" w:lineRule="auto"/>
            </w:pPr>
            <w:r/>
            <w:r>
              <w:rPr>
                <w:b w:val="0"/>
                <w:color w:val="182E49"/>
                <w:sz w:val="16"/>
              </w:rPr>
              <w:t>Required evidence: Approved control plan and AQL/sampling, executed forms with measured values, calibrated instruments and handling of fails. Status: Open — Technical Input / Evidence.</w:t>
              <w:br/>
              <w:t>Control route: Routine in-process control.</w:t>
              <w:br/>
              <w:t>Evidence reference: Pending.</w:t>
              <w:br/>
              <w:t>Closure criteria: approved controls + verified representative record.</w:t>
              <w:br/>
              <w:t>Current closure: Open — Technical Input / Evidence.</w:t>
            </w:r>
          </w:p>
        </w:tc>
      </w:tr>
      <w:tr>
        <w:trPr>
          <w:cantSplit/>
        </w:trPr>
        <w:tc>
          <w:tcPr>
            <w:tcW w:type="dxa" w:w="2952"/>
            <w:vAlign w:val="center"/>
          </w:tcPr>
          <w:p>
            <w:pPr>
              <w:spacing w:line="262" w:lineRule="auto"/>
            </w:pPr>
            <w:r/>
            <w:r>
              <w:rPr>
                <w:b w:val="0"/>
                <w:color w:val="182E49"/>
                <w:sz w:val="16"/>
              </w:rPr>
              <w:t>GAP-021 | P2 — Multi-channel table dimensions and revision are ambiguous. F-823-i108 has two different “OD mm” columns for each tube size without clear physical location or tolerance; sheet/tab Rev.4 disagrees with Rev.6 filename.</w:t>
            </w:r>
          </w:p>
        </w:tc>
        <w:tc>
          <w:tcPr>
            <w:tcW w:type="dxa" w:w="3168"/>
            <w:vAlign w:val="center"/>
          </w:tcPr>
          <w:p>
            <w:pPr>
              <w:spacing w:line="262" w:lineRule="auto"/>
            </w:pPr>
            <w:r/>
            <w:r>
              <w:rPr>
                <w:b w:val="0"/>
                <w:color w:val="182E49"/>
                <w:sz w:val="16"/>
              </w:rPr>
              <w:t>§5.5.2–5.5.3 ISO p.4 (PDF p.10) provide OD designation principles; ISO does not define the product-specific silicone channel table dimensions. This is a company drawing and controlled-form clarity issue.</w:t>
            </w:r>
          </w:p>
        </w:tc>
        <w:tc>
          <w:tcPr>
            <w:tcW w:type="dxa" w:w="2966"/>
            <w:vAlign w:val="center"/>
          </w:tcPr>
          <w:p>
            <w:pPr>
              <w:spacing w:line="262" w:lineRule="auto"/>
            </w:pPr>
            <w:r/>
            <w:r>
              <w:rPr>
                <w:b w:val="0"/>
                <w:color w:val="182E49"/>
                <w:sz w:val="16"/>
              </w:rPr>
              <w:t>WI p.3 §6.3 expects correct silicone channels/dimensions; no size-by-size controlled dimensional drawing number or tolerances linked.</w:t>
            </w:r>
          </w:p>
        </w:tc>
        <w:tc>
          <w:tcPr>
            <w:tcW w:type="dxa" w:w="3888"/>
            <w:vAlign w:val="center"/>
          </w:tcPr>
          <w:p>
            <w:pPr>
              <w:spacing w:line="262" w:lineRule="auto"/>
            </w:pPr>
            <w:r/>
            <w:r>
              <w:rPr>
                <w:b w:val="0"/>
                <w:color w:val="182E49"/>
                <w:sz w:val="16"/>
              </w:rPr>
              <w:t>§8.3 Silicone Multichannel Tube: Inspect each defined product SKU against approved controlled drawing for OD, ID, number/channel profile, radiopaque line and component lengths. Do not treat the two “OD mm” columns in historic F-823-i108 as equivalent without signed engineering mapping. Require drawing tolerance and instrument method per dimension, and record actual values. Reconcile F-823-i108 form revision before use.</w:t>
            </w:r>
          </w:p>
        </w:tc>
        <w:tc>
          <w:tcPr>
            <w:tcW w:type="dxa" w:w="2808"/>
            <w:vAlign w:val="center"/>
          </w:tcPr>
          <w:p>
            <w:pPr>
              <w:spacing w:line="262" w:lineRule="auto"/>
            </w:pPr>
            <w:r/>
            <w:r>
              <w:rPr>
                <w:b w:val="0"/>
                <w:color w:val="182E49"/>
                <w:sz w:val="16"/>
              </w:rPr>
              <w:t>F-823-i108 rows 21–26: 10 CH “3.3 X 1.3”, “3.8”, “3.3” in OD-related columns; likewise 15 CH 5.0/5.5/5.0, etc.; columns E and G both labelled “OD mm”; uploaded filename Rev. 6, sheet tab Rev. 4.</w:t>
            </w:r>
          </w:p>
        </w:tc>
        <w:tc>
          <w:tcPr>
            <w:tcW w:type="dxa" w:w="3528"/>
            <w:vAlign w:val="center"/>
          </w:tcPr>
          <w:p>
            <w:pPr>
              <w:spacing w:line="262" w:lineRule="auto"/>
            </w:pPr>
            <w:r/>
            <w:r>
              <w:rPr>
                <w:b w:val="0"/>
                <w:color w:val="182E49"/>
                <w:sz w:val="16"/>
              </w:rPr>
              <w:t>Silicone SKU / drawing &amp; rev / station A/B/C distinction / nominal OD/ID and tolerance per location / channel count / actual OD/ID mm / length segments / radiopaque line visual / gauge ID / time / result.</w:t>
            </w:r>
          </w:p>
        </w:tc>
        <w:tc>
          <w:tcPr>
            <w:tcW w:type="dxa" w:w="2434"/>
            <w:vAlign w:val="center"/>
          </w:tcPr>
          <w:p>
            <w:pPr>
              <w:spacing w:line="262" w:lineRule="auto"/>
            </w:pPr>
            <w:r/>
            <w:r>
              <w:rPr>
                <w:b w:val="0"/>
                <w:color w:val="182E49"/>
                <w:sz w:val="16"/>
              </w:rPr>
              <w:t>Required evidence: Approved drawing identifying all OD columns and size tolerances; approved corrected controlled form; completed records and revision reconciliation. Status: Open — Technical Input / Approval.</w:t>
              <w:br/>
              <w:t>Control route: Routine extrusion in-process checks.</w:t>
              <w:br/>
              <w:t>Evidence reference: Pending.</w:t>
              <w:br/>
              <w:t>Closure criteria: approved controls + verified representative record.</w:t>
              <w:br/>
              <w:t>Current closure: Open — Technical Input / Approval.</w:t>
            </w:r>
          </w:p>
        </w:tc>
      </w:tr>
      <w:tr>
        <w:trPr>
          <w:cantSplit/>
        </w:trPr>
        <w:tc>
          <w:tcPr>
            <w:tcW w:type="dxa" w:w="2952"/>
            <w:vAlign w:val="center"/>
            <w:shd w:fill="F2F6F9"/>
          </w:tcPr>
          <w:p>
            <w:pPr>
              <w:spacing w:line="262" w:lineRule="auto"/>
            </w:pPr>
            <w:r/>
            <w:r>
              <w:rPr>
                <w:b w:val="0"/>
                <w:color w:val="182E49"/>
                <w:sz w:val="16"/>
              </w:rPr>
              <w:t>GAP-022 | P2 — Vacuum stability and rated pressure claim mapping missing. The WI mentions high-vacuum bellows but omits a product-approved maximum negative-pressure rating and confirmation of whether an ≥80% pre-evacuated vacuum stability date is applicable.</w:t>
            </w:r>
          </w:p>
        </w:tc>
        <w:tc>
          <w:tcPr>
            <w:tcW w:type="dxa" w:w="3168"/>
            <w:vAlign w:val="center"/>
            <w:shd w:fill="F2F6F9"/>
          </w:tcPr>
          <w:p>
            <w:pPr>
              <w:spacing w:line="262" w:lineRule="auto"/>
            </w:pPr>
            <w:r/>
            <w:r>
              <w:rPr>
                <w:b w:val="0"/>
                <w:color w:val="182E49"/>
                <w:sz w:val="16"/>
              </w:rPr>
              <w:t>§7.2(e)–(f) ISO p.9 (PDF p.15): pre-evacuated suction source requires a stability date tied to retention of ≥80% initial negative pressure and maximum pressure rating in Pa where appropriate; §6.3/6.11 use manufacturer maximum pressure for tests.</w:t>
            </w:r>
          </w:p>
        </w:tc>
        <w:tc>
          <w:tcPr>
            <w:tcW w:type="dxa" w:w="2966"/>
            <w:vAlign w:val="center"/>
            <w:shd w:fill="F2F6F9"/>
          </w:tcPr>
          <w:p>
            <w:pPr>
              <w:spacing w:line="262" w:lineRule="auto"/>
            </w:pPr>
            <w:r/>
            <w:r>
              <w:rPr>
                <w:b w:val="0"/>
                <w:color w:val="182E49"/>
                <w:sz w:val="16"/>
              </w:rPr>
              <w:t>WI p.4 discusses “Hi vacuum” bellow, pp.5–6 refer suction/leak tests, but supplied material lacks controlled maximum-pressure specification, vacuum stability claim or evidence.</w:t>
            </w:r>
          </w:p>
        </w:tc>
        <w:tc>
          <w:tcPr>
            <w:tcW w:type="dxa" w:w="3888"/>
            <w:vAlign w:val="center"/>
            <w:shd w:fill="F2F6F9"/>
          </w:tcPr>
          <w:p>
            <w:pPr>
              <w:spacing w:line="262" w:lineRule="auto"/>
            </w:pPr>
            <w:r/>
            <w:r>
              <w:rPr>
                <w:b w:val="0"/>
                <w:color w:val="182E49"/>
                <w:sz w:val="16"/>
              </w:rPr>
              <w:t>§5.7 Rated Vacuum and Stability: Engineering shall approve maximum operating negative pressure [Pa or kPa] for each bellows/suction configuration and establish whether supplied pre-evacuated. If pre-evacuated, approve testing of retained vacuum over claimed storage period and label stability date at which ≥80% initial vacuum remains. Ensure same maximum-pressure rating drives Annex C/M verification.</w:t>
            </w:r>
          </w:p>
        </w:tc>
        <w:tc>
          <w:tcPr>
            <w:tcW w:type="dxa" w:w="2808"/>
            <w:vAlign w:val="center"/>
            <w:shd w:fill="F2F6F9"/>
          </w:tcPr>
          <w:p>
            <w:pPr>
              <w:spacing w:line="262" w:lineRule="auto"/>
            </w:pPr>
            <w:r/>
            <w:r>
              <w:rPr>
                <w:b w:val="0"/>
                <w:color w:val="182E49"/>
                <w:sz w:val="16"/>
              </w:rPr>
              <w:t>F-823-i12 leak check row 15 lacks negative-pressure value; no vacuum stability claim field.</w:t>
            </w:r>
          </w:p>
        </w:tc>
        <w:tc>
          <w:tcPr>
            <w:tcW w:type="dxa" w:w="3528"/>
            <w:vAlign w:val="center"/>
            <w:shd w:fill="F2F6F9"/>
          </w:tcPr>
          <w:p>
            <w:pPr>
              <w:spacing w:line="262" w:lineRule="auto"/>
            </w:pPr>
            <w:r/>
            <w:r>
              <w:rPr>
                <w:b w:val="0"/>
                <w:color w:val="182E49"/>
                <w:sz w:val="16"/>
              </w:rPr>
              <w:t>SKU / pressure rating Pa / pre-evacuated Y-N / vacuum stability evidence ID / approved label date/rating ID / Annex C/M qualification ref [non-routine linkage].</w:t>
            </w:r>
          </w:p>
        </w:tc>
        <w:tc>
          <w:tcPr>
            <w:tcW w:type="dxa" w:w="2434"/>
            <w:vAlign w:val="center"/>
            <w:shd w:fill="F2F6F9"/>
          </w:tcPr>
          <w:p>
            <w:pPr>
              <w:spacing w:line="262" w:lineRule="auto"/>
            </w:pPr>
            <w:r/>
            <w:r>
              <w:rPr>
                <w:b w:val="0"/>
                <w:color w:val="182E49"/>
                <w:sz w:val="16"/>
              </w:rPr>
              <w:t>Required evidence: Approved pressure spec, pre-evacuation evidence, storage/stability report, label and test linkage. Status: Open — Technical Input / Evidence.</w:t>
              <w:br/>
              <w:t>Control route: Design qualification / shelf-life validation.</w:t>
              <w:br/>
              <w:t>Evidence reference: Pending.</w:t>
              <w:br/>
              <w:t>Closure criteria: approved controls + verified representative record.</w:t>
              <w:br/>
              <w:t>Current closure: Open — Technical Input / Evidence.</w:t>
            </w:r>
          </w:p>
        </w:tc>
      </w:tr>
      <w:tr>
        <w:trPr>
          <w:cantSplit/>
        </w:trPr>
        <w:tc>
          <w:tcPr>
            <w:tcW w:type="dxa" w:w="2952"/>
            <w:vAlign w:val="center"/>
          </w:tcPr>
          <w:p>
            <w:pPr>
              <w:spacing w:line="262" w:lineRule="auto"/>
            </w:pPr>
            <w:r/>
            <w:r>
              <w:rPr>
                <w:b w:val="0"/>
                <w:color w:val="182E49"/>
                <w:sz w:val="16"/>
              </w:rPr>
              <w:t>GAP-023 | P2 — MRI-risk applicability has not been documented. Metal trocar and other supplied configurations have no explicit MRI exposure/claim risk decision, so ISO 5.7 conditional applicability and evidence remain unverified.</w:t>
            </w:r>
          </w:p>
        </w:tc>
        <w:tc>
          <w:tcPr>
            <w:tcW w:type="dxa" w:w="3168"/>
            <w:vAlign w:val="center"/>
          </w:tcPr>
          <w:p>
            <w:pPr>
              <w:spacing w:line="262" w:lineRule="auto"/>
            </w:pPr>
            <w:r/>
            <w:r>
              <w:rPr>
                <w:b w:val="0"/>
                <w:color w:val="182E49"/>
                <w:sz w:val="16"/>
              </w:rPr>
              <w:t>§5.7 ISO p.6 (PDF p.12): if applicable, evaluate hazards for device and accessories in MRI environment by appropriate method.</w:t>
            </w:r>
          </w:p>
        </w:tc>
        <w:tc>
          <w:tcPr>
            <w:tcW w:type="dxa" w:w="2966"/>
            <w:vAlign w:val="center"/>
          </w:tcPr>
          <w:p>
            <w:pPr>
              <w:spacing w:line="262" w:lineRule="auto"/>
            </w:pPr>
            <w:r/>
            <w:r>
              <w:rPr>
                <w:b w:val="0"/>
                <w:color w:val="182E49"/>
                <w:sz w:val="16"/>
              </w:rPr>
              <w:t>WI p.3 includes metal trocar and silicone/PVC tube variants; no MRI-use or MRI-exposure applicability decision referenced.</w:t>
            </w:r>
          </w:p>
        </w:tc>
        <w:tc>
          <w:tcPr>
            <w:tcW w:type="dxa" w:w="3888"/>
            <w:vAlign w:val="center"/>
          </w:tcPr>
          <w:p>
            <w:pPr>
              <w:spacing w:line="262" w:lineRule="auto"/>
            </w:pPr>
            <w:r/>
            <w:r>
              <w:rPr>
                <w:b w:val="0"/>
                <w:color w:val="182E49"/>
                <w:sz w:val="16"/>
              </w:rPr>
              <w:t>§5.8 MRI Review: Regulatory/QA shall establish intended exposure to MRI and label claims for supplied catheter and accessories. When applicable, evaluate hazards using appropriate approved methods and maintain risk/evidence references; otherwise document justified N/A. Do not assert “MR Safe” or “MR Conditional” from material identity alone.</w:t>
            </w:r>
          </w:p>
        </w:tc>
        <w:tc>
          <w:tcPr>
            <w:tcW w:type="dxa" w:w="2808"/>
            <w:vAlign w:val="center"/>
          </w:tcPr>
          <w:p>
            <w:pPr>
              <w:spacing w:line="262" w:lineRule="auto"/>
            </w:pPr>
            <w:r/>
            <w:r>
              <w:rPr>
                <w:b w:val="0"/>
                <w:color w:val="182E49"/>
                <w:sz w:val="16"/>
              </w:rPr>
              <w:t>Neither in-process form states MR claims, correctly; no external applicability reference shown.</w:t>
            </w:r>
          </w:p>
        </w:tc>
        <w:tc>
          <w:tcPr>
            <w:tcW w:type="dxa" w:w="3528"/>
            <w:vAlign w:val="center"/>
          </w:tcPr>
          <w:p>
            <w:pPr>
              <w:spacing w:line="262" w:lineRule="auto"/>
            </w:pPr>
            <w:r/>
            <w:r>
              <w:rPr>
                <w:b w:val="0"/>
                <w:color w:val="182E49"/>
                <w:sz w:val="16"/>
              </w:rPr>
              <w:t>MRI exposure/claim assessment Y-N / controlled risk-analysis ref / verification report or signed N/A / label claim approval ID [reference-only].</w:t>
            </w:r>
          </w:p>
        </w:tc>
        <w:tc>
          <w:tcPr>
            <w:tcW w:type="dxa" w:w="2434"/>
            <w:vAlign w:val="center"/>
          </w:tcPr>
          <w:p>
            <w:pPr>
              <w:spacing w:line="262" w:lineRule="auto"/>
            </w:pPr>
            <w:r/>
            <w:r>
              <w:rPr>
                <w:b w:val="0"/>
                <w:color w:val="182E49"/>
                <w:sz w:val="16"/>
              </w:rPr>
              <w:t>Required evidence: Approved MRI risk determination and evidence/label review when applicable. Status: Open — Applicability.</w:t>
              <w:br/>
              <w:t>Control route: Risk-based design review.</w:t>
              <w:br/>
              <w:t>Evidence reference: Pending.</w:t>
              <w:br/>
              <w:t>Closure criteria: approved controls + verified representative record.</w:t>
              <w:br/>
              <w:t>Current closure: Open — Technical Input.</w:t>
            </w:r>
          </w:p>
        </w:tc>
      </w:tr>
    </w:tbl>
    <w:p>
      <w:pPr>
        <w:pStyle w:val="Heading1"/>
      </w:pPr>
      <w:r>
        <w:t>7. Required Tests &amp; Verification Strategy</w:t>
      </w:r>
    </w:p>
    <w:tbl>
      <w:tblPr>
        <w:tblStyle w:val="TableGrid"/>
        <w:tblW w:type="auto" w:w="0"/>
        <w:jc w:val="center"/>
        <w:tblLayout w:type="fixed"/>
        <w:tblLook w:firstColumn="1" w:firstRow="1" w:lastColumn="0" w:lastRow="0" w:noHBand="0" w:noVBand="1" w:val="04A0"/>
      </w:tblPr>
      <w:tblGrid>
        <w:gridCol w:w="7325"/>
        <w:gridCol w:w="7325"/>
        <w:gridCol w:w="7325"/>
      </w:tblGrid>
      <w:tr>
        <w:trPr>
          <w:tblHeader w:val="true"/>
        </w:trPr>
        <w:tc>
          <w:tcPr>
            <w:tcW w:type="dxa" w:w="3888"/>
            <w:vAlign w:val="center"/>
            <w:shd w:fill="182E49"/>
          </w:tcPr>
          <w:p>
            <w:pPr>
              <w:spacing w:line="262" w:lineRule="auto"/>
            </w:pPr>
            <w:r>
              <w:rPr>
                <w:color w:val="FFFFFF"/>
              </w:rPr>
            </w:r>
            <w:r>
              <w:rPr>
                <w:b/>
                <w:color w:val="FFFFFF"/>
                <w:sz w:val="17"/>
              </w:rPr>
              <w:t>Control route</w:t>
            </w:r>
          </w:p>
        </w:tc>
        <w:tc>
          <w:tcPr>
            <w:tcW w:type="dxa" w:w="9792"/>
            <w:vAlign w:val="center"/>
            <w:shd w:fill="182E49"/>
          </w:tcPr>
          <w:p>
            <w:pPr>
              <w:spacing w:line="262" w:lineRule="auto"/>
            </w:pPr>
            <w:r>
              <w:rPr>
                <w:color w:val="FFFFFF"/>
              </w:rPr>
            </w:r>
            <w:r>
              <w:rPr>
                <w:b/>
                <w:color w:val="FFFFFF"/>
                <w:sz w:val="17"/>
              </w:rPr>
              <w:t>Characteristics</w:t>
            </w:r>
          </w:p>
        </w:tc>
        <w:tc>
          <w:tcPr>
            <w:tcW w:type="dxa" w:w="8064"/>
            <w:vAlign w:val="center"/>
            <w:shd w:fill="182E49"/>
          </w:tcPr>
          <w:p>
            <w:pPr>
              <w:spacing w:line="262" w:lineRule="auto"/>
            </w:pPr>
            <w:r>
              <w:rPr>
                <w:color w:val="FFFFFF"/>
              </w:rPr>
            </w:r>
            <w:r>
              <w:rPr>
                <w:b/>
                <w:color w:val="FFFFFF"/>
                <w:sz w:val="17"/>
              </w:rPr>
              <w:t>Required control decision</w:t>
            </w:r>
          </w:p>
        </w:tc>
      </w:tr>
      <w:tr>
        <w:trPr>
          <w:cantSplit/>
        </w:trPr>
        <w:tc>
          <w:tcPr>
            <w:tcW w:type="dxa" w:w="3888"/>
            <w:vAlign w:val="center"/>
          </w:tcPr>
          <w:p>
            <w:pPr>
              <w:spacing w:line="262" w:lineRule="auto"/>
            </w:pPr>
            <w:r/>
            <w:r>
              <w:rPr>
                <w:b w:val="0"/>
                <w:color w:val="182E49"/>
                <w:sz w:val="17"/>
              </w:rPr>
              <w:t>Routine in-process</w:t>
            </w:r>
          </w:p>
        </w:tc>
        <w:tc>
          <w:tcPr>
            <w:tcW w:type="dxa" w:w="9792"/>
            <w:vAlign w:val="center"/>
          </w:tcPr>
          <w:p>
            <w:pPr>
              <w:spacing w:line="262" w:lineRule="auto"/>
            </w:pPr>
            <w:r/>
            <w:r>
              <w:rPr>
                <w:b w:val="0"/>
                <w:color w:val="182E49"/>
                <w:sz w:val="17"/>
              </w:rPr>
              <w:t>Appearance, clarity, assembly presence, Redon tube length, tube dimensions, capacity, connection manual checks, simple leak screen, radiopaque-line workmanship, and silicone multi-channel characteristics.</w:t>
            </w:r>
          </w:p>
        </w:tc>
        <w:tc>
          <w:tcPr>
            <w:tcW w:type="dxa" w:w="8064"/>
            <w:vAlign w:val="center"/>
          </w:tcPr>
          <w:p>
            <w:pPr>
              <w:spacing w:line="262" w:lineRule="auto"/>
            </w:pPr>
            <w:r/>
            <w:r>
              <w:rPr>
                <w:b w:val="0"/>
                <w:color w:val="182E49"/>
                <w:sz w:val="17"/>
              </w:rPr>
              <w:t>Use approved sampling and frequency; F-823-i12/F-823-i108 carry actual values where measured, shift/lot/employee, tool and NCR.</w:t>
            </w:r>
          </w:p>
        </w:tc>
      </w:tr>
      <w:tr>
        <w:trPr>
          <w:cantSplit/>
        </w:trPr>
        <w:tc>
          <w:tcPr>
            <w:tcW w:type="dxa" w:w="3888"/>
            <w:vAlign w:val="center"/>
            <w:shd w:fill="F2F6F9"/>
          </w:tcPr>
          <w:p>
            <w:pPr>
              <w:spacing w:line="262" w:lineRule="auto"/>
            </w:pPr>
            <w:r/>
            <w:r>
              <w:rPr>
                <w:b w:val="0"/>
                <w:color w:val="182E49"/>
                <w:sz w:val="17"/>
              </w:rPr>
              <w:t>Incoming/supplier</w:t>
            </w:r>
          </w:p>
        </w:tc>
        <w:tc>
          <w:tcPr>
            <w:tcW w:type="dxa" w:w="9792"/>
            <w:vAlign w:val="center"/>
            <w:shd w:fill="F2F6F9"/>
          </w:tcPr>
          <w:p>
            <w:pPr>
              <w:spacing w:line="262" w:lineRule="auto"/>
            </w:pPr>
            <w:r/>
            <w:r>
              <w:rPr>
                <w:b w:val="0"/>
                <w:color w:val="182E49"/>
                <w:sz w:val="17"/>
              </w:rPr>
              <w:t>Raw materials, trocar material/visible corrosion, supplied part identity, material/spec certificates.</w:t>
            </w:r>
          </w:p>
        </w:tc>
        <w:tc>
          <w:tcPr>
            <w:tcW w:type="dxa" w:w="8064"/>
            <w:vAlign w:val="center"/>
            <w:shd w:fill="F2F6F9"/>
          </w:tcPr>
          <w:p>
            <w:pPr>
              <w:spacing w:line="262" w:lineRule="auto"/>
            </w:pPr>
            <w:r/>
            <w:r>
              <w:rPr>
                <w:b w:val="0"/>
                <w:color w:val="182E49"/>
                <w:sz w:val="17"/>
              </w:rPr>
              <w:t>Use approved incoming inspection and supplier documentation, independent of in-process form.</w:t>
            </w:r>
          </w:p>
        </w:tc>
      </w:tr>
      <w:tr>
        <w:trPr>
          <w:cantSplit/>
        </w:trPr>
        <w:tc>
          <w:tcPr>
            <w:tcW w:type="dxa" w:w="3888"/>
            <w:vAlign w:val="center"/>
          </w:tcPr>
          <w:p>
            <w:pPr>
              <w:spacing w:line="262" w:lineRule="auto"/>
            </w:pPr>
            <w:r/>
            <w:r>
              <w:rPr>
                <w:b w:val="0"/>
                <w:color w:val="182E49"/>
                <w:sz w:val="17"/>
              </w:rPr>
              <w:t>Type/qualification / lab</w:t>
            </w:r>
          </w:p>
        </w:tc>
        <w:tc>
          <w:tcPr>
            <w:tcW w:type="dxa" w:w="9792"/>
            <w:vAlign w:val="center"/>
          </w:tcPr>
          <w:p>
            <w:pPr>
              <w:spacing w:line="262" w:lineRule="auto"/>
            </w:pPr>
            <w:r/>
            <w:r>
              <w:rPr>
                <w:b w:val="0"/>
                <w:color w:val="182E49"/>
                <w:sz w:val="17"/>
              </w:rPr>
              <w:t>Annex B corrosion (risk-conditional), Annex C deformation, Annex D/E tensile, Annex F impact, Annex M vacuum leakage, Annex G flow when claimed.</w:t>
            </w:r>
          </w:p>
        </w:tc>
        <w:tc>
          <w:tcPr>
            <w:tcW w:type="dxa" w:w="8064"/>
            <w:vAlign w:val="center"/>
          </w:tcPr>
          <w:p>
            <w:pPr>
              <w:spacing w:line="262" w:lineRule="auto"/>
            </w:pPr>
            <w:r/>
            <w:r>
              <w:rPr>
                <w:b w:val="0"/>
                <w:color w:val="182E49"/>
                <w:sz w:val="17"/>
              </w:rPr>
              <w:t>Approved technical methods and risk-based frequency; preserve full external test records linked to production configuration.</w:t>
            </w:r>
          </w:p>
        </w:tc>
      </w:tr>
      <w:tr>
        <w:trPr>
          <w:cantSplit/>
        </w:trPr>
        <w:tc>
          <w:tcPr>
            <w:tcW w:type="dxa" w:w="3888"/>
            <w:vAlign w:val="center"/>
            <w:shd w:fill="F2F6F9"/>
          </w:tcPr>
          <w:p>
            <w:pPr>
              <w:spacing w:line="262" w:lineRule="auto"/>
            </w:pPr>
            <w:r/>
            <w:r>
              <w:rPr>
                <w:b w:val="0"/>
                <w:color w:val="182E49"/>
                <w:sz w:val="17"/>
              </w:rPr>
              <w:t>Design/risk/Regulatory</w:t>
            </w:r>
          </w:p>
        </w:tc>
        <w:tc>
          <w:tcPr>
            <w:tcW w:type="dxa" w:w="9792"/>
            <w:vAlign w:val="center"/>
            <w:shd w:fill="F2F6F9"/>
          </w:tcPr>
          <w:p>
            <w:pPr>
              <w:spacing w:line="262" w:lineRule="auto"/>
            </w:pPr>
            <w:r/>
            <w:r>
              <w:rPr>
                <w:b w:val="0"/>
                <w:color w:val="182E49"/>
                <w:sz w:val="17"/>
              </w:rPr>
              <w:t>Biocompatibility, detectability as risk-required, kink stability, MRI applicability, connector misconnection, labeling and IFU, retention/balloon feature disposition.</w:t>
            </w:r>
          </w:p>
        </w:tc>
        <w:tc>
          <w:tcPr>
            <w:tcW w:type="dxa" w:w="8064"/>
            <w:vAlign w:val="center"/>
            <w:shd w:fill="F2F6F9"/>
          </w:tcPr>
          <w:p>
            <w:pPr>
              <w:spacing w:line="262" w:lineRule="auto"/>
            </w:pPr>
            <w:r/>
            <w:r>
              <w:rPr>
                <w:b w:val="0"/>
                <w:color w:val="182E49"/>
                <w:sz w:val="17"/>
              </w:rPr>
              <w:t>Record applicable risk assessment, qualification and IFU/artwork references; do not assert every-lot testing.</w:t>
            </w:r>
          </w:p>
        </w:tc>
      </w:tr>
      <w:tr>
        <w:trPr>
          <w:cantSplit/>
        </w:trPr>
        <w:tc>
          <w:tcPr>
            <w:tcW w:type="dxa" w:w="3888"/>
            <w:vAlign w:val="center"/>
          </w:tcPr>
          <w:p>
            <w:pPr>
              <w:spacing w:line="262" w:lineRule="auto"/>
            </w:pPr>
            <w:r/>
            <w:r>
              <w:rPr>
                <w:b w:val="0"/>
                <w:color w:val="182E49"/>
                <w:sz w:val="17"/>
              </w:rPr>
              <w:t>Sterilization &amp; final release</w:t>
            </w:r>
          </w:p>
        </w:tc>
        <w:tc>
          <w:tcPr>
            <w:tcW w:type="dxa" w:w="9792"/>
            <w:vAlign w:val="center"/>
          </w:tcPr>
          <w:p>
            <w:pPr>
              <w:spacing w:line="262" w:lineRule="auto"/>
            </w:pPr>
            <w:r/>
            <w:r>
              <w:rPr>
                <w:b w:val="0"/>
                <w:color w:val="182E49"/>
                <w:sz w:val="17"/>
              </w:rPr>
              <w:t>Approved SAL 10^-6 validation, executed load parameters, applicable lab and packaging-release evidence.</w:t>
            </w:r>
          </w:p>
        </w:tc>
        <w:tc>
          <w:tcPr>
            <w:tcW w:type="dxa" w:w="8064"/>
            <w:vAlign w:val="center"/>
          </w:tcPr>
          <w:p>
            <w:pPr>
              <w:spacing w:line="262" w:lineRule="auto"/>
            </w:pPr>
            <w:r/>
            <w:r>
              <w:rPr>
                <w:b w:val="0"/>
                <w:color w:val="182E49"/>
                <w:sz w:val="17"/>
              </w:rPr>
              <w:t>Separate release workflow under WI-7-5-1-1 and F-8-2-4; never approve solely on line in-process results.</w:t>
            </w:r>
          </w:p>
        </w:tc>
      </w:tr>
    </w:tbl>
    <w:p>
      <w:pPr>
        <w:pStyle w:val="Heading1"/>
      </w:pPr>
      <w:r>
        <w:t>8. WI &amp; In-Process Form Reconstruction Overview</w:t>
      </w:r>
    </w:p>
    <w:p>
      <w:r>
        <w:t>The complete companion Revised_WI preserves receiving, injection, extrusion, bellows, silicone multi-channel, trocar assembly, adhesive bonding, packaging, sterilization linkage and separate final release. It supplies auditable proposed clauses and identifies unapproved technical parameters explicitly. The companion Revised_Inspection_Report is clearly labelled revised IN-PROCESS CONTROL; it contains two editable controlled-form prototypes and an external verification register, preserving the basic original row requirements.</w:t>
      </w:r>
    </w:p>
    <w:p>
      <w:pPr>
        <w:pStyle w:val="Heading1"/>
      </w:pPr>
      <w:r>
        <w:t>9. ISO Closure Review</w:t>
      </w:r>
    </w:p>
    <w:p>
      <w:r>
        <w:t>No Verified Closed statuses: only original documentation/templates were provided, with no completed executed tests, risk files, approved drawings, lab reports or sterilization validations. Specific document-control resolutions, technical inputs and approvals are open. Documentary coverage of the proposals is not effective until technical sign-off. ISO conformance and market release cannot be concluded.</w:t>
      </w:r>
    </w:p>
    <w:p>
      <w:pPr>
        <w:pStyle w:val="Heading1"/>
      </w:pPr>
      <w:r>
        <w:t>10. QC Manager Action Plan</w:t>
      </w:r>
    </w:p>
    <w:tbl>
      <w:tblPr>
        <w:tblStyle w:val="TableGrid"/>
        <w:tblW w:type="auto" w:w="0"/>
        <w:jc w:val="center"/>
        <w:tblLayout w:type="fixed"/>
        <w:tblLook w:firstColumn="1" w:firstRow="1" w:lastColumn="0" w:lastRow="0" w:noHBand="0" w:noVBand="1" w:val="04A0"/>
      </w:tblPr>
      <w:tblGrid>
        <w:gridCol w:w="3662"/>
        <w:gridCol w:w="3662"/>
        <w:gridCol w:w="3662"/>
        <w:gridCol w:w="3662"/>
        <w:gridCol w:w="3662"/>
        <w:gridCol w:w="3662"/>
      </w:tblGrid>
      <w:tr>
        <w:trPr>
          <w:tblHeader w:val="true"/>
        </w:trPr>
        <w:tc>
          <w:tcPr>
            <w:tcW w:type="dxa" w:w="2088"/>
            <w:vAlign w:val="center"/>
            <w:shd w:fill="182E49"/>
          </w:tcPr>
          <w:p>
            <w:pPr>
              <w:spacing w:line="262" w:lineRule="auto"/>
            </w:pPr>
            <w:r>
              <w:rPr>
                <w:color w:val="FFFFFF"/>
              </w:rPr>
            </w:r>
            <w:r>
              <w:rPr>
                <w:b/>
                <w:color w:val="FFFFFF"/>
                <w:sz w:val="16"/>
              </w:rPr>
              <w:t>Gap ID</w:t>
            </w:r>
          </w:p>
        </w:tc>
        <w:tc>
          <w:tcPr>
            <w:tcW w:type="dxa" w:w="1152"/>
            <w:vAlign w:val="center"/>
            <w:shd w:fill="182E49"/>
          </w:tcPr>
          <w:p>
            <w:pPr>
              <w:spacing w:line="262" w:lineRule="auto"/>
            </w:pPr>
            <w:r>
              <w:rPr>
                <w:color w:val="FFFFFF"/>
              </w:rPr>
            </w:r>
            <w:r>
              <w:rPr>
                <w:b/>
                <w:color w:val="FFFFFF"/>
                <w:sz w:val="16"/>
              </w:rPr>
              <w:t>Priority</w:t>
            </w:r>
          </w:p>
        </w:tc>
        <w:tc>
          <w:tcPr>
            <w:tcW w:type="dxa" w:w="6624"/>
            <w:vAlign w:val="center"/>
            <w:shd w:fill="182E49"/>
          </w:tcPr>
          <w:p>
            <w:pPr>
              <w:spacing w:line="262" w:lineRule="auto"/>
            </w:pPr>
            <w:r>
              <w:rPr>
                <w:color w:val="FFFFFF"/>
              </w:rPr>
            </w:r>
            <w:r>
              <w:rPr>
                <w:b/>
                <w:color w:val="FFFFFF"/>
                <w:sz w:val="16"/>
              </w:rPr>
              <w:t>Required action</w:t>
            </w:r>
          </w:p>
        </w:tc>
        <w:tc>
          <w:tcPr>
            <w:tcW w:type="dxa" w:w="3240"/>
            <w:vAlign w:val="center"/>
            <w:shd w:fill="182E49"/>
          </w:tcPr>
          <w:p>
            <w:pPr>
              <w:spacing w:line="262" w:lineRule="auto"/>
            </w:pPr>
            <w:r>
              <w:rPr>
                <w:color w:val="FFFFFF"/>
              </w:rPr>
            </w:r>
            <w:r>
              <w:rPr>
                <w:b/>
                <w:color w:val="FFFFFF"/>
                <w:sz w:val="16"/>
              </w:rPr>
              <w:t>Responsible function</w:t>
            </w:r>
          </w:p>
        </w:tc>
        <w:tc>
          <w:tcPr>
            <w:tcW w:type="dxa" w:w="5760"/>
            <w:vAlign w:val="center"/>
            <w:shd w:fill="182E49"/>
          </w:tcPr>
          <w:p>
            <w:pPr>
              <w:spacing w:line="262" w:lineRule="auto"/>
            </w:pPr>
            <w:r>
              <w:rPr>
                <w:color w:val="FFFFFF"/>
              </w:rPr>
            </w:r>
            <w:r>
              <w:rPr>
                <w:b/>
                <w:color w:val="FFFFFF"/>
                <w:sz w:val="16"/>
              </w:rPr>
              <w:t>Required evidence</w:t>
            </w:r>
          </w:p>
        </w:tc>
        <w:tc>
          <w:tcPr>
            <w:tcW w:type="dxa" w:w="2880"/>
            <w:vAlign w:val="center"/>
            <w:shd w:fill="182E49"/>
          </w:tcPr>
          <w:p>
            <w:pPr>
              <w:spacing w:line="262" w:lineRule="auto"/>
            </w:pPr>
            <w:r>
              <w:rPr>
                <w:color w:val="FFFFFF"/>
              </w:rPr>
            </w:r>
            <w:r>
              <w:rPr>
                <w:b/>
                <w:color w:val="FFFFFF"/>
                <w:sz w:val="16"/>
              </w:rPr>
              <w:t>Closure status</w:t>
            </w:r>
          </w:p>
        </w:tc>
      </w:tr>
      <w:tr>
        <w:trPr>
          <w:cantSplit/>
        </w:trPr>
        <w:tc>
          <w:tcPr>
            <w:tcW w:type="dxa" w:w="2088"/>
            <w:vAlign w:val="center"/>
          </w:tcPr>
          <w:p>
            <w:pPr>
              <w:spacing w:line="262" w:lineRule="auto"/>
            </w:pPr>
            <w:r/>
            <w:r>
              <w:rPr>
                <w:b w:val="0"/>
                <w:color w:val="182E49"/>
                <w:sz w:val="16"/>
              </w:rPr>
              <w:t>GAP-001</w:t>
            </w:r>
          </w:p>
        </w:tc>
        <w:tc>
          <w:tcPr>
            <w:tcW w:type="dxa" w:w="1152"/>
            <w:vAlign w:val="center"/>
          </w:tcPr>
          <w:p>
            <w:pPr>
              <w:spacing w:line="262" w:lineRule="auto"/>
            </w:pPr>
            <w:r/>
            <w:r>
              <w:rPr>
                <w:b w:val="0"/>
                <w:color w:val="182E49"/>
                <w:sz w:val="16"/>
              </w:rPr>
              <w:t>P2</w:t>
            </w:r>
          </w:p>
        </w:tc>
        <w:tc>
          <w:tcPr>
            <w:tcW w:type="dxa" w:w="6624"/>
            <w:vAlign w:val="center"/>
          </w:tcPr>
          <w:p>
            <w:pPr>
              <w:spacing w:line="262" w:lineRule="auto"/>
            </w:pPr>
            <w:r/>
            <w:r>
              <w:rPr>
                <w:b w:val="0"/>
                <w:color w:val="182E49"/>
                <w:sz w:val="16"/>
              </w:rPr>
              <w:t>Unreconciled controlled document identity — approve revised WI/control route.</w:t>
            </w:r>
          </w:p>
        </w:tc>
        <w:tc>
          <w:tcPr>
            <w:tcW w:type="dxa" w:w="3240"/>
            <w:vAlign w:val="center"/>
          </w:tcPr>
          <w:p>
            <w:pPr>
              <w:spacing w:line="262" w:lineRule="auto"/>
            </w:pPr>
            <w:r/>
            <w:r>
              <w:rPr>
                <w:b w:val="0"/>
                <w:color w:val="182E49"/>
                <w:sz w:val="16"/>
              </w:rPr>
              <w:t>QA / Document Control</w:t>
            </w:r>
          </w:p>
        </w:tc>
        <w:tc>
          <w:tcPr>
            <w:tcW w:type="dxa" w:w="5760"/>
            <w:vAlign w:val="center"/>
          </w:tcPr>
          <w:p>
            <w:pPr>
              <w:spacing w:line="262" w:lineRule="auto"/>
            </w:pPr>
            <w:r/>
            <w:r>
              <w:rPr>
                <w:b w:val="0"/>
                <w:color w:val="182E49"/>
                <w:sz w:val="16"/>
              </w:rPr>
              <w:t>Approved document master list</w:t>
            </w:r>
          </w:p>
        </w:tc>
        <w:tc>
          <w:tcPr>
            <w:tcW w:type="dxa" w:w="2880"/>
            <w:vAlign w:val="center"/>
          </w:tcPr>
          <w:p>
            <w:pPr>
              <w:spacing w:line="262" w:lineRule="auto"/>
            </w:pPr>
            <w:r/>
            <w:r>
              <w:rPr>
                <w:b w:val="0"/>
                <w:color w:val="182E49"/>
                <w:sz w:val="16"/>
              </w:rPr>
              <w:t>Open — Approval</w:t>
            </w:r>
          </w:p>
        </w:tc>
      </w:tr>
      <w:tr>
        <w:trPr>
          <w:cantSplit/>
        </w:trPr>
        <w:tc>
          <w:tcPr>
            <w:tcW w:type="dxa" w:w="2088"/>
            <w:vAlign w:val="center"/>
            <w:shd w:fill="F2F6F9"/>
          </w:tcPr>
          <w:p>
            <w:pPr>
              <w:spacing w:line="262" w:lineRule="auto"/>
            </w:pPr>
            <w:r/>
            <w:r>
              <w:rPr>
                <w:b w:val="0"/>
                <w:color w:val="182E49"/>
                <w:sz w:val="16"/>
              </w:rPr>
              <w:t>GAP-002</w:t>
            </w:r>
          </w:p>
        </w:tc>
        <w:tc>
          <w:tcPr>
            <w:tcW w:type="dxa" w:w="1152"/>
            <w:vAlign w:val="center"/>
            <w:shd w:fill="F2F6F9"/>
          </w:tcPr>
          <w:p>
            <w:pPr>
              <w:spacing w:line="262" w:lineRule="auto"/>
            </w:pPr>
            <w:r/>
            <w:r>
              <w:rPr>
                <w:b w:val="0"/>
                <w:color w:val="182E49"/>
                <w:sz w:val="16"/>
              </w:rPr>
              <w:t>P1</w:t>
            </w:r>
          </w:p>
        </w:tc>
        <w:tc>
          <w:tcPr>
            <w:tcW w:type="dxa" w:w="6624"/>
            <w:vAlign w:val="center"/>
            <w:shd w:fill="F2F6F9"/>
          </w:tcPr>
          <w:p>
            <w:pPr>
              <w:spacing w:line="262" w:lineRule="auto"/>
            </w:pPr>
            <w:r/>
            <w:r>
              <w:rPr>
                <w:b w:val="0"/>
                <w:color w:val="182E49"/>
                <w:sz w:val="16"/>
              </w:rPr>
              <w:t>Intended performance and risk file are not linked — approve revised WI/control route.</w:t>
            </w:r>
          </w:p>
        </w:tc>
        <w:tc>
          <w:tcPr>
            <w:tcW w:type="dxa" w:w="3240"/>
            <w:vAlign w:val="center"/>
            <w:shd w:fill="F2F6F9"/>
          </w:tcPr>
          <w:p>
            <w:pPr>
              <w:spacing w:line="262" w:lineRule="auto"/>
            </w:pPr>
            <w:r/>
            <w:r>
              <w:rPr>
                <w:b w:val="0"/>
                <w:color w:val="182E49"/>
                <w:sz w:val="16"/>
              </w:rPr>
              <w:t>QA / Engineering</w:t>
            </w:r>
          </w:p>
        </w:tc>
        <w:tc>
          <w:tcPr>
            <w:tcW w:type="dxa" w:w="5760"/>
            <w:vAlign w:val="center"/>
            <w:shd w:fill="F2F6F9"/>
          </w:tcPr>
          <w:p>
            <w:pPr>
              <w:spacing w:line="262" w:lineRule="auto"/>
            </w:pPr>
            <w:r/>
            <w:r>
              <w:rPr>
                <w:b w:val="0"/>
                <w:color w:val="182E49"/>
                <w:sz w:val="16"/>
              </w:rPr>
              <w:t>Approved risk analysis and intended-performance verification evidence</w:t>
            </w:r>
          </w:p>
        </w:tc>
        <w:tc>
          <w:tcPr>
            <w:tcW w:type="dxa" w:w="2880"/>
            <w:vAlign w:val="center"/>
            <w:shd w:fill="F2F6F9"/>
          </w:tcPr>
          <w:p>
            <w:pPr>
              <w:spacing w:line="262" w:lineRule="auto"/>
            </w:pPr>
            <w:r/>
            <w:r>
              <w:rPr>
                <w:b w:val="0"/>
                <w:color w:val="182E49"/>
                <w:sz w:val="16"/>
              </w:rPr>
              <w:t>Open — Evidence / Approval</w:t>
            </w:r>
          </w:p>
        </w:tc>
      </w:tr>
      <w:tr>
        <w:trPr>
          <w:cantSplit/>
        </w:trPr>
        <w:tc>
          <w:tcPr>
            <w:tcW w:type="dxa" w:w="2088"/>
            <w:vAlign w:val="center"/>
          </w:tcPr>
          <w:p>
            <w:pPr>
              <w:spacing w:line="262" w:lineRule="auto"/>
            </w:pPr>
            <w:r/>
            <w:r>
              <w:rPr>
                <w:b w:val="0"/>
                <w:color w:val="182E49"/>
                <w:sz w:val="16"/>
              </w:rPr>
              <w:t>GAP-003</w:t>
            </w:r>
          </w:p>
        </w:tc>
        <w:tc>
          <w:tcPr>
            <w:tcW w:type="dxa" w:w="1152"/>
            <w:vAlign w:val="center"/>
          </w:tcPr>
          <w:p>
            <w:pPr>
              <w:spacing w:line="262" w:lineRule="auto"/>
            </w:pPr>
            <w:r/>
            <w:r>
              <w:rPr>
                <w:b w:val="0"/>
                <w:color w:val="182E49"/>
                <w:sz w:val="16"/>
              </w:rPr>
              <w:t>P1</w:t>
            </w:r>
          </w:p>
        </w:tc>
        <w:tc>
          <w:tcPr>
            <w:tcW w:type="dxa" w:w="6624"/>
            <w:vAlign w:val="center"/>
          </w:tcPr>
          <w:p>
            <w:pPr>
              <w:spacing w:line="262" w:lineRule="auto"/>
            </w:pPr>
            <w:r/>
            <w:r>
              <w:rPr>
                <w:b w:val="0"/>
                <w:color w:val="182E49"/>
                <w:sz w:val="16"/>
              </w:rPr>
              <w:t>Biocompatibility evidence linkage absent — approve revised WI/control route.</w:t>
            </w:r>
          </w:p>
        </w:tc>
        <w:tc>
          <w:tcPr>
            <w:tcW w:type="dxa" w:w="3240"/>
            <w:vAlign w:val="center"/>
          </w:tcPr>
          <w:p>
            <w:pPr>
              <w:spacing w:line="262" w:lineRule="auto"/>
            </w:pPr>
            <w:r/>
            <w:r>
              <w:rPr>
                <w:b w:val="0"/>
                <w:color w:val="182E49"/>
                <w:sz w:val="16"/>
              </w:rPr>
              <w:t>QA / Regulatory / Engineering</w:t>
            </w:r>
          </w:p>
        </w:tc>
        <w:tc>
          <w:tcPr>
            <w:tcW w:type="dxa" w:w="5760"/>
            <w:vAlign w:val="center"/>
          </w:tcPr>
          <w:p>
            <w:pPr>
              <w:spacing w:line="262" w:lineRule="auto"/>
            </w:pPr>
            <w:r/>
            <w:r>
              <w:rPr>
                <w:b w:val="0"/>
                <w:color w:val="182E49"/>
                <w:sz w:val="16"/>
              </w:rPr>
              <w:t>Signed biological evaluation / test reports as justified, material/supplier configuration and change-control records. Status: Open — Evidence.</w:t>
            </w:r>
          </w:p>
        </w:tc>
        <w:tc>
          <w:tcPr>
            <w:tcW w:type="dxa" w:w="2880"/>
            <w:vAlign w:val="center"/>
          </w:tcPr>
          <w:p>
            <w:pPr>
              <w:spacing w:line="262" w:lineRule="auto"/>
            </w:pPr>
            <w:r/>
            <w:r>
              <w:rPr>
                <w:b w:val="0"/>
                <w:color w:val="182E49"/>
                <w:sz w:val="16"/>
              </w:rPr>
              <w:t>Open — Evidence / Approval</w:t>
            </w:r>
          </w:p>
        </w:tc>
      </w:tr>
      <w:tr>
        <w:trPr>
          <w:cantSplit/>
        </w:trPr>
        <w:tc>
          <w:tcPr>
            <w:tcW w:type="dxa" w:w="2088"/>
            <w:vAlign w:val="center"/>
            <w:shd w:fill="F2F6F9"/>
          </w:tcPr>
          <w:p>
            <w:pPr>
              <w:spacing w:line="262" w:lineRule="auto"/>
            </w:pPr>
            <w:r/>
            <w:r>
              <w:rPr>
                <w:b w:val="0"/>
                <w:color w:val="182E49"/>
                <w:sz w:val="16"/>
              </w:rPr>
              <w:t>GAP-004</w:t>
            </w:r>
          </w:p>
        </w:tc>
        <w:tc>
          <w:tcPr>
            <w:tcW w:type="dxa" w:w="1152"/>
            <w:vAlign w:val="center"/>
            <w:shd w:fill="F2F6F9"/>
          </w:tcPr>
          <w:p>
            <w:pPr>
              <w:spacing w:line="262" w:lineRule="auto"/>
            </w:pPr>
            <w:r/>
            <w:r>
              <w:rPr>
                <w:b w:val="0"/>
                <w:color w:val="182E49"/>
                <w:sz w:val="16"/>
              </w:rPr>
              <w:t>P2</w:t>
            </w:r>
          </w:p>
        </w:tc>
        <w:tc>
          <w:tcPr>
            <w:tcW w:type="dxa" w:w="6624"/>
            <w:vAlign w:val="center"/>
            <w:shd w:fill="F2F6F9"/>
          </w:tcPr>
          <w:p>
            <w:pPr>
              <w:spacing w:line="262" w:lineRule="auto"/>
            </w:pPr>
            <w:r/>
            <w:r>
              <w:rPr>
                <w:b w:val="0"/>
                <w:color w:val="182E49"/>
                <w:sz w:val="16"/>
              </w:rPr>
              <w:t>Detectability status not governed by risk decision — approve revised WI/control route.</w:t>
            </w:r>
          </w:p>
        </w:tc>
        <w:tc>
          <w:tcPr>
            <w:tcW w:type="dxa" w:w="3240"/>
            <w:vAlign w:val="center"/>
            <w:shd w:fill="F2F6F9"/>
          </w:tcPr>
          <w:p>
            <w:pPr>
              <w:spacing w:line="262" w:lineRule="auto"/>
            </w:pPr>
            <w:r/>
            <w:r>
              <w:rPr>
                <w:b w:val="0"/>
                <w:color w:val="182E49"/>
                <w:sz w:val="16"/>
              </w:rPr>
              <w:t>QA / Engineering</w:t>
            </w:r>
          </w:p>
        </w:tc>
        <w:tc>
          <w:tcPr>
            <w:tcW w:type="dxa" w:w="5760"/>
            <w:vAlign w:val="center"/>
            <w:shd w:fill="F2F6F9"/>
          </w:tcPr>
          <w:p>
            <w:pPr>
              <w:spacing w:line="262" w:lineRule="auto"/>
            </w:pPr>
            <w:r/>
            <w:r>
              <w:rPr>
                <w:b w:val="0"/>
                <w:color w:val="182E49"/>
                <w:sz w:val="16"/>
              </w:rPr>
              <w:t>Approved risk decision + effective-length detectability report (if required), link to variant and formulation. Status: Open — Evidence.</w:t>
            </w:r>
          </w:p>
        </w:tc>
        <w:tc>
          <w:tcPr>
            <w:tcW w:type="dxa" w:w="2880"/>
            <w:vAlign w:val="center"/>
            <w:shd w:fill="F2F6F9"/>
          </w:tcPr>
          <w:p>
            <w:pPr>
              <w:spacing w:line="262" w:lineRule="auto"/>
            </w:pPr>
            <w:r/>
            <w:r>
              <w:rPr>
                <w:b w:val="0"/>
                <w:color w:val="182E49"/>
                <w:sz w:val="16"/>
              </w:rPr>
              <w:t>Open — Evidence / Approval</w:t>
            </w:r>
          </w:p>
        </w:tc>
      </w:tr>
      <w:tr>
        <w:trPr>
          <w:cantSplit/>
        </w:trPr>
        <w:tc>
          <w:tcPr>
            <w:tcW w:type="dxa" w:w="2088"/>
            <w:vAlign w:val="center"/>
          </w:tcPr>
          <w:p>
            <w:pPr>
              <w:spacing w:line="262" w:lineRule="auto"/>
            </w:pPr>
            <w:r/>
            <w:r>
              <w:rPr>
                <w:b w:val="0"/>
                <w:color w:val="182E49"/>
                <w:sz w:val="16"/>
              </w:rPr>
              <w:t>GAP-005</w:t>
            </w:r>
          </w:p>
        </w:tc>
        <w:tc>
          <w:tcPr>
            <w:tcW w:type="dxa" w:w="1152"/>
            <w:vAlign w:val="center"/>
          </w:tcPr>
          <w:p>
            <w:pPr>
              <w:spacing w:line="262" w:lineRule="auto"/>
            </w:pPr>
            <w:r/>
            <w:r>
              <w:rPr>
                <w:b w:val="0"/>
                <w:color w:val="182E49"/>
                <w:sz w:val="16"/>
              </w:rPr>
              <w:t>P2</w:t>
            </w:r>
          </w:p>
        </w:tc>
        <w:tc>
          <w:tcPr>
            <w:tcW w:type="dxa" w:w="6624"/>
            <w:vAlign w:val="center"/>
          </w:tcPr>
          <w:p>
            <w:pPr>
              <w:spacing w:line="262" w:lineRule="auto"/>
            </w:pPr>
            <w:r/>
            <w:r>
              <w:rPr>
                <w:b w:val="0"/>
                <w:color w:val="182E49"/>
                <w:sz w:val="16"/>
              </w:rPr>
              <w:t>Surface finish method does not reflect risk-based magnification — approve revised WI/control route.</w:t>
            </w:r>
          </w:p>
        </w:tc>
        <w:tc>
          <w:tcPr>
            <w:tcW w:type="dxa" w:w="3240"/>
            <w:vAlign w:val="center"/>
          </w:tcPr>
          <w:p>
            <w:pPr>
              <w:spacing w:line="262" w:lineRule="auto"/>
            </w:pPr>
            <w:r/>
            <w:r>
              <w:rPr>
                <w:b w:val="0"/>
                <w:color w:val="182E49"/>
                <w:sz w:val="16"/>
              </w:rPr>
              <w:t>QC / QA</w:t>
            </w:r>
          </w:p>
        </w:tc>
        <w:tc>
          <w:tcPr>
            <w:tcW w:type="dxa" w:w="5760"/>
            <w:vAlign w:val="center"/>
          </w:tcPr>
          <w:p>
            <w:pPr>
              <w:spacing w:line="262" w:lineRule="auto"/>
            </w:pPr>
            <w:r/>
            <w:r>
              <w:rPr>
                <w:b w:val="0"/>
                <w:color w:val="182E49"/>
                <w:sz w:val="16"/>
              </w:rPr>
              <w:t>Approved visual defect standard</w:t>
            </w:r>
          </w:p>
        </w:tc>
        <w:tc>
          <w:tcPr>
            <w:tcW w:type="dxa" w:w="2880"/>
            <w:vAlign w:val="center"/>
          </w:tcPr>
          <w:p>
            <w:pPr>
              <w:spacing w:line="262" w:lineRule="auto"/>
            </w:pPr>
            <w:r/>
            <w:r>
              <w:rPr>
                <w:b w:val="0"/>
                <w:color w:val="182E49"/>
                <w:sz w:val="16"/>
              </w:rPr>
              <w:t>Open — Technical Input / Evidence</w:t>
            </w:r>
          </w:p>
        </w:tc>
      </w:tr>
      <w:tr>
        <w:trPr>
          <w:cantSplit/>
        </w:trPr>
        <w:tc>
          <w:tcPr>
            <w:tcW w:type="dxa" w:w="2088"/>
            <w:vAlign w:val="center"/>
            <w:shd w:fill="F2F6F9"/>
          </w:tcPr>
          <w:p>
            <w:pPr>
              <w:spacing w:line="262" w:lineRule="auto"/>
            </w:pPr>
            <w:r/>
            <w:r>
              <w:rPr>
                <w:b w:val="0"/>
                <w:color w:val="182E49"/>
                <w:sz w:val="16"/>
              </w:rPr>
              <w:t>GAP-006</w:t>
            </w:r>
          </w:p>
        </w:tc>
        <w:tc>
          <w:tcPr>
            <w:tcW w:type="dxa" w:w="1152"/>
            <w:vAlign w:val="center"/>
            <w:shd w:fill="F2F6F9"/>
          </w:tcPr>
          <w:p>
            <w:pPr>
              <w:spacing w:line="262" w:lineRule="auto"/>
            </w:pPr>
            <w:r/>
            <w:r>
              <w:rPr>
                <w:b w:val="0"/>
                <w:color w:val="182E49"/>
                <w:sz w:val="16"/>
              </w:rPr>
              <w:t>P2</w:t>
            </w:r>
          </w:p>
        </w:tc>
        <w:tc>
          <w:tcPr>
            <w:tcW w:type="dxa" w:w="6624"/>
            <w:vAlign w:val="center"/>
            <w:shd w:fill="F2F6F9"/>
          </w:tcPr>
          <w:p>
            <w:pPr>
              <w:spacing w:line="262" w:lineRule="auto"/>
            </w:pPr>
            <w:r/>
            <w:r>
              <w:rPr>
                <w:b w:val="0"/>
                <w:color w:val="182E49"/>
                <w:sz w:val="16"/>
              </w:rPr>
              <w:t>Catheter size designation and OD tolerances not controlled — approve revised WI/control route.</w:t>
            </w:r>
          </w:p>
        </w:tc>
        <w:tc>
          <w:tcPr>
            <w:tcW w:type="dxa" w:w="3240"/>
            <w:vAlign w:val="center"/>
            <w:shd w:fill="F2F6F9"/>
          </w:tcPr>
          <w:p>
            <w:pPr>
              <w:spacing w:line="262" w:lineRule="auto"/>
            </w:pPr>
            <w:r/>
            <w:r>
              <w:rPr>
                <w:b w:val="0"/>
                <w:color w:val="182E49"/>
                <w:sz w:val="16"/>
              </w:rPr>
              <w:t>Engineering / QC</w:t>
            </w:r>
          </w:p>
        </w:tc>
        <w:tc>
          <w:tcPr>
            <w:tcW w:type="dxa" w:w="5760"/>
            <w:vAlign w:val="center"/>
            <w:shd w:fill="F2F6F9"/>
          </w:tcPr>
          <w:p>
            <w:pPr>
              <w:spacing w:line="262" w:lineRule="auto"/>
            </w:pPr>
            <w:r/>
            <w:r>
              <w:rPr>
                <w:b w:val="0"/>
                <w:color w:val="182E49"/>
                <w:sz w:val="16"/>
              </w:rPr>
              <w:t>Approved drawings by size</w:t>
            </w:r>
          </w:p>
        </w:tc>
        <w:tc>
          <w:tcPr>
            <w:tcW w:type="dxa" w:w="2880"/>
            <w:vAlign w:val="center"/>
            <w:shd w:fill="F2F6F9"/>
          </w:tcPr>
          <w:p>
            <w:pPr>
              <w:spacing w:line="262" w:lineRule="auto"/>
            </w:pPr>
            <w:r/>
            <w:r>
              <w:rPr>
                <w:b w:val="0"/>
                <w:color w:val="182E49"/>
                <w:sz w:val="16"/>
              </w:rPr>
              <w:t>Open — Technical Input / Evidence</w:t>
            </w:r>
          </w:p>
        </w:tc>
      </w:tr>
      <w:tr>
        <w:trPr>
          <w:cantSplit/>
        </w:trPr>
        <w:tc>
          <w:tcPr>
            <w:tcW w:type="dxa" w:w="2088"/>
            <w:vAlign w:val="center"/>
          </w:tcPr>
          <w:p>
            <w:pPr>
              <w:spacing w:line="262" w:lineRule="auto"/>
            </w:pPr>
            <w:r/>
            <w:r>
              <w:rPr>
                <w:b w:val="0"/>
                <w:color w:val="182E49"/>
                <w:sz w:val="16"/>
              </w:rPr>
              <w:t>GAP-007</w:t>
            </w:r>
          </w:p>
        </w:tc>
        <w:tc>
          <w:tcPr>
            <w:tcW w:type="dxa" w:w="1152"/>
            <w:vAlign w:val="center"/>
          </w:tcPr>
          <w:p>
            <w:pPr>
              <w:spacing w:line="262" w:lineRule="auto"/>
            </w:pPr>
            <w:r/>
            <w:r>
              <w:rPr>
                <w:b w:val="0"/>
                <w:color w:val="182E49"/>
                <w:sz w:val="16"/>
              </w:rPr>
              <w:t>P1</w:t>
            </w:r>
          </w:p>
        </w:tc>
        <w:tc>
          <w:tcPr>
            <w:tcW w:type="dxa" w:w="6624"/>
            <w:vAlign w:val="center"/>
          </w:tcPr>
          <w:p>
            <w:pPr>
              <w:spacing w:line="262" w:lineRule="auto"/>
            </w:pPr>
            <w:r/>
            <w:r>
              <w:rPr>
                <w:b w:val="0"/>
                <w:color w:val="182E49"/>
                <w:sz w:val="16"/>
              </w:rPr>
              <w:t>Misconnection hazards lack verified risk review — approve revised WI/control route.</w:t>
            </w:r>
          </w:p>
        </w:tc>
        <w:tc>
          <w:tcPr>
            <w:tcW w:type="dxa" w:w="3240"/>
            <w:vAlign w:val="center"/>
          </w:tcPr>
          <w:p>
            <w:pPr>
              <w:spacing w:line="262" w:lineRule="auto"/>
            </w:pPr>
            <w:r/>
            <w:r>
              <w:rPr>
                <w:b w:val="0"/>
                <w:color w:val="182E49"/>
                <w:sz w:val="16"/>
              </w:rPr>
              <w:t>Engineering / QA / QC</w:t>
            </w:r>
          </w:p>
        </w:tc>
        <w:tc>
          <w:tcPr>
            <w:tcW w:type="dxa" w:w="5760"/>
            <w:vAlign w:val="center"/>
          </w:tcPr>
          <w:p>
            <w:pPr>
              <w:spacing w:line="262" w:lineRule="auto"/>
            </w:pPr>
            <w:r/>
            <w:r>
              <w:rPr>
                <w:b w:val="0"/>
                <w:color w:val="182E49"/>
                <w:sz w:val="16"/>
              </w:rPr>
              <w:t>Approved connector compatibility and misconnection risk analysis, design-verification evidence and completed SKU-level fit checks. Status: Open — Evidence.</w:t>
            </w:r>
          </w:p>
        </w:tc>
        <w:tc>
          <w:tcPr>
            <w:tcW w:type="dxa" w:w="2880"/>
            <w:vAlign w:val="center"/>
          </w:tcPr>
          <w:p>
            <w:pPr>
              <w:spacing w:line="262" w:lineRule="auto"/>
            </w:pPr>
            <w:r/>
            <w:r>
              <w:rPr>
                <w:b w:val="0"/>
                <w:color w:val="182E49"/>
                <w:sz w:val="16"/>
              </w:rPr>
              <w:t>Open — Evidence / Approval</w:t>
            </w:r>
          </w:p>
        </w:tc>
      </w:tr>
      <w:tr>
        <w:trPr>
          <w:cantSplit/>
        </w:trPr>
        <w:tc>
          <w:tcPr>
            <w:tcW w:type="dxa" w:w="2088"/>
            <w:vAlign w:val="center"/>
            <w:shd w:fill="F2F6F9"/>
          </w:tcPr>
          <w:p>
            <w:pPr>
              <w:spacing w:line="262" w:lineRule="auto"/>
            </w:pPr>
            <w:r/>
            <w:r>
              <w:rPr>
                <w:b w:val="0"/>
                <w:color w:val="182E49"/>
                <w:sz w:val="16"/>
              </w:rPr>
              <w:t>GAP-008</w:t>
            </w:r>
          </w:p>
        </w:tc>
        <w:tc>
          <w:tcPr>
            <w:tcW w:type="dxa" w:w="1152"/>
            <w:vAlign w:val="center"/>
            <w:shd w:fill="F2F6F9"/>
          </w:tcPr>
          <w:p>
            <w:pPr>
              <w:spacing w:line="262" w:lineRule="auto"/>
            </w:pPr>
            <w:r/>
            <w:r>
              <w:rPr>
                <w:b w:val="0"/>
                <w:color w:val="182E49"/>
                <w:sz w:val="16"/>
              </w:rPr>
              <w:t>P1</w:t>
            </w:r>
          </w:p>
        </w:tc>
        <w:tc>
          <w:tcPr>
            <w:tcW w:type="dxa" w:w="6624"/>
            <w:vAlign w:val="center"/>
            <w:shd w:fill="F2F6F9"/>
          </w:tcPr>
          <w:p>
            <w:pPr>
              <w:spacing w:line="262" w:lineRule="auto"/>
            </w:pPr>
            <w:r/>
            <w:r>
              <w:rPr>
                <w:b w:val="0"/>
                <w:color w:val="182E49"/>
                <w:sz w:val="16"/>
              </w:rPr>
              <w:t>Maximum vacuum deformation test not operationally defined — approve revised WI/control route.</w:t>
            </w:r>
          </w:p>
        </w:tc>
        <w:tc>
          <w:tcPr>
            <w:tcW w:type="dxa" w:w="3240"/>
            <w:vAlign w:val="center"/>
            <w:shd w:fill="F2F6F9"/>
          </w:tcPr>
          <w:p>
            <w:pPr>
              <w:spacing w:line="262" w:lineRule="auto"/>
            </w:pPr>
            <w:r/>
            <w:r>
              <w:rPr>
                <w:b w:val="0"/>
                <w:color w:val="182E49"/>
                <w:sz w:val="16"/>
              </w:rPr>
              <w:t>Engineering / Laboratory / QA</w:t>
            </w:r>
          </w:p>
        </w:tc>
        <w:tc>
          <w:tcPr>
            <w:tcW w:type="dxa" w:w="5760"/>
            <w:vAlign w:val="center"/>
            <w:shd w:fill="F2F6F9"/>
          </w:tcPr>
          <w:p>
            <w:pPr>
              <w:spacing w:line="262" w:lineRule="auto"/>
            </w:pPr>
            <w:r/>
            <w:r>
              <w:rPr>
                <w:b w:val="0"/>
                <w:color w:val="182E49"/>
                <w:sz w:val="16"/>
              </w:rPr>
              <w:t>Approved max negative pressure and completed Annex C report incl conditions, duration, finding and functional acceptance, mapped to SKU. Status: Open — Technica</w:t>
            </w:r>
          </w:p>
        </w:tc>
        <w:tc>
          <w:tcPr>
            <w:tcW w:type="dxa" w:w="2880"/>
            <w:vAlign w:val="center"/>
            <w:shd w:fill="F2F6F9"/>
          </w:tcPr>
          <w:p>
            <w:pPr>
              <w:spacing w:line="262" w:lineRule="auto"/>
            </w:pPr>
            <w:r/>
            <w:r>
              <w:rPr>
                <w:b w:val="0"/>
                <w:color w:val="182E49"/>
                <w:sz w:val="16"/>
              </w:rPr>
              <w:t>Open — Technical Input / Evidence</w:t>
            </w:r>
          </w:p>
        </w:tc>
      </w:tr>
      <w:tr>
        <w:trPr>
          <w:cantSplit/>
        </w:trPr>
        <w:tc>
          <w:tcPr>
            <w:tcW w:type="dxa" w:w="2088"/>
            <w:vAlign w:val="center"/>
          </w:tcPr>
          <w:p>
            <w:pPr>
              <w:spacing w:line="262" w:lineRule="auto"/>
            </w:pPr>
            <w:r/>
            <w:r>
              <w:rPr>
                <w:b w:val="0"/>
                <w:color w:val="182E49"/>
                <w:sz w:val="16"/>
              </w:rPr>
              <w:t>GAP-009</w:t>
            </w:r>
          </w:p>
        </w:tc>
        <w:tc>
          <w:tcPr>
            <w:tcW w:type="dxa" w:w="1152"/>
            <w:vAlign w:val="center"/>
          </w:tcPr>
          <w:p>
            <w:pPr>
              <w:spacing w:line="262" w:lineRule="auto"/>
            </w:pPr>
            <w:r/>
            <w:r>
              <w:rPr>
                <w:b w:val="0"/>
                <w:color w:val="182E49"/>
                <w:sz w:val="16"/>
              </w:rPr>
              <w:t>P2</w:t>
            </w:r>
          </w:p>
        </w:tc>
        <w:tc>
          <w:tcPr>
            <w:tcW w:type="dxa" w:w="6624"/>
            <w:vAlign w:val="center"/>
          </w:tcPr>
          <w:p>
            <w:pPr>
              <w:spacing w:line="262" w:lineRule="auto"/>
            </w:pPr>
            <w:r/>
            <w:r>
              <w:rPr>
                <w:b w:val="0"/>
                <w:color w:val="182E49"/>
                <w:sz w:val="16"/>
              </w:rPr>
              <w:t>Corrosion Annex B procedure and evidence unspecified — approve revised WI/control route.</w:t>
            </w:r>
          </w:p>
        </w:tc>
        <w:tc>
          <w:tcPr>
            <w:tcW w:type="dxa" w:w="3240"/>
            <w:vAlign w:val="center"/>
          </w:tcPr>
          <w:p>
            <w:pPr>
              <w:spacing w:line="262" w:lineRule="auto"/>
            </w:pPr>
            <w:r/>
            <w:r>
              <w:rPr>
                <w:b w:val="0"/>
                <w:color w:val="182E49"/>
                <w:sz w:val="16"/>
              </w:rPr>
              <w:t>Supplier Quality / Laboratory / QC</w:t>
            </w:r>
          </w:p>
        </w:tc>
        <w:tc>
          <w:tcPr>
            <w:tcW w:type="dxa" w:w="5760"/>
            <w:vAlign w:val="center"/>
          </w:tcPr>
          <w:p>
            <w:pPr>
              <w:spacing w:line="262" w:lineRule="auto"/>
            </w:pPr>
            <w:r/>
            <w:r>
              <w:rPr>
                <w:b w:val="0"/>
                <w:color w:val="182E49"/>
                <w:sz w:val="16"/>
              </w:rPr>
              <w:t>Approved exposed-metal risk decision, materials trace, Annex B completed report and incoming rust checks</w:t>
            </w:r>
          </w:p>
        </w:tc>
        <w:tc>
          <w:tcPr>
            <w:tcW w:type="dxa" w:w="2880"/>
            <w:vAlign w:val="center"/>
          </w:tcPr>
          <w:p>
            <w:pPr>
              <w:spacing w:line="262" w:lineRule="auto"/>
            </w:pPr>
            <w:r/>
            <w:r>
              <w:rPr>
                <w:b w:val="0"/>
                <w:color w:val="182E49"/>
                <w:sz w:val="16"/>
              </w:rPr>
              <w:t>Open — Evidence / Approval</w:t>
            </w:r>
          </w:p>
        </w:tc>
      </w:tr>
      <w:tr>
        <w:trPr>
          <w:cantSplit/>
        </w:trPr>
        <w:tc>
          <w:tcPr>
            <w:tcW w:type="dxa" w:w="2088"/>
            <w:vAlign w:val="center"/>
            <w:shd w:fill="F2F6F9"/>
          </w:tcPr>
          <w:p>
            <w:pPr>
              <w:spacing w:line="262" w:lineRule="auto"/>
            </w:pPr>
            <w:r/>
            <w:r>
              <w:rPr>
                <w:b w:val="0"/>
                <w:color w:val="182E49"/>
                <w:sz w:val="16"/>
              </w:rPr>
              <w:t>GAP-010</w:t>
            </w:r>
          </w:p>
        </w:tc>
        <w:tc>
          <w:tcPr>
            <w:tcW w:type="dxa" w:w="1152"/>
            <w:vAlign w:val="center"/>
            <w:shd w:fill="F2F6F9"/>
          </w:tcPr>
          <w:p>
            <w:pPr>
              <w:spacing w:line="262" w:lineRule="auto"/>
            </w:pPr>
            <w:r/>
            <w:r>
              <w:rPr>
                <w:b w:val="0"/>
                <w:color w:val="182E49"/>
                <w:sz w:val="16"/>
              </w:rPr>
              <w:t>P1</w:t>
            </w:r>
          </w:p>
        </w:tc>
        <w:tc>
          <w:tcPr>
            <w:tcW w:type="dxa" w:w="6624"/>
            <w:vAlign w:val="center"/>
            <w:shd w:fill="F2F6F9"/>
          </w:tcPr>
          <w:p>
            <w:pPr>
              <w:spacing w:line="262" w:lineRule="auto"/>
            </w:pPr>
            <w:r/>
            <w:r>
              <w:rPr>
                <w:b w:val="0"/>
                <w:color w:val="182E49"/>
                <w:sz w:val="16"/>
              </w:rPr>
              <w:t>External connector tensile limits absent — approve revised WI/control route.</w:t>
            </w:r>
          </w:p>
        </w:tc>
        <w:tc>
          <w:tcPr>
            <w:tcW w:type="dxa" w:w="3240"/>
            <w:vAlign w:val="center"/>
            <w:shd w:fill="F2F6F9"/>
          </w:tcPr>
          <w:p>
            <w:pPr>
              <w:spacing w:line="262" w:lineRule="auto"/>
            </w:pPr>
            <w:r/>
            <w:r>
              <w:rPr>
                <w:b w:val="0"/>
                <w:color w:val="182E49"/>
                <w:sz w:val="16"/>
              </w:rPr>
              <w:t>Laboratory / Engineering / QA</w:t>
            </w:r>
          </w:p>
        </w:tc>
        <w:tc>
          <w:tcPr>
            <w:tcW w:type="dxa" w:w="5760"/>
            <w:vAlign w:val="center"/>
            <w:shd w:fill="F2F6F9"/>
          </w:tcPr>
          <w:p>
            <w:pPr>
              <w:spacing w:line="262" w:lineRule="auto"/>
            </w:pPr>
            <w:r/>
            <w:r>
              <w:rPr>
                <w:b w:val="0"/>
                <w:color w:val="182E49"/>
                <w:sz w:val="16"/>
              </w:rPr>
              <w:t>Verified Annex D report with force, OD, test speed and separation outcome + controlled part/config mapping. Status: Open — Evidence.</w:t>
            </w:r>
          </w:p>
        </w:tc>
        <w:tc>
          <w:tcPr>
            <w:tcW w:type="dxa" w:w="2880"/>
            <w:vAlign w:val="center"/>
            <w:shd w:fill="F2F6F9"/>
          </w:tcPr>
          <w:p>
            <w:pPr>
              <w:spacing w:line="262" w:lineRule="auto"/>
            </w:pPr>
            <w:r/>
            <w:r>
              <w:rPr>
                <w:b w:val="0"/>
                <w:color w:val="182E49"/>
                <w:sz w:val="16"/>
              </w:rPr>
              <w:t>Open — Evidence / Approval</w:t>
            </w:r>
          </w:p>
        </w:tc>
      </w:tr>
      <w:tr>
        <w:trPr>
          <w:cantSplit/>
        </w:trPr>
        <w:tc>
          <w:tcPr>
            <w:tcW w:type="dxa" w:w="2088"/>
            <w:vAlign w:val="center"/>
          </w:tcPr>
          <w:p>
            <w:pPr>
              <w:spacing w:line="262" w:lineRule="auto"/>
            </w:pPr>
            <w:r/>
            <w:r>
              <w:rPr>
                <w:b w:val="0"/>
                <w:color w:val="182E49"/>
                <w:sz w:val="16"/>
              </w:rPr>
              <w:t>GAP-011</w:t>
            </w:r>
          </w:p>
        </w:tc>
        <w:tc>
          <w:tcPr>
            <w:tcW w:type="dxa" w:w="1152"/>
            <w:vAlign w:val="center"/>
          </w:tcPr>
          <w:p>
            <w:pPr>
              <w:spacing w:line="262" w:lineRule="auto"/>
            </w:pPr>
            <w:r/>
            <w:r>
              <w:rPr>
                <w:b w:val="0"/>
                <w:color w:val="182E49"/>
                <w:sz w:val="16"/>
              </w:rPr>
              <w:t>P1</w:t>
            </w:r>
          </w:p>
        </w:tc>
        <w:tc>
          <w:tcPr>
            <w:tcW w:type="dxa" w:w="6624"/>
            <w:vAlign w:val="center"/>
          </w:tcPr>
          <w:p>
            <w:pPr>
              <w:spacing w:line="262" w:lineRule="auto"/>
            </w:pPr>
            <w:r/>
            <w:r>
              <w:rPr>
                <w:b w:val="0"/>
                <w:color w:val="182E49"/>
                <w:sz w:val="16"/>
              </w:rPr>
              <w:t>Tube and bonded-junction tensile criteria missing — approve revised WI/control route.</w:t>
            </w:r>
          </w:p>
        </w:tc>
        <w:tc>
          <w:tcPr>
            <w:tcW w:type="dxa" w:w="3240"/>
            <w:vAlign w:val="center"/>
          </w:tcPr>
          <w:p>
            <w:pPr>
              <w:spacing w:line="262" w:lineRule="auto"/>
            </w:pPr>
            <w:r/>
            <w:r>
              <w:rPr>
                <w:b w:val="0"/>
                <w:color w:val="182E49"/>
                <w:sz w:val="16"/>
              </w:rPr>
              <w:t>Engineering / Laboratory / QC</w:t>
            </w:r>
          </w:p>
        </w:tc>
        <w:tc>
          <w:tcPr>
            <w:tcW w:type="dxa" w:w="5760"/>
            <w:vAlign w:val="center"/>
          </w:tcPr>
          <w:p>
            <w:pPr>
              <w:spacing w:line="262" w:lineRule="auto"/>
            </w:pPr>
            <w:r/>
            <w:r>
              <w:rPr>
                <w:b w:val="0"/>
                <w:color w:val="182E49"/>
                <w:sz w:val="16"/>
              </w:rPr>
              <w:t>Completed Annex E force reports for each relevant segment/junction, calibrated tester and approved sampling/control plan. Status: Open — Evidence / Technical In</w:t>
            </w:r>
          </w:p>
        </w:tc>
        <w:tc>
          <w:tcPr>
            <w:tcW w:type="dxa" w:w="2880"/>
            <w:vAlign w:val="center"/>
          </w:tcPr>
          <w:p>
            <w:pPr>
              <w:spacing w:line="262" w:lineRule="auto"/>
            </w:pPr>
            <w:r/>
            <w:r>
              <w:rPr>
                <w:b w:val="0"/>
                <w:color w:val="182E49"/>
                <w:sz w:val="16"/>
              </w:rPr>
              <w:t>Open — Technical Input / Evidence</w:t>
            </w:r>
          </w:p>
        </w:tc>
      </w:tr>
      <w:tr>
        <w:trPr>
          <w:cantSplit/>
        </w:trPr>
        <w:tc>
          <w:tcPr>
            <w:tcW w:type="dxa" w:w="2088"/>
            <w:vAlign w:val="center"/>
            <w:shd w:fill="F2F6F9"/>
          </w:tcPr>
          <w:p>
            <w:pPr>
              <w:spacing w:line="262" w:lineRule="auto"/>
            </w:pPr>
            <w:r/>
            <w:r>
              <w:rPr>
                <w:b w:val="0"/>
                <w:color w:val="182E49"/>
                <w:sz w:val="16"/>
              </w:rPr>
              <w:t>GAP-012</w:t>
            </w:r>
          </w:p>
        </w:tc>
        <w:tc>
          <w:tcPr>
            <w:tcW w:type="dxa" w:w="1152"/>
            <w:vAlign w:val="center"/>
            <w:shd w:fill="F2F6F9"/>
          </w:tcPr>
          <w:p>
            <w:pPr>
              <w:spacing w:line="262" w:lineRule="auto"/>
            </w:pPr>
            <w:r/>
            <w:r>
              <w:rPr>
                <w:b w:val="0"/>
                <w:color w:val="182E49"/>
                <w:sz w:val="16"/>
              </w:rPr>
              <w:t>P1</w:t>
            </w:r>
          </w:p>
        </w:tc>
        <w:tc>
          <w:tcPr>
            <w:tcW w:type="dxa" w:w="6624"/>
            <w:vAlign w:val="center"/>
            <w:shd w:fill="F2F6F9"/>
          </w:tcPr>
          <w:p>
            <w:pPr>
              <w:spacing w:line="262" w:lineRule="auto"/>
            </w:pPr>
            <w:r/>
            <w:r>
              <w:rPr>
                <w:b w:val="0"/>
                <w:color w:val="182E49"/>
                <w:sz w:val="16"/>
              </w:rPr>
              <w:t>Bellow collection-device impact performance not substantiated — approve revised WI/control route.</w:t>
            </w:r>
          </w:p>
        </w:tc>
        <w:tc>
          <w:tcPr>
            <w:tcW w:type="dxa" w:w="3240"/>
            <w:vAlign w:val="center"/>
            <w:shd w:fill="F2F6F9"/>
          </w:tcPr>
          <w:p>
            <w:pPr>
              <w:spacing w:line="262" w:lineRule="auto"/>
            </w:pPr>
            <w:r/>
            <w:r>
              <w:rPr>
                <w:b w:val="0"/>
                <w:color w:val="182E49"/>
                <w:sz w:val="16"/>
              </w:rPr>
              <w:t>Engineering / Laboratory / QA</w:t>
            </w:r>
          </w:p>
        </w:tc>
        <w:tc>
          <w:tcPr>
            <w:tcW w:type="dxa" w:w="5760"/>
            <w:vAlign w:val="center"/>
            <w:shd w:fill="F2F6F9"/>
          </w:tcPr>
          <w:p>
            <w:pPr>
              <w:spacing w:line="262" w:lineRule="auto"/>
            </w:pPr>
            <w:r/>
            <w:r>
              <w:rPr>
                <w:b w:val="0"/>
                <w:color w:val="182E49"/>
                <w:sz w:val="16"/>
              </w:rPr>
              <w:t>Annex F report, equipment qualification, before-after readings, SKU match and QA approval. Status: Open — Evidence.</w:t>
            </w:r>
          </w:p>
        </w:tc>
        <w:tc>
          <w:tcPr>
            <w:tcW w:type="dxa" w:w="2880"/>
            <w:vAlign w:val="center"/>
            <w:shd w:fill="F2F6F9"/>
          </w:tcPr>
          <w:p>
            <w:pPr>
              <w:spacing w:line="262" w:lineRule="auto"/>
            </w:pPr>
            <w:r/>
            <w:r>
              <w:rPr>
                <w:b w:val="0"/>
                <w:color w:val="182E49"/>
                <w:sz w:val="16"/>
              </w:rPr>
              <w:t>Open — Evidence / Approval</w:t>
            </w:r>
          </w:p>
        </w:tc>
      </w:tr>
      <w:tr>
        <w:trPr>
          <w:cantSplit/>
        </w:trPr>
        <w:tc>
          <w:tcPr>
            <w:tcW w:type="dxa" w:w="2088"/>
            <w:vAlign w:val="center"/>
          </w:tcPr>
          <w:p>
            <w:pPr>
              <w:spacing w:line="262" w:lineRule="auto"/>
            </w:pPr>
            <w:r/>
            <w:r>
              <w:rPr>
                <w:b w:val="0"/>
                <w:color w:val="182E49"/>
                <w:sz w:val="16"/>
              </w:rPr>
              <w:t>GAP-013</w:t>
            </w:r>
          </w:p>
        </w:tc>
        <w:tc>
          <w:tcPr>
            <w:tcW w:type="dxa" w:w="1152"/>
            <w:vAlign w:val="center"/>
          </w:tcPr>
          <w:p>
            <w:pPr>
              <w:spacing w:line="262" w:lineRule="auto"/>
            </w:pPr>
            <w:r/>
            <w:r>
              <w:rPr>
                <w:b w:val="0"/>
                <w:color w:val="182E49"/>
                <w:sz w:val="16"/>
              </w:rPr>
              <w:t>P1</w:t>
            </w:r>
          </w:p>
        </w:tc>
        <w:tc>
          <w:tcPr>
            <w:tcW w:type="dxa" w:w="6624"/>
            <w:vAlign w:val="center"/>
          </w:tcPr>
          <w:p>
            <w:pPr>
              <w:spacing w:line="262" w:lineRule="auto"/>
            </w:pPr>
            <w:r/>
            <w:r>
              <w:rPr>
                <w:b w:val="0"/>
                <w:color w:val="182E49"/>
                <w:sz w:val="16"/>
              </w:rPr>
              <w:t>Vacuum air-leak testing lacks ISO method and limits — approve revised WI/control route.</w:t>
            </w:r>
          </w:p>
        </w:tc>
        <w:tc>
          <w:tcPr>
            <w:tcW w:type="dxa" w:w="3240"/>
            <w:vAlign w:val="center"/>
          </w:tcPr>
          <w:p>
            <w:pPr>
              <w:spacing w:line="262" w:lineRule="auto"/>
            </w:pPr>
            <w:r/>
            <w:r>
              <w:rPr>
                <w:b w:val="0"/>
                <w:color w:val="182E49"/>
                <w:sz w:val="16"/>
              </w:rPr>
              <w:t>Laboratory / Engineering / QC</w:t>
            </w:r>
          </w:p>
        </w:tc>
        <w:tc>
          <w:tcPr>
            <w:tcW w:type="dxa" w:w="5760"/>
            <w:vAlign w:val="center"/>
          </w:tcPr>
          <w:p>
            <w:pPr>
              <w:spacing w:line="262" w:lineRule="auto"/>
            </w:pPr>
            <w:r/>
            <w:r>
              <w:rPr>
                <w:b w:val="0"/>
                <w:color w:val="182E49"/>
                <w:sz w:val="16"/>
              </w:rPr>
              <w:t>Approved vacuum-pressure specification</w:t>
            </w:r>
          </w:p>
        </w:tc>
        <w:tc>
          <w:tcPr>
            <w:tcW w:type="dxa" w:w="2880"/>
            <w:vAlign w:val="center"/>
          </w:tcPr>
          <w:p>
            <w:pPr>
              <w:spacing w:line="262" w:lineRule="auto"/>
            </w:pPr>
            <w:r/>
            <w:r>
              <w:rPr>
                <w:b w:val="0"/>
                <w:color w:val="182E49"/>
                <w:sz w:val="16"/>
              </w:rPr>
              <w:t>Open — Technical Input / Evidence</w:t>
            </w:r>
          </w:p>
        </w:tc>
      </w:tr>
      <w:tr>
        <w:trPr>
          <w:cantSplit/>
        </w:trPr>
        <w:tc>
          <w:tcPr>
            <w:tcW w:type="dxa" w:w="2088"/>
            <w:vAlign w:val="center"/>
            <w:shd w:fill="F2F6F9"/>
          </w:tcPr>
          <w:p>
            <w:pPr>
              <w:spacing w:line="262" w:lineRule="auto"/>
            </w:pPr>
            <w:r/>
            <w:r>
              <w:rPr>
                <w:b w:val="0"/>
                <w:color w:val="182E49"/>
                <w:sz w:val="16"/>
              </w:rPr>
              <w:t>GAP-014</w:t>
            </w:r>
          </w:p>
        </w:tc>
        <w:tc>
          <w:tcPr>
            <w:tcW w:type="dxa" w:w="1152"/>
            <w:vAlign w:val="center"/>
            <w:shd w:fill="F2F6F9"/>
          </w:tcPr>
          <w:p>
            <w:pPr>
              <w:spacing w:line="262" w:lineRule="auto"/>
            </w:pPr>
            <w:r/>
            <w:r>
              <w:rPr>
                <w:b w:val="0"/>
                <w:color w:val="182E49"/>
                <w:sz w:val="16"/>
              </w:rPr>
              <w:t>P2</w:t>
            </w:r>
          </w:p>
        </w:tc>
        <w:tc>
          <w:tcPr>
            <w:tcW w:type="dxa" w:w="6624"/>
            <w:vAlign w:val="center"/>
            <w:shd w:fill="F2F6F9"/>
          </w:tcPr>
          <w:p>
            <w:pPr>
              <w:spacing w:line="262" w:lineRule="auto"/>
            </w:pPr>
            <w:r/>
            <w:r>
              <w:rPr>
                <w:b w:val="0"/>
                <w:color w:val="182E49"/>
                <w:sz w:val="16"/>
              </w:rPr>
              <w:t>Claimed flow-rate verification is conditional but unmapped — approve revised WI/control route.</w:t>
            </w:r>
          </w:p>
        </w:tc>
        <w:tc>
          <w:tcPr>
            <w:tcW w:type="dxa" w:w="3240"/>
            <w:vAlign w:val="center"/>
            <w:shd w:fill="F2F6F9"/>
          </w:tcPr>
          <w:p>
            <w:pPr>
              <w:spacing w:line="262" w:lineRule="auto"/>
            </w:pPr>
            <w:r/>
            <w:r>
              <w:rPr>
                <w:b w:val="0"/>
                <w:color w:val="182E49"/>
                <w:sz w:val="16"/>
              </w:rPr>
              <w:t>Engineering / Regulatory / Laboratory</w:t>
            </w:r>
          </w:p>
        </w:tc>
        <w:tc>
          <w:tcPr>
            <w:tcW w:type="dxa" w:w="5760"/>
            <w:vAlign w:val="center"/>
            <w:shd w:fill="F2F6F9"/>
          </w:tcPr>
          <w:p>
            <w:pPr>
              <w:spacing w:line="262" w:lineRule="auto"/>
            </w:pPr>
            <w:r/>
            <w:r>
              <w:rPr>
                <w:b w:val="0"/>
                <w:color w:val="182E49"/>
                <w:sz w:val="16"/>
              </w:rPr>
              <w:t>Approved claim assessment plus Annex G results if claimed</w:t>
            </w:r>
          </w:p>
        </w:tc>
        <w:tc>
          <w:tcPr>
            <w:tcW w:type="dxa" w:w="2880"/>
            <w:vAlign w:val="center"/>
            <w:shd w:fill="F2F6F9"/>
          </w:tcPr>
          <w:p>
            <w:pPr>
              <w:spacing w:line="262" w:lineRule="auto"/>
            </w:pPr>
            <w:r/>
            <w:r>
              <w:rPr>
                <w:b w:val="0"/>
                <w:color w:val="182E49"/>
                <w:sz w:val="16"/>
              </w:rPr>
              <w:t>Open — Technical Input / Evidence</w:t>
            </w:r>
          </w:p>
        </w:tc>
      </w:tr>
      <w:tr>
        <w:trPr>
          <w:cantSplit/>
        </w:trPr>
        <w:tc>
          <w:tcPr>
            <w:tcW w:type="dxa" w:w="2088"/>
            <w:vAlign w:val="center"/>
          </w:tcPr>
          <w:p>
            <w:pPr>
              <w:spacing w:line="262" w:lineRule="auto"/>
            </w:pPr>
            <w:r/>
            <w:r>
              <w:rPr>
                <w:b w:val="0"/>
                <w:color w:val="182E49"/>
                <w:sz w:val="16"/>
              </w:rPr>
              <w:t>GAP-015</w:t>
            </w:r>
          </w:p>
        </w:tc>
        <w:tc>
          <w:tcPr>
            <w:tcW w:type="dxa" w:w="1152"/>
            <w:vAlign w:val="center"/>
          </w:tcPr>
          <w:p>
            <w:pPr>
              <w:spacing w:line="262" w:lineRule="auto"/>
            </w:pPr>
            <w:r/>
            <w:r>
              <w:rPr>
                <w:b w:val="0"/>
                <w:color w:val="182E49"/>
                <w:sz w:val="16"/>
              </w:rPr>
              <w:t>P2</w:t>
            </w:r>
          </w:p>
        </w:tc>
        <w:tc>
          <w:tcPr>
            <w:tcW w:type="dxa" w:w="6624"/>
            <w:vAlign w:val="center"/>
          </w:tcPr>
          <w:p>
            <w:pPr>
              <w:spacing w:line="262" w:lineRule="auto"/>
            </w:pPr>
            <w:r/>
            <w:r>
              <w:rPr>
                <w:b w:val="0"/>
                <w:color w:val="182E49"/>
                <w:sz w:val="16"/>
              </w:rPr>
              <w:t>Kink and retention requirements lack applicability decisions — approve revised WI/control route.</w:t>
            </w:r>
          </w:p>
        </w:tc>
        <w:tc>
          <w:tcPr>
            <w:tcW w:type="dxa" w:w="3240"/>
            <w:vAlign w:val="center"/>
          </w:tcPr>
          <w:p>
            <w:pPr>
              <w:spacing w:line="262" w:lineRule="auto"/>
            </w:pPr>
            <w:r/>
            <w:r>
              <w:rPr>
                <w:b w:val="0"/>
                <w:color w:val="182E49"/>
                <w:sz w:val="16"/>
              </w:rPr>
              <w:t>Engineering / QA</w:t>
            </w:r>
          </w:p>
        </w:tc>
        <w:tc>
          <w:tcPr>
            <w:tcW w:type="dxa" w:w="5760"/>
            <w:vAlign w:val="center"/>
          </w:tcPr>
          <w:p>
            <w:pPr>
              <w:spacing w:line="262" w:lineRule="auto"/>
            </w:pPr>
            <w:r/>
            <w:r>
              <w:rPr>
                <w:b w:val="0"/>
                <w:color w:val="182E49"/>
                <w:sz w:val="16"/>
              </w:rPr>
              <w:t>Approved risk-based clinical kink/retention criteria and verification, or signed documented N/A. Status: Open — Technical Input.</w:t>
            </w:r>
          </w:p>
        </w:tc>
        <w:tc>
          <w:tcPr>
            <w:tcW w:type="dxa" w:w="2880"/>
            <w:vAlign w:val="center"/>
          </w:tcPr>
          <w:p>
            <w:pPr>
              <w:spacing w:line="262" w:lineRule="auto"/>
            </w:pPr>
            <w:r/>
            <w:r>
              <w:rPr>
                <w:b w:val="0"/>
                <w:color w:val="182E49"/>
                <w:sz w:val="16"/>
              </w:rPr>
              <w:t>Open — Technical Input</w:t>
            </w:r>
          </w:p>
        </w:tc>
      </w:tr>
      <w:tr>
        <w:trPr>
          <w:cantSplit/>
        </w:trPr>
        <w:tc>
          <w:tcPr>
            <w:tcW w:type="dxa" w:w="2088"/>
            <w:vAlign w:val="center"/>
            <w:shd w:fill="F2F6F9"/>
          </w:tcPr>
          <w:p>
            <w:pPr>
              <w:spacing w:line="262" w:lineRule="auto"/>
            </w:pPr>
            <w:r/>
            <w:r>
              <w:rPr>
                <w:b w:val="0"/>
                <w:color w:val="182E49"/>
                <w:sz w:val="16"/>
              </w:rPr>
              <w:t>GAP-016</w:t>
            </w:r>
          </w:p>
        </w:tc>
        <w:tc>
          <w:tcPr>
            <w:tcW w:type="dxa" w:w="1152"/>
            <w:vAlign w:val="center"/>
            <w:shd w:fill="F2F6F9"/>
          </w:tcPr>
          <w:p>
            <w:pPr>
              <w:spacing w:line="262" w:lineRule="auto"/>
            </w:pPr>
            <w:r/>
            <w:r>
              <w:rPr>
                <w:b w:val="0"/>
                <w:color w:val="182E49"/>
                <w:sz w:val="16"/>
              </w:rPr>
              <w:t>P2</w:t>
            </w:r>
          </w:p>
        </w:tc>
        <w:tc>
          <w:tcPr>
            <w:tcW w:type="dxa" w:w="6624"/>
            <w:vAlign w:val="center"/>
            <w:shd w:fill="F2F6F9"/>
          </w:tcPr>
          <w:p>
            <w:pPr>
              <w:spacing w:line="262" w:lineRule="auto"/>
            </w:pPr>
            <w:r/>
            <w:r>
              <w:rPr>
                <w:b w:val="0"/>
                <w:color w:val="182E49"/>
                <w:sz w:val="16"/>
              </w:rPr>
              <w:t>Bellows collection capacity controlled as options, not measured limits — approve revised WI/control route.</w:t>
            </w:r>
          </w:p>
        </w:tc>
        <w:tc>
          <w:tcPr>
            <w:tcW w:type="dxa" w:w="3240"/>
            <w:vAlign w:val="center"/>
            <w:shd w:fill="F2F6F9"/>
          </w:tcPr>
          <w:p>
            <w:pPr>
              <w:spacing w:line="262" w:lineRule="auto"/>
            </w:pPr>
            <w:r/>
            <w:r>
              <w:rPr>
                <w:b w:val="0"/>
                <w:color w:val="182E49"/>
                <w:sz w:val="16"/>
              </w:rPr>
              <w:t>Engineering / QC</w:t>
            </w:r>
          </w:p>
        </w:tc>
        <w:tc>
          <w:tcPr>
            <w:tcW w:type="dxa" w:w="5760"/>
            <w:vAlign w:val="center"/>
            <w:shd w:fill="F2F6F9"/>
          </w:tcPr>
          <w:p>
            <w:pPr>
              <w:spacing w:line="262" w:lineRule="auto"/>
            </w:pPr>
            <w:r/>
            <w:r>
              <w:rPr>
                <w:b w:val="0"/>
                <w:color w:val="182E49"/>
                <w:sz w:val="16"/>
              </w:rPr>
              <w:t>Approved capacity tolerances, validated practical method, calibrated cylinder and completed line measurements. Status: Open — Technical Input / Evidence.</w:t>
            </w:r>
          </w:p>
        </w:tc>
        <w:tc>
          <w:tcPr>
            <w:tcW w:type="dxa" w:w="2880"/>
            <w:vAlign w:val="center"/>
            <w:shd w:fill="F2F6F9"/>
          </w:tcPr>
          <w:p>
            <w:pPr>
              <w:spacing w:line="262" w:lineRule="auto"/>
            </w:pPr>
            <w:r/>
            <w:r>
              <w:rPr>
                <w:b w:val="0"/>
                <w:color w:val="182E49"/>
                <w:sz w:val="16"/>
              </w:rPr>
              <w:t>Open — Technical Input / Evidence</w:t>
            </w:r>
          </w:p>
        </w:tc>
      </w:tr>
      <w:tr>
        <w:trPr>
          <w:cantSplit/>
        </w:trPr>
        <w:tc>
          <w:tcPr>
            <w:tcW w:type="dxa" w:w="2088"/>
            <w:vAlign w:val="center"/>
          </w:tcPr>
          <w:p>
            <w:pPr>
              <w:spacing w:line="262" w:lineRule="auto"/>
            </w:pPr>
            <w:r/>
            <w:r>
              <w:rPr>
                <w:b w:val="0"/>
                <w:color w:val="182E49"/>
                <w:sz w:val="16"/>
              </w:rPr>
              <w:t>GAP-017</w:t>
            </w:r>
          </w:p>
        </w:tc>
        <w:tc>
          <w:tcPr>
            <w:tcW w:type="dxa" w:w="1152"/>
            <w:vAlign w:val="center"/>
          </w:tcPr>
          <w:p>
            <w:pPr>
              <w:spacing w:line="262" w:lineRule="auto"/>
            </w:pPr>
            <w:r/>
            <w:r>
              <w:rPr>
                <w:b w:val="0"/>
                <w:color w:val="182E49"/>
                <w:sz w:val="16"/>
              </w:rPr>
              <w:t>P1</w:t>
            </w:r>
          </w:p>
        </w:tc>
        <w:tc>
          <w:tcPr>
            <w:tcW w:type="dxa" w:w="6624"/>
            <w:vAlign w:val="center"/>
          </w:tcPr>
          <w:p>
            <w:pPr>
              <w:spacing w:line="262" w:lineRule="auto"/>
            </w:pPr>
            <w:r/>
            <w:r>
              <w:rPr>
                <w:b w:val="0"/>
                <w:color w:val="182E49"/>
                <w:sz w:val="16"/>
              </w:rPr>
              <w:t>Sterile-product validation release traceability incomplete — approve revised WI/control route.</w:t>
            </w:r>
          </w:p>
        </w:tc>
        <w:tc>
          <w:tcPr>
            <w:tcW w:type="dxa" w:w="3240"/>
            <w:vAlign w:val="center"/>
          </w:tcPr>
          <w:p>
            <w:pPr>
              <w:spacing w:line="262" w:lineRule="auto"/>
            </w:pPr>
            <w:r/>
            <w:r>
              <w:rPr>
                <w:b w:val="0"/>
                <w:color w:val="182E49"/>
                <w:sz w:val="16"/>
              </w:rPr>
              <w:t>QA / Sterilization / QC</w:t>
            </w:r>
          </w:p>
        </w:tc>
        <w:tc>
          <w:tcPr>
            <w:tcW w:type="dxa" w:w="5760"/>
            <w:vAlign w:val="center"/>
          </w:tcPr>
          <w:p>
            <w:pPr>
              <w:spacing w:line="262" w:lineRule="auto"/>
            </w:pPr>
            <w:r/>
            <w:r>
              <w:rPr>
                <w:b w:val="0"/>
                <w:color w:val="182E49"/>
                <w:sz w:val="16"/>
              </w:rPr>
              <w:t>Approved SAL validation/revalidation, sterilization batch record, sterile release and lab evidence. Status: Open — Evidence</w:t>
            </w:r>
          </w:p>
        </w:tc>
        <w:tc>
          <w:tcPr>
            <w:tcW w:type="dxa" w:w="2880"/>
            <w:vAlign w:val="center"/>
          </w:tcPr>
          <w:p>
            <w:pPr>
              <w:spacing w:line="262" w:lineRule="auto"/>
            </w:pPr>
            <w:r/>
            <w:r>
              <w:rPr>
                <w:b w:val="0"/>
                <w:color w:val="182E49"/>
                <w:sz w:val="16"/>
              </w:rPr>
              <w:t>Open — Evidence / Approval</w:t>
            </w:r>
          </w:p>
        </w:tc>
      </w:tr>
      <w:tr>
        <w:trPr>
          <w:cantSplit/>
        </w:trPr>
        <w:tc>
          <w:tcPr>
            <w:tcW w:type="dxa" w:w="2088"/>
            <w:vAlign w:val="center"/>
            <w:shd w:fill="F2F6F9"/>
          </w:tcPr>
          <w:p>
            <w:pPr>
              <w:spacing w:line="262" w:lineRule="auto"/>
            </w:pPr>
            <w:r/>
            <w:r>
              <w:rPr>
                <w:b w:val="0"/>
                <w:color w:val="182E49"/>
                <w:sz w:val="16"/>
              </w:rPr>
              <w:t>GAP-018</w:t>
            </w:r>
          </w:p>
        </w:tc>
        <w:tc>
          <w:tcPr>
            <w:tcW w:type="dxa" w:w="1152"/>
            <w:vAlign w:val="center"/>
            <w:shd w:fill="F2F6F9"/>
          </w:tcPr>
          <w:p>
            <w:pPr>
              <w:spacing w:line="262" w:lineRule="auto"/>
            </w:pPr>
            <w:r/>
            <w:r>
              <w:rPr>
                <w:b w:val="0"/>
                <w:color w:val="182E49"/>
                <w:sz w:val="16"/>
              </w:rPr>
              <w:t>P2</w:t>
            </w:r>
          </w:p>
        </w:tc>
        <w:tc>
          <w:tcPr>
            <w:tcW w:type="dxa" w:w="6624"/>
            <w:vAlign w:val="center"/>
            <w:shd w:fill="F2F6F9"/>
          </w:tcPr>
          <w:p>
            <w:pPr>
              <w:spacing w:line="262" w:lineRule="auto"/>
            </w:pPr>
            <w:r/>
            <w:r>
              <w:rPr>
                <w:b w:val="0"/>
                <w:color w:val="182E49"/>
                <w:sz w:val="16"/>
              </w:rPr>
              <w:t>Device/package marking details not fully traceable — approve revised WI/control route.</w:t>
            </w:r>
          </w:p>
        </w:tc>
        <w:tc>
          <w:tcPr>
            <w:tcW w:type="dxa" w:w="3240"/>
            <w:vAlign w:val="center"/>
            <w:shd w:fill="F2F6F9"/>
          </w:tcPr>
          <w:p>
            <w:pPr>
              <w:spacing w:line="262" w:lineRule="auto"/>
            </w:pPr>
            <w:r/>
            <w:r>
              <w:rPr>
                <w:b w:val="0"/>
                <w:color w:val="182E49"/>
                <w:sz w:val="16"/>
              </w:rPr>
              <w:t>Regulatory / QA / Packaging</w:t>
            </w:r>
          </w:p>
        </w:tc>
        <w:tc>
          <w:tcPr>
            <w:tcW w:type="dxa" w:w="5760"/>
            <w:vAlign w:val="center"/>
            <w:shd w:fill="F2F6F9"/>
          </w:tcPr>
          <w:p>
            <w:pPr>
              <w:spacing w:line="262" w:lineRule="auto"/>
            </w:pPr>
            <w:r/>
            <w:r>
              <w:rPr>
                <w:b w:val="0"/>
                <w:color w:val="182E49"/>
                <w:sz w:val="16"/>
              </w:rPr>
              <w:t>Approved label artwork, marking durability record, approved storage/pressure claims, completed packaging form. Status: Open — Evidence / Technical Input.</w:t>
            </w:r>
          </w:p>
        </w:tc>
        <w:tc>
          <w:tcPr>
            <w:tcW w:type="dxa" w:w="2880"/>
            <w:vAlign w:val="center"/>
            <w:shd w:fill="F2F6F9"/>
          </w:tcPr>
          <w:p>
            <w:pPr>
              <w:spacing w:line="262" w:lineRule="auto"/>
            </w:pPr>
            <w:r/>
            <w:r>
              <w:rPr>
                <w:b w:val="0"/>
                <w:color w:val="182E49"/>
                <w:sz w:val="16"/>
              </w:rPr>
              <w:t>Open — Technical Input / Evidence</w:t>
            </w:r>
          </w:p>
        </w:tc>
      </w:tr>
      <w:tr>
        <w:trPr>
          <w:cantSplit/>
        </w:trPr>
        <w:tc>
          <w:tcPr>
            <w:tcW w:type="dxa" w:w="2088"/>
            <w:vAlign w:val="center"/>
          </w:tcPr>
          <w:p>
            <w:pPr>
              <w:spacing w:line="262" w:lineRule="auto"/>
            </w:pPr>
            <w:r/>
            <w:r>
              <w:rPr>
                <w:b w:val="0"/>
                <w:color w:val="182E49"/>
                <w:sz w:val="16"/>
              </w:rPr>
              <w:t>GAP-019</w:t>
            </w:r>
          </w:p>
        </w:tc>
        <w:tc>
          <w:tcPr>
            <w:tcW w:type="dxa" w:w="1152"/>
            <w:vAlign w:val="center"/>
          </w:tcPr>
          <w:p>
            <w:pPr>
              <w:spacing w:line="262" w:lineRule="auto"/>
            </w:pPr>
            <w:r/>
            <w:r>
              <w:rPr>
                <w:b w:val="0"/>
                <w:color w:val="182E49"/>
                <w:sz w:val="16"/>
              </w:rPr>
              <w:t>P2</w:t>
            </w:r>
          </w:p>
        </w:tc>
        <w:tc>
          <w:tcPr>
            <w:tcW w:type="dxa" w:w="6624"/>
            <w:vAlign w:val="center"/>
          </w:tcPr>
          <w:p>
            <w:pPr>
              <w:spacing w:line="262" w:lineRule="auto"/>
            </w:pPr>
            <w:r/>
            <w:r>
              <w:rPr>
                <w:b w:val="0"/>
                <w:color w:val="182E49"/>
                <w:sz w:val="16"/>
              </w:rPr>
              <w:t>IFU mandatory content verification not referenced — approve revised WI/control route.</w:t>
            </w:r>
          </w:p>
        </w:tc>
        <w:tc>
          <w:tcPr>
            <w:tcW w:type="dxa" w:w="3240"/>
            <w:vAlign w:val="center"/>
          </w:tcPr>
          <w:p>
            <w:pPr>
              <w:spacing w:line="262" w:lineRule="auto"/>
            </w:pPr>
            <w:r/>
            <w:r>
              <w:rPr>
                <w:b w:val="0"/>
                <w:color w:val="182E49"/>
                <w:sz w:val="16"/>
              </w:rPr>
              <w:t>Regulatory / QA</w:t>
            </w:r>
          </w:p>
        </w:tc>
        <w:tc>
          <w:tcPr>
            <w:tcW w:type="dxa" w:w="5760"/>
            <w:vAlign w:val="center"/>
          </w:tcPr>
          <w:p>
            <w:pPr>
              <w:spacing w:line="262" w:lineRule="auto"/>
            </w:pPr>
            <w:r/>
            <w:r>
              <w:rPr>
                <w:b w:val="0"/>
                <w:color w:val="182E49"/>
                <w:sz w:val="16"/>
              </w:rPr>
              <w:t>Approved IFU, clause-by-clause label/IFU checklist and change-control record. Status: Open — Evidence.</w:t>
            </w:r>
          </w:p>
        </w:tc>
        <w:tc>
          <w:tcPr>
            <w:tcW w:type="dxa" w:w="2880"/>
            <w:vAlign w:val="center"/>
          </w:tcPr>
          <w:p>
            <w:pPr>
              <w:spacing w:line="262" w:lineRule="auto"/>
            </w:pPr>
            <w:r/>
            <w:r>
              <w:rPr>
                <w:b w:val="0"/>
                <w:color w:val="182E49"/>
                <w:sz w:val="16"/>
              </w:rPr>
              <w:t>Open — Evidence / Approval</w:t>
            </w:r>
          </w:p>
        </w:tc>
      </w:tr>
      <w:tr>
        <w:trPr>
          <w:cantSplit/>
        </w:trPr>
        <w:tc>
          <w:tcPr>
            <w:tcW w:type="dxa" w:w="2088"/>
            <w:vAlign w:val="center"/>
            <w:shd w:fill="F2F6F9"/>
          </w:tcPr>
          <w:p>
            <w:pPr>
              <w:spacing w:line="262" w:lineRule="auto"/>
            </w:pPr>
            <w:r/>
            <w:r>
              <w:rPr>
                <w:b w:val="0"/>
                <w:color w:val="182E49"/>
                <w:sz w:val="16"/>
              </w:rPr>
              <w:t>GAP-020</w:t>
            </w:r>
          </w:p>
        </w:tc>
        <w:tc>
          <w:tcPr>
            <w:tcW w:type="dxa" w:w="1152"/>
            <w:vAlign w:val="center"/>
            <w:shd w:fill="F2F6F9"/>
          </w:tcPr>
          <w:p>
            <w:pPr>
              <w:spacing w:line="262" w:lineRule="auto"/>
            </w:pPr>
            <w:r/>
            <w:r>
              <w:rPr>
                <w:b w:val="0"/>
                <w:color w:val="182E49"/>
                <w:sz w:val="16"/>
              </w:rPr>
              <w:t>P2</w:t>
            </w:r>
          </w:p>
        </w:tc>
        <w:tc>
          <w:tcPr>
            <w:tcW w:type="dxa" w:w="6624"/>
            <w:vAlign w:val="center"/>
            <w:shd w:fill="F2F6F9"/>
          </w:tcPr>
          <w:p>
            <w:pPr>
              <w:spacing w:line="262" w:lineRule="auto"/>
            </w:pPr>
            <w:r/>
            <w:r>
              <w:rPr>
                <w:b w:val="0"/>
                <w:color w:val="182E49"/>
                <w:sz w:val="16"/>
              </w:rPr>
              <w:t>In-process results are not uniquely quantified or traceable — approve revised WI/control route.</w:t>
            </w:r>
          </w:p>
        </w:tc>
        <w:tc>
          <w:tcPr>
            <w:tcW w:type="dxa" w:w="3240"/>
            <w:vAlign w:val="center"/>
            <w:shd w:fill="F2F6F9"/>
          </w:tcPr>
          <w:p>
            <w:pPr>
              <w:spacing w:line="262" w:lineRule="auto"/>
            </w:pPr>
            <w:r/>
            <w:r>
              <w:rPr>
                <w:b w:val="0"/>
                <w:color w:val="182E49"/>
                <w:sz w:val="16"/>
              </w:rPr>
              <w:t>QC / Production / QA</w:t>
            </w:r>
          </w:p>
        </w:tc>
        <w:tc>
          <w:tcPr>
            <w:tcW w:type="dxa" w:w="5760"/>
            <w:vAlign w:val="center"/>
            <w:shd w:fill="F2F6F9"/>
          </w:tcPr>
          <w:p>
            <w:pPr>
              <w:spacing w:line="262" w:lineRule="auto"/>
            </w:pPr>
            <w:r/>
            <w:r>
              <w:rPr>
                <w:b w:val="0"/>
                <w:color w:val="182E49"/>
                <w:sz w:val="16"/>
              </w:rPr>
              <w:t>Approved control plan and AQL/sampling, executed forms with measured values, calibrated instruments and handling of fails. Status: Open — Technical Input / Evid</w:t>
            </w:r>
          </w:p>
        </w:tc>
        <w:tc>
          <w:tcPr>
            <w:tcW w:type="dxa" w:w="2880"/>
            <w:vAlign w:val="center"/>
            <w:shd w:fill="F2F6F9"/>
          </w:tcPr>
          <w:p>
            <w:pPr>
              <w:spacing w:line="262" w:lineRule="auto"/>
            </w:pPr>
            <w:r/>
            <w:r>
              <w:rPr>
                <w:b w:val="0"/>
                <w:color w:val="182E49"/>
                <w:sz w:val="16"/>
              </w:rPr>
              <w:t>Open — Technical Input / Evidence</w:t>
            </w:r>
          </w:p>
        </w:tc>
      </w:tr>
      <w:tr>
        <w:trPr>
          <w:cantSplit/>
        </w:trPr>
        <w:tc>
          <w:tcPr>
            <w:tcW w:type="dxa" w:w="2088"/>
            <w:vAlign w:val="center"/>
          </w:tcPr>
          <w:p>
            <w:pPr>
              <w:spacing w:line="262" w:lineRule="auto"/>
            </w:pPr>
            <w:r/>
            <w:r>
              <w:rPr>
                <w:b w:val="0"/>
                <w:color w:val="182E49"/>
                <w:sz w:val="16"/>
              </w:rPr>
              <w:t>GAP-021</w:t>
            </w:r>
          </w:p>
        </w:tc>
        <w:tc>
          <w:tcPr>
            <w:tcW w:type="dxa" w:w="1152"/>
            <w:vAlign w:val="center"/>
          </w:tcPr>
          <w:p>
            <w:pPr>
              <w:spacing w:line="262" w:lineRule="auto"/>
            </w:pPr>
            <w:r/>
            <w:r>
              <w:rPr>
                <w:b w:val="0"/>
                <w:color w:val="182E49"/>
                <w:sz w:val="16"/>
              </w:rPr>
              <w:t>P2</w:t>
            </w:r>
          </w:p>
        </w:tc>
        <w:tc>
          <w:tcPr>
            <w:tcW w:type="dxa" w:w="6624"/>
            <w:vAlign w:val="center"/>
          </w:tcPr>
          <w:p>
            <w:pPr>
              <w:spacing w:line="262" w:lineRule="auto"/>
            </w:pPr>
            <w:r/>
            <w:r>
              <w:rPr>
                <w:b w:val="0"/>
                <w:color w:val="182E49"/>
                <w:sz w:val="16"/>
              </w:rPr>
              <w:t>Multi-channel table dimensions and revision are ambiguous — approve revised WI/control route.</w:t>
            </w:r>
          </w:p>
        </w:tc>
        <w:tc>
          <w:tcPr>
            <w:tcW w:type="dxa" w:w="3240"/>
            <w:vAlign w:val="center"/>
          </w:tcPr>
          <w:p>
            <w:pPr>
              <w:spacing w:line="262" w:lineRule="auto"/>
            </w:pPr>
            <w:r/>
            <w:r>
              <w:rPr>
                <w:b w:val="0"/>
                <w:color w:val="182E49"/>
                <w:sz w:val="16"/>
              </w:rPr>
              <w:t>Engineering / QC / Document Control</w:t>
            </w:r>
          </w:p>
        </w:tc>
        <w:tc>
          <w:tcPr>
            <w:tcW w:type="dxa" w:w="5760"/>
            <w:vAlign w:val="center"/>
          </w:tcPr>
          <w:p>
            <w:pPr>
              <w:spacing w:line="262" w:lineRule="auto"/>
            </w:pPr>
            <w:r/>
            <w:r>
              <w:rPr>
                <w:b w:val="0"/>
                <w:color w:val="182E49"/>
                <w:sz w:val="16"/>
              </w:rPr>
              <w:t>Approved drawing identifying all OD columns and size tolerances</w:t>
            </w:r>
          </w:p>
        </w:tc>
        <w:tc>
          <w:tcPr>
            <w:tcW w:type="dxa" w:w="2880"/>
            <w:vAlign w:val="center"/>
          </w:tcPr>
          <w:p>
            <w:pPr>
              <w:spacing w:line="262" w:lineRule="auto"/>
            </w:pPr>
            <w:r/>
            <w:r>
              <w:rPr>
                <w:b w:val="0"/>
                <w:color w:val="182E49"/>
                <w:sz w:val="16"/>
              </w:rPr>
              <w:t>Open — Technical Input / Approval</w:t>
            </w:r>
          </w:p>
        </w:tc>
      </w:tr>
      <w:tr>
        <w:trPr>
          <w:cantSplit/>
        </w:trPr>
        <w:tc>
          <w:tcPr>
            <w:tcW w:type="dxa" w:w="2088"/>
            <w:vAlign w:val="center"/>
            <w:shd w:fill="F2F6F9"/>
          </w:tcPr>
          <w:p>
            <w:pPr>
              <w:spacing w:line="262" w:lineRule="auto"/>
            </w:pPr>
            <w:r/>
            <w:r>
              <w:rPr>
                <w:b w:val="0"/>
                <w:color w:val="182E49"/>
                <w:sz w:val="16"/>
              </w:rPr>
              <w:t>GAP-022</w:t>
            </w:r>
          </w:p>
        </w:tc>
        <w:tc>
          <w:tcPr>
            <w:tcW w:type="dxa" w:w="1152"/>
            <w:vAlign w:val="center"/>
            <w:shd w:fill="F2F6F9"/>
          </w:tcPr>
          <w:p>
            <w:pPr>
              <w:spacing w:line="262" w:lineRule="auto"/>
            </w:pPr>
            <w:r/>
            <w:r>
              <w:rPr>
                <w:b w:val="0"/>
                <w:color w:val="182E49"/>
                <w:sz w:val="16"/>
              </w:rPr>
              <w:t>P2</w:t>
            </w:r>
          </w:p>
        </w:tc>
        <w:tc>
          <w:tcPr>
            <w:tcW w:type="dxa" w:w="6624"/>
            <w:vAlign w:val="center"/>
            <w:shd w:fill="F2F6F9"/>
          </w:tcPr>
          <w:p>
            <w:pPr>
              <w:spacing w:line="262" w:lineRule="auto"/>
            </w:pPr>
            <w:r/>
            <w:r>
              <w:rPr>
                <w:b w:val="0"/>
                <w:color w:val="182E49"/>
                <w:sz w:val="16"/>
              </w:rPr>
              <w:t>Vacuum stability and rated pressure claim mapping missing — approve revised WI/control route.</w:t>
            </w:r>
          </w:p>
        </w:tc>
        <w:tc>
          <w:tcPr>
            <w:tcW w:type="dxa" w:w="3240"/>
            <w:vAlign w:val="center"/>
            <w:shd w:fill="F2F6F9"/>
          </w:tcPr>
          <w:p>
            <w:pPr>
              <w:spacing w:line="262" w:lineRule="auto"/>
            </w:pPr>
            <w:r/>
            <w:r>
              <w:rPr>
                <w:b w:val="0"/>
                <w:color w:val="182E49"/>
                <w:sz w:val="16"/>
              </w:rPr>
              <w:t>Engineering / QA / Regulatory</w:t>
            </w:r>
          </w:p>
        </w:tc>
        <w:tc>
          <w:tcPr>
            <w:tcW w:type="dxa" w:w="5760"/>
            <w:vAlign w:val="center"/>
            <w:shd w:fill="F2F6F9"/>
          </w:tcPr>
          <w:p>
            <w:pPr>
              <w:spacing w:line="262" w:lineRule="auto"/>
            </w:pPr>
            <w:r/>
            <w:r>
              <w:rPr>
                <w:b w:val="0"/>
                <w:color w:val="182E49"/>
                <w:sz w:val="16"/>
              </w:rPr>
              <w:t>Approved pressure spec, pre-evacuation evidence, storage/stability report, label and test linkage. Status: Open — Technical Input / Evidence.</w:t>
            </w:r>
          </w:p>
        </w:tc>
        <w:tc>
          <w:tcPr>
            <w:tcW w:type="dxa" w:w="2880"/>
            <w:vAlign w:val="center"/>
            <w:shd w:fill="F2F6F9"/>
          </w:tcPr>
          <w:p>
            <w:pPr>
              <w:spacing w:line="262" w:lineRule="auto"/>
            </w:pPr>
            <w:r/>
            <w:r>
              <w:rPr>
                <w:b w:val="0"/>
                <w:color w:val="182E49"/>
                <w:sz w:val="16"/>
              </w:rPr>
              <w:t>Open — Technical Input / Evidence</w:t>
            </w:r>
          </w:p>
        </w:tc>
      </w:tr>
      <w:tr>
        <w:trPr>
          <w:cantSplit/>
        </w:trPr>
        <w:tc>
          <w:tcPr>
            <w:tcW w:type="dxa" w:w="2088"/>
            <w:vAlign w:val="center"/>
          </w:tcPr>
          <w:p>
            <w:pPr>
              <w:spacing w:line="262" w:lineRule="auto"/>
            </w:pPr>
            <w:r/>
            <w:r>
              <w:rPr>
                <w:b w:val="0"/>
                <w:color w:val="182E49"/>
                <w:sz w:val="16"/>
              </w:rPr>
              <w:t>GAP-023</w:t>
            </w:r>
          </w:p>
        </w:tc>
        <w:tc>
          <w:tcPr>
            <w:tcW w:type="dxa" w:w="1152"/>
            <w:vAlign w:val="center"/>
          </w:tcPr>
          <w:p>
            <w:pPr>
              <w:spacing w:line="262" w:lineRule="auto"/>
            </w:pPr>
            <w:r/>
            <w:r>
              <w:rPr>
                <w:b w:val="0"/>
                <w:color w:val="182E49"/>
                <w:sz w:val="16"/>
              </w:rPr>
              <w:t>P2</w:t>
            </w:r>
          </w:p>
        </w:tc>
        <w:tc>
          <w:tcPr>
            <w:tcW w:type="dxa" w:w="6624"/>
            <w:vAlign w:val="center"/>
          </w:tcPr>
          <w:p>
            <w:pPr>
              <w:spacing w:line="262" w:lineRule="auto"/>
            </w:pPr>
            <w:r/>
            <w:r>
              <w:rPr>
                <w:b w:val="0"/>
                <w:color w:val="182E49"/>
                <w:sz w:val="16"/>
              </w:rPr>
              <w:t>MRI-risk applicability has not been documented — approve revised WI/control route.</w:t>
            </w:r>
          </w:p>
        </w:tc>
        <w:tc>
          <w:tcPr>
            <w:tcW w:type="dxa" w:w="3240"/>
            <w:vAlign w:val="center"/>
          </w:tcPr>
          <w:p>
            <w:pPr>
              <w:spacing w:line="262" w:lineRule="auto"/>
            </w:pPr>
            <w:r/>
            <w:r>
              <w:rPr>
                <w:b w:val="0"/>
                <w:color w:val="182E49"/>
                <w:sz w:val="16"/>
              </w:rPr>
              <w:t>QA / Regulatory / Engineering</w:t>
            </w:r>
          </w:p>
        </w:tc>
        <w:tc>
          <w:tcPr>
            <w:tcW w:type="dxa" w:w="5760"/>
            <w:vAlign w:val="center"/>
          </w:tcPr>
          <w:p>
            <w:pPr>
              <w:spacing w:line="262" w:lineRule="auto"/>
            </w:pPr>
            <w:r/>
            <w:r>
              <w:rPr>
                <w:b w:val="0"/>
                <w:color w:val="182E49"/>
                <w:sz w:val="16"/>
              </w:rPr>
              <w:t>Approved MRI risk determination and evidence/label review when applicable. Status: Open — Applicability.</w:t>
            </w:r>
          </w:p>
        </w:tc>
        <w:tc>
          <w:tcPr>
            <w:tcW w:type="dxa" w:w="2880"/>
            <w:vAlign w:val="center"/>
          </w:tcPr>
          <w:p>
            <w:pPr>
              <w:spacing w:line="262" w:lineRule="auto"/>
            </w:pPr>
            <w:r/>
            <w:r>
              <w:rPr>
                <w:b w:val="0"/>
                <w:color w:val="182E49"/>
                <w:sz w:val="16"/>
              </w:rPr>
              <w:t>Open — Technical Input</w:t>
            </w:r>
          </w:p>
        </w:tc>
      </w:tr>
    </w:tbl>
    <w:p>
      <w:pPr>
        <w:pStyle w:val="Heading1"/>
      </w:pPr>
      <w:r>
        <w:t>11. Final Conclusion</w:t>
      </w:r>
    </w:p>
    <w:p>
      <w:r>
        <w:t>The attached document reconstructions are proposed corrective documentation, not the currently approved master WI or final QC release records. Confirm the effective source revisions, close all OPEN TECHNICAL INPUT REQUIRED items, approve and implement changes, perform/verify objective tests as applicable, and then update each requirement closure status against executed signed evidence. No numerical completion percentage or 100% ISO conformity can be justified from the supplied files.</w:t>
      </w:r>
    </w:p>
    <w:p>
      <w:pPr>
        <w:pStyle w:val="Heading1"/>
      </w:pPr>
      <w:r>
        <w:t>12. Source Traceability</w:t>
      </w:r>
    </w:p>
    <w:p>
      <w:r>
        <w:t>S-01 — ISO 20697:2018(E) corrected version. Full standard; PDF 44 pages; ISO printed pp. 1–37; uploaded licensed controlled copy; technical reference for this assessment.</w:t>
      </w:r>
    </w:p>
    <w:p>
      <w:r>
        <w:t>S-02 — WI-8-2-2-23, Production &amp; Test Procedure for Wound Drainage Set. Supplied legacy .doc; visible internal header Rev. 4 dated 25.12.2022, pp. 1–7. Uploaded filename calls it Rev. 5; controlled status and approved current edition NOT VERIFIED.</w:t>
      </w:r>
    </w:p>
    <w:p>
      <w:r>
        <w:t>S-03 — F-823-i12, In-process Control for Wound Drainage Set. Workbook visible form Rev. 4; sheet F-823 i12(Rev4); rows 7–28; row 4 refers to WI-8-2-2-23-1; blank time results 7–6.</w:t>
      </w:r>
    </w:p>
    <w:p>
      <w:r>
        <w:t>S-04 — F-823-i108, In-process Control for Silicone Multi Channel Tube. Uploaded file filename says Rev. 6 but worksheet tab F-823-i108 (Rev.4); rows 6–29; row 3 refers to WI-8-2-2-23; dimensional table rows 21–26.</w:t>
      </w:r>
    </w:p>
    <w:p>
      <w:r>
        <w:t>ISO source locator: normative page N is PDF page N+6. ISO clauses and Annexes are cited in the corresponding crosswalk rows. Exact WI page/section and in-process Excel row identifiers are supplied as visible in source files.</w:t>
      </w:r>
    </w:p>
    <w:sectPr w:rsidR="00FC693F" w:rsidRPr="0006063C" w:rsidSect="00034616">
      <w:headerReference w:type="default" r:id="rId9"/>
      <w:footerReference w:type="default" r:id="rId10"/>
      <w:pgSz w:w="23818" w:h="16834" w:orient="landscape"/>
      <w:pgMar w:top="950" w:right="922" w:bottom="979"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TECHNICAL REVIEW DRAFT  •  NOT AN APPROVED CONTROLLED DOCUMENT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77D89"/>
      </w:rPr>
      <w:t>SAUDI MAIS  /  QUALITY CONTROL  /  DOCUMENT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82E4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82E4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82E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E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