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SYSTEMS / CONTROLLED DRAFT</w:t>
      </w:r>
    </w:p>
    <w:p>
      <w:pPr>
        <w:pStyle w:val="Title"/>
      </w:pPr>
      <w:r>
        <w:t>Production &amp; In-Process Control Work Instruction</w:t>
      </w:r>
    </w:p>
    <w:p>
      <w:pPr>
        <w:pStyle w:val="Subtitle"/>
      </w:pPr>
      <w:r>
        <w:t>WI-8-2-2-23 • Complete reconstruction • proposed revision pending Document Control</w:t>
      </w:r>
    </w:p>
    <w:p>
      <w:r>
        <w:rPr>
          <w:b/>
          <w:color w:val="177D89"/>
        </w:rPr>
        <w:t>Wound Drainage Set   |   ISO 20697:2018(E), first edition 2018-06, corrected 2018-09</w:t>
      </w:r>
    </w:p>
    <w:p>
      <w:r>
        <w:t>Status: DRAFT FOR QC/QA/ENGINEERING REVIEW   •   No actual product conformity or ISO closure is asserted.</w:t>
      </w:r>
    </w:p>
    <w:p>
      <w:r>
        <w:t>Source documents: WI-8-2-2-23; F-823-i12; F-823-i108; ISO 20697:2018(E). Evidence supplied consists of unexecuted document templates, not completed production/test records.</w:t>
      </w:r>
    </w:p>
    <w:p>
      <w:r>
        <w:br w:type="page"/>
      </w:r>
    </w:p>
    <w:p>
      <w:pPr>
        <w:pStyle w:val="Heading1"/>
      </w:pPr>
      <w:r>
        <w:t>Document Control &amp; Revision Notice</w:t>
      </w:r>
    </w:p>
    <w:tbl>
      <w:tblPr>
        <w:tblStyle w:val="TableGrid"/>
        <w:tblW w:type="auto" w:w="0"/>
        <w:jc w:val="center"/>
        <w:tblLayout w:type="fixed"/>
        <w:tblLook w:firstColumn="1" w:firstRow="1" w:lastColumn="0" w:lastRow="0" w:noHBand="0" w:noVBand="1" w:val="04A0"/>
      </w:tblPr>
      <w:tblGrid>
        <w:gridCol w:w="5032"/>
        <w:gridCol w:w="5032"/>
      </w:tblGrid>
      <w:tr>
        <w:trPr>
          <w:tblHeader w:val="true"/>
        </w:trPr>
        <w:tc>
          <w:tcPr>
            <w:tcW w:type="dxa" w:w="2880"/>
            <w:vAlign w:val="center"/>
            <w:shd w:fill="182E49"/>
          </w:tcPr>
          <w:p>
            <w:pPr>
              <w:spacing w:line="262" w:lineRule="auto"/>
            </w:pPr>
            <w:r>
              <w:rPr>
                <w:color w:val="FFFFFF"/>
              </w:rPr>
            </w:r>
            <w:r>
              <w:rPr>
                <w:b/>
                <w:color w:val="FFFFFF"/>
                <w:sz w:val="18"/>
              </w:rPr>
              <w:t>Field</w:t>
            </w:r>
          </w:p>
        </w:tc>
        <w:tc>
          <w:tcPr>
            <w:tcW w:type="dxa" w:w="7128"/>
            <w:vAlign w:val="center"/>
            <w:shd w:fill="182E49"/>
          </w:tcPr>
          <w:p>
            <w:pPr>
              <w:spacing w:line="262" w:lineRule="auto"/>
            </w:pPr>
            <w:r>
              <w:rPr>
                <w:color w:val="FFFFFF"/>
              </w:rPr>
            </w:r>
            <w:r>
              <w:rPr>
                <w:b/>
                <w:color w:val="FFFFFF"/>
                <w:sz w:val="18"/>
              </w:rPr>
              <w:t>Draft value / decision</w:t>
            </w:r>
          </w:p>
        </w:tc>
      </w:tr>
      <w:tr>
        <w:trPr>
          <w:cantSplit/>
        </w:trPr>
        <w:tc>
          <w:tcPr>
            <w:tcW w:type="dxa" w:w="2880"/>
            <w:vAlign w:val="center"/>
          </w:tcPr>
          <w:p>
            <w:pPr>
              <w:spacing w:line="262" w:lineRule="auto"/>
            </w:pPr>
            <w:r/>
            <w:r>
              <w:rPr>
                <w:b w:val="0"/>
                <w:color w:val="182E49"/>
                <w:sz w:val="18"/>
              </w:rPr>
              <w:t>Proposed document ID</w:t>
            </w:r>
          </w:p>
        </w:tc>
        <w:tc>
          <w:tcPr>
            <w:tcW w:type="dxa" w:w="7128"/>
            <w:vAlign w:val="center"/>
          </w:tcPr>
          <w:p>
            <w:pPr>
              <w:spacing w:line="262" w:lineRule="auto"/>
            </w:pPr>
            <w:r/>
            <w:r>
              <w:rPr>
                <w:b w:val="0"/>
                <w:color w:val="182E49"/>
                <w:sz w:val="18"/>
              </w:rPr>
              <w:t>WI-8-2-2-23 — existing identifier retained for review</w:t>
            </w:r>
          </w:p>
        </w:tc>
      </w:tr>
      <w:tr>
        <w:trPr>
          <w:cantSplit/>
        </w:trPr>
        <w:tc>
          <w:tcPr>
            <w:tcW w:type="dxa" w:w="2880"/>
            <w:vAlign w:val="center"/>
            <w:shd w:fill="F2F6F9"/>
          </w:tcPr>
          <w:p>
            <w:pPr>
              <w:spacing w:line="262" w:lineRule="auto"/>
            </w:pPr>
            <w:r/>
            <w:r>
              <w:rPr>
                <w:b w:val="0"/>
                <w:color w:val="182E49"/>
                <w:sz w:val="18"/>
              </w:rPr>
              <w:t>Proposed revision</w:t>
            </w:r>
          </w:p>
        </w:tc>
        <w:tc>
          <w:tcPr>
            <w:tcW w:type="dxa" w:w="7128"/>
            <w:vAlign w:val="center"/>
            <w:shd w:fill="F2F6F9"/>
          </w:tcPr>
          <w:p>
            <w:pPr>
              <w:spacing w:line="262" w:lineRule="auto"/>
            </w:pPr>
            <w:r/>
            <w:r>
              <w:rPr>
                <w:b w:val="0"/>
                <w:color w:val="182E49"/>
                <w:sz w:val="18"/>
              </w:rPr>
              <w:t>TO BE ASSIGNED BY DOCUMENT CONTROL</w:t>
            </w:r>
          </w:p>
        </w:tc>
      </w:tr>
      <w:tr>
        <w:trPr>
          <w:cantSplit/>
        </w:trPr>
        <w:tc>
          <w:tcPr>
            <w:tcW w:type="dxa" w:w="2880"/>
            <w:vAlign w:val="center"/>
          </w:tcPr>
          <w:p>
            <w:pPr>
              <w:spacing w:line="262" w:lineRule="auto"/>
            </w:pPr>
            <w:r/>
            <w:r>
              <w:rPr>
                <w:b w:val="0"/>
                <w:color w:val="182E49"/>
                <w:sz w:val="18"/>
              </w:rPr>
              <w:t>Source baseline</w:t>
            </w:r>
          </w:p>
        </w:tc>
        <w:tc>
          <w:tcPr>
            <w:tcW w:type="dxa" w:w="7128"/>
            <w:vAlign w:val="center"/>
          </w:tcPr>
          <w:p>
            <w:pPr>
              <w:spacing w:line="262" w:lineRule="auto"/>
            </w:pPr>
            <w:r/>
            <w:r>
              <w:rPr>
                <w:b w:val="0"/>
                <w:color w:val="182E49"/>
                <w:sz w:val="18"/>
              </w:rPr>
              <w:t>Uploaded WI internal Rev. 4 (25.12.2022), labelled Rev. 5 in filename — see GAP-001</w:t>
            </w:r>
          </w:p>
        </w:tc>
      </w:tr>
      <w:tr>
        <w:trPr>
          <w:cantSplit/>
        </w:trPr>
        <w:tc>
          <w:tcPr>
            <w:tcW w:type="dxa" w:w="2880"/>
            <w:vAlign w:val="center"/>
            <w:shd w:fill="F2F6F9"/>
          </w:tcPr>
          <w:p>
            <w:pPr>
              <w:spacing w:line="262" w:lineRule="auto"/>
            </w:pPr>
            <w:r/>
            <w:r>
              <w:rPr>
                <w:b w:val="0"/>
                <w:color w:val="182E49"/>
                <w:sz w:val="18"/>
              </w:rPr>
              <w:t>Associated in-process forms</w:t>
            </w:r>
          </w:p>
        </w:tc>
        <w:tc>
          <w:tcPr>
            <w:tcW w:type="dxa" w:w="7128"/>
            <w:vAlign w:val="center"/>
            <w:shd w:fill="F2F6F9"/>
          </w:tcPr>
          <w:p>
            <w:pPr>
              <w:spacing w:line="262" w:lineRule="auto"/>
            </w:pPr>
            <w:r/>
            <w:r>
              <w:rPr>
                <w:b w:val="0"/>
                <w:color w:val="182E49"/>
                <w:sz w:val="18"/>
              </w:rPr>
              <w:t>F-823-i12 for Wound Drainage Set; F-823-i108 for Silicone Multi Channel Tube</w:t>
            </w:r>
          </w:p>
        </w:tc>
      </w:tr>
      <w:tr>
        <w:trPr>
          <w:cantSplit/>
        </w:trPr>
        <w:tc>
          <w:tcPr>
            <w:tcW w:type="dxa" w:w="2880"/>
            <w:vAlign w:val="center"/>
          </w:tcPr>
          <w:p>
            <w:pPr>
              <w:spacing w:line="262" w:lineRule="auto"/>
            </w:pPr>
            <w:r/>
            <w:r>
              <w:rPr>
                <w:b w:val="0"/>
                <w:color w:val="182E49"/>
                <w:sz w:val="18"/>
              </w:rPr>
              <w:t>Authorization</w:t>
            </w:r>
          </w:p>
        </w:tc>
        <w:tc>
          <w:tcPr>
            <w:tcW w:type="dxa" w:w="7128"/>
            <w:vAlign w:val="center"/>
          </w:tcPr>
          <w:p>
            <w:pPr>
              <w:spacing w:line="262" w:lineRule="auto"/>
            </w:pPr>
            <w:r/>
            <w:r>
              <w:rPr>
                <w:b w:val="0"/>
                <w:color w:val="182E49"/>
                <w:sz w:val="18"/>
              </w:rPr>
              <w:t>Unapproved technical draft; review by QC, QA, Engineering, Production and relevant functions</w:t>
            </w:r>
          </w:p>
        </w:tc>
      </w:tr>
      <w:tr>
        <w:trPr>
          <w:cantSplit/>
        </w:trPr>
        <w:tc>
          <w:tcPr>
            <w:tcW w:type="dxa" w:w="2880"/>
            <w:vAlign w:val="center"/>
            <w:shd w:fill="F2F6F9"/>
          </w:tcPr>
          <w:p>
            <w:pPr>
              <w:spacing w:line="262" w:lineRule="auto"/>
            </w:pPr>
            <w:r/>
            <w:r>
              <w:rPr>
                <w:b w:val="0"/>
                <w:color w:val="182E49"/>
                <w:sz w:val="18"/>
              </w:rPr>
              <w:t>Important boundary</w:t>
            </w:r>
          </w:p>
        </w:tc>
        <w:tc>
          <w:tcPr>
            <w:tcW w:type="dxa" w:w="7128"/>
            <w:vAlign w:val="center"/>
            <w:shd w:fill="F2F6F9"/>
          </w:tcPr>
          <w:p>
            <w:pPr>
              <w:spacing w:line="262" w:lineRule="auto"/>
            </w:pPr>
            <w:r/>
            <w:r>
              <w:rPr>
                <w:b w:val="0"/>
                <w:color w:val="182E49"/>
                <w:sz w:val="18"/>
              </w:rPr>
              <w:t>In-process test/controls DO NOT constitute final inspection, sterilization batch release or regulatory conformity.</w:t>
            </w:r>
          </w:p>
        </w:tc>
      </w:tr>
    </w:tbl>
    <w:p>
      <w:pPr>
        <w:pStyle w:val="Heading2"/>
      </w:pPr>
      <w:r>
        <w:t>1. Purpose</w:t>
      </w:r>
    </w:p>
    <w:p>
      <w:r>
        <w:t>To define receiving, component manufacture, extrusion, assembly, in-process product controls, packaging checks and evidence links for the Wound Drainage Set and its applicable Redon/silicone multi-channel variants. This work instruction does not replace design qualification, sterilization validation or final authorized product release.</w:t>
      </w:r>
    </w:p>
    <w:p>
      <w:pPr>
        <w:pStyle w:val="Heading2"/>
      </w:pPr>
      <w:r>
        <w:t>2. Scope</w:t>
      </w:r>
    </w:p>
    <w:p>
      <w:r>
        <w:t>Applicable to Saudi Mais-produced sterile wound drainage systems described in the approved SKU/BOM and product drawings, including bellows collection devices, tubing, connectors, trocar and relevant accessories. Product types, sizes and process routes shall be selected per approved production order. The final shipped state is sterile; routine content is primarily pre-sterilization in-process control.</w:t>
      </w:r>
    </w:p>
    <w:p>
      <w:pPr>
        <w:pStyle w:val="Heading2"/>
      </w:pPr>
      <w:r>
        <w:t>3. References &amp; Product Configuration</w:t>
      </w:r>
    </w:p>
    <w:p>
      <w:r>
        <w:t>Primary product standard: ISO 20697:2018(E), corrected September 2018. Current references retained: WI-7-5-1-1 (sterilization), F-823-T1 raw-material record, F-823-T18 trocar inspection, F-823-i12 Wound Drainage in-process, F-823-i108 Silicone Multi Channel in-process, F-823-i4-2 packaging/final checking, F-8-2-4 Final Inspection and Release Record. Obtain current effective revisions and approved product drawings, supplier specs, risk file, BOM, test plans and validated laboratory records before implementation. Do not substitute ISO annex performance tests for line checks.</w:t>
      </w:r>
    </w:p>
    <w:p>
      <w:pPr>
        <w:pStyle w:val="Heading2"/>
      </w:pPr>
      <w:r>
        <w:t>4. Definitions</w:t>
      </w:r>
    </w:p>
    <w:p>
      <w:r>
        <w:t>In-Process Control: check during manufacturing/assembly to detect departures before the next step. Qualification: documented testing demonstrating design or process performance for a specified configuration. Collection device: bellows/bag/container for receiving fluid. Suction source: device generating negative pressure; may be integral to bellows. Patient-contacting drainage catheter is distinct from any catheter-retention balloon. N/A: allowed only with approved applicability justification.</w:t>
      </w:r>
    </w:p>
    <w:p>
      <w:pPr>
        <w:pStyle w:val="Heading2"/>
      </w:pPr>
      <w:r>
        <w:t>5. Responsibilities &amp; Risk Controls</w:t>
      </w:r>
    </w:p>
    <w:p>
      <w:r>
        <w:t>Production Controller: issues material and approved production order. Machine Operator: selects approved materials, performs startup and process operations, presents first article and records results. Maintenance: configures approved mold/die settings. QC: conducts approved sample inspections and actual result recording, identifies nonconformities and holds product as required. QC Supervisor: reviews process records. Engineering: maintains approved dimensions, rated pressures, functional claims, design verification. QA/Regulatory: maintains ISO 10993-1 biological evaluation, risk file, marking/IFU, sterilization validation and release decisions. Design risk/performance records shall be mapped to each SKU (GAP-002/003/007/022/023).</w:t>
      </w:r>
    </w:p>
    <w:p>
      <w:pPr>
        <w:pStyle w:val="Heading2"/>
      </w:pPr>
      <w:r>
        <w:t>6. Receiving Raw Materials &amp; Bulk Components</w:t>
      </w:r>
    </w:p>
    <w:p>
      <w:r>
        <w:t>Verify supplied materials/grade against approved purchase order, material specification and supply lot; inspect bags/cartons for damage and legible lot identification. Use current approved AQL/control plan (sampling levels/AQL: OPEN TECHNICAL INPUT REQUIRED unless current plan supplied); record inspection F-823-T1 or relevant OBM incoming record. Retain visual checks for granule clarity, color, deformation, printed lot, labels/arrangement. For bulk purchased components and trocar use approved incoming control F-823-T18 and supplier traceability; inspect stainless-steel trocar visual rust/corrosion, dimensional identity and sharpness protection. Supplier declarations do not substitute relevant Annex B verification (GAP-009).</w:t>
      </w:r>
    </w:p>
    <w:p>
      <w:pPr>
        <w:pStyle w:val="Heading2"/>
      </w:pPr>
      <w:r>
        <w:t>7. Injection Molding &amp; General Process Recording</w:t>
      </w:r>
    </w:p>
    <w:p>
      <w:r>
        <w:t>Production Controller issues material and production order. Maintenance sets approved mold parameters. Operator feeds verified grade and presents startup pieces. QC verifies bellow pump (appearance, nominal capacity, defects and manual leak), cap (surface/flash/black spots/cracks), adaptor (dimensions, no blockage), adaptor cover, slide clamp, luer connector and bend (flexibility and relevant visual/dimensional requirements) against controlled drawings. Source WI p.2 states QC check every two hours for injection components; continue as proposed baseline, but final frequency and statistical plan require approval. Each result includes time, lot, sample ID, observation/measurement, instrument, tester, reviewer and fail disposition; use defined form, not just checkmark (GAP-020). Before transferring acceptable components, apply controlled inspection tag/QC status, as retained from source WI p.3.</w:t>
      </w:r>
    </w:p>
    <w:p>
      <w:pPr>
        <w:pStyle w:val="Heading2"/>
      </w:pPr>
      <w:r>
        <w:t>8. Extrusion &amp; Assembly Controls</w:t>
      </w:r>
    </w:p>
    <w:p>
      <w:r>
        <w:t>Production Controller issues raw material and approved order for wound-drainage, Redon and silicone multichannel tubes. Maintenance sets approved die parameters; operator presents initial sample. QC checks OD, ID, length and appearance per approved drawings. Wound-drainage tubes: smooth, clear from black spots, fish eyes, holes or particulate. Redon tube: approved visible blue X-ray marker where applicable, multiple drainage holes unobstructed, correct lengths/dimensions. Silicone multi-channel: correct silicone grade, channels, defined radiopaque-line location/appearance, cut geometry and no burn/black spots. For assembly, verify correct BOM, connectors, slide clamps, bellows and trocar, apply approved adhesive/process parameters (OPEN TECHNICAL INPUT REQUIRED), allow defined cure time (OPEN TECHNICAL INPUT REQUIRED), verify no manual pullout/irregularities. Ensure separate Annex D/E strength records are linked as warranted (GAP-010/011).</w:t>
      </w:r>
    </w:p>
    <w:p>
      <w:pPr>
        <w:pStyle w:val="Heading2"/>
      </w:pPr>
      <w:r>
        <w:t>8.1 In-Process Wound Drainage Set — F-823-i12</w:t>
      </w:r>
    </w:p>
    <w:p>
      <w:r>
        <w:t>For each production order preserve source rows: tube/bellows clarity; tube gluing/insertion; slide clamp present; fitting; bellows manual leak; nominal capacity 200/400/600 ml as per SKU; connector type; trocar size; trocar sharpness; Redon 500 mm with multi holes where that approved variant; bellows graduation; punched holes free of fiber/blockage/roughness; connector-to-bellows attachment; correct specifications; bellows neck drilled hole; apply rubber status; hanger pieces. Distinguish visual/manual pass/fail from numerical measurements. Record actual capacity and dimensional results with tolerance from approved specification (GAP-006/016). Source form has 7–6 hourly slots; use only approved shift/sampling frequency.</w:t>
      </w:r>
    </w:p>
    <w:p>
      <w:pPr>
        <w:pStyle w:val="Heading2"/>
      </w:pPr>
      <w:r>
        <w:t>8.2 Silicone Multi Channel Tube — F-823-i108</w:t>
      </w:r>
    </w:p>
    <w:p>
      <w:r>
        <w:t>Preserve source rows: appearance/flexibility, no block/discoloration, total length, end-cut quality, defects, OD/ID/length, four channels/equal openings where that product design calls for four, blue/white barium-sulfate line, trocar-to-channel attachment and trocar dimensions. Historic table lists nominal 10, 15, 18, 19, 24 CH variants and component lengths A 800 mm/B 100 mm/C 300 mm/total 1200 mm; treat these as source provisional values until approved drawing confirms applicable SKU. Historic double “OD mm” columns have unresolved meaning; do not auto-select tolerances or actual OD from them (GAP-021). Source time slots 7/9/11/1/3/5; final control plan to confirm required shift points.</w:t>
      </w:r>
    </w:p>
    <w:p>
      <w:pPr>
        <w:pStyle w:val="Heading2"/>
      </w:pPr>
      <w:r>
        <w:t>8.3 Size and Surface Acceptance (GAP-005/006/021)</w:t>
      </w:r>
    </w:p>
    <w:p>
      <w:r>
        <w:t>Nominal catheter OD must be expressed in mm rounded upward to nearest 0.1 mm; ISO 20697 §5.5.2 specifies tolerance ±1 French on the stated size (Fr=3 × OD in mm). For non-round geometry designate largest axis. Use approved drawing and relevant tighter company limits when adopted; measure actual OD and record mm, sample and gauge. Effective length: record mm if &lt;100 mm, otherwise mm or cm; ISO sets no effective-length tolerance so use approved drawing (OPEN TECHNICAL INPUT REQUIRED). Inspect catheter effective outer surface by normal/corrected vision for unacceptable contamination/defects; use ≥2.5× magnification only when documented risk decision requires it; classify defects using approved defect catalogue (OPEN TECHNICAL INPUT REQUIRED).</w:t>
      </w:r>
    </w:p>
    <w:p>
      <w:pPr>
        <w:pStyle w:val="Heading2"/>
      </w:pPr>
      <w:r>
        <w:t>8.4 Connector Compatibility and Detectability (GAP-004/007)</w:t>
      </w:r>
    </w:p>
    <w:p>
      <w:r>
        <w:t>Select connector assemblies by approved SKU/BOM and perform routine fit and appearance checks. Engineering/QA shall keep the ISO 80369-1-principled misconnection risk assessment and compatible mating device list. For risk-required catheter detectability, use approved effective-length detection test and traceable report; visual examination of X-ray stripe is an in-process quality check but does not alone prove performance. If not risk-required record approved N/A rationale. Supplier/product changes require re-evaluation.</w:t>
      </w:r>
    </w:p>
    <w:p>
      <w:pPr>
        <w:pStyle w:val="Heading2"/>
      </w:pPr>
      <w:r>
        <w:t>8.5 Retention and Kink Conditional Controls (GAP-015)</w:t>
      </w:r>
    </w:p>
    <w:p>
      <w:r>
        <w:t>Engineering shall define clinically relevant kink performance from intended placement/risk assessment and approve verification. If non-balloon retention means exist, define and verify sufficient retention strength; Annex A/H are informative examples. Do not invent ISO minimums. If a balloon catheter is introduced, separately assess ISO 5.5.4, 6.8–6.10 and Annex I/J/K/L before using this WI; current bellows collection pump is not equivalent to a balloon catheter.</w:t>
      </w:r>
    </w:p>
    <w:p>
      <w:pPr>
        <w:pStyle w:val="Heading2"/>
      </w:pPr>
      <w:r>
        <w:t>8.6 Bellows Capacity &amp; Suction (GAP-008/012/013/016/022)</w:t>
      </w:r>
    </w:p>
    <w:p>
      <w:r>
        <w:t>Nominal capacity options from current source are 200, 400 or 600 ml; assign per approved SKU. Measure capacity using approved water-fill procedure, calibrated equipment and tolerance (OPEN TECHNICAL INPUT REQUIRED). Define maximum operating negative pressure and permitted vacuum stability [OPEN TECHNICAL INPUT REQUIRED], then link qualification Annex C deformation, F impact and M vacuum leak test reports as specified below. Each routine manual leak check is separately identified by controlled SOP method and records what was observed.</w:t>
      </w:r>
    </w:p>
    <w:p>
      <w:pPr>
        <w:pStyle w:val="Heading2"/>
      </w:pPr>
      <w:r>
        <w:t>9. Routine Visual, Dimensional &amp; Manual In-Process Acceptance</w:t>
      </w:r>
    </w:p>
    <w:p>
      <w:r>
        <w:t>QC verifies the correct component family, product code, cleanliness, surface finish, no cracks/holes/flash/short shot, patent drainage eyes/holes, visible marking, correct assembly and sharp protected trocar; note company-specific dimensions and 500 mm Redon length when indicated in approved SKU. All actual measured checks require value/unit and approved limits. Accept visual/manual “Pass” only where an approved visual defect definition and operational method exist. Nonconforming material is immediately identified/segregated; QC documents disposition, investigation and reinspection per approved NCR route. Maintain traceability for process adjustments.</w:t>
      </w:r>
    </w:p>
    <w:p>
      <w:pPr>
        <w:pStyle w:val="Heading2"/>
      </w:pPr>
      <w:r>
        <w:t>10. Type/Qualification &amp; Laboratory Test Requirements</w:t>
      </w:r>
    </w:p>
    <w:p>
      <w:r>
        <w:t>These tests are not automatically required for every lot. Engineering/QA shall assign verification frequency and change triggers using risk, claims and process controls; a current qualification reference is needed for release decision where applicable. All records include exact configuration, lot/sample, calibration, ISO method, raw observations, operator, reviewer and conclusions.</w:t>
      </w:r>
    </w:p>
    <w:p>
      <w:pPr>
        <w:pStyle w:val="Heading2"/>
      </w:pPr>
      <w:r>
        <w:t>10.1 Trocar Corrosion — ISO 6.2 / Annex B (GAP-009)</w:t>
      </w:r>
    </w:p>
    <w:p>
      <w:r>
        <w:t>If risk assessment identifies exposed metallic components susceptible to functionally relevant corrosion, use 0.15 mol/L NaCl solution at (22±5)°C for 5 h, boiling distilled/deionized water for 30 min, followed by (37±2)°C for 48 h; dry, disassemble separable parts without damaging metal coatings, inspect for corrosion and record. Pass: no relevant visible corrosion. Alternate conditions only if properly justified and approved.</w:t>
      </w:r>
    </w:p>
    <w:p>
      <w:pPr>
        <w:pStyle w:val="Heading2"/>
      </w:pPr>
      <w:r>
        <w:t>10.2 Deformation under Negative Pressure — ISO 6.3 / Annex C (GAP-008)</w:t>
      </w:r>
    </w:p>
    <w:p>
      <w:r>
        <w:t>Test ready-for-use configuration; condition inserted components in 100% RH or water at (37±2)°C ≥15 min and other parts at ≥40% RH/(22±2)°C ≥15 min. Immediately expose assembly to approved maximum negative pressure for ≥60 s. Observe during applied suction. Pass: no collapse/deformation sufficient to impair intended function. Maximum pressure specification: OPEN TECHNICAL INPUT REQUIRED.</w:t>
      </w:r>
    </w:p>
    <w:p>
      <w:pPr>
        <w:pStyle w:val="Heading2"/>
      </w:pPr>
      <w:r>
        <w:t>10.3.1 External Connector Tensile — ISO 6.4.1 / Annex D (GAP-010)</w:t>
      </w:r>
    </w:p>
    <w:p>
      <w:r>
        <w:t>Classify smallest connected tubular OD. ≥2 to ≤4 mm: minimum 5 N; &gt;4 mm: minimum 15 N. &lt;2 mm: manufacturer risk-based limit required. Assemble recommended external connectors as instructed and apply specified force at 500 mm/min; no separation. Log connector identity, OD, selected force (N), speed and outcome.</w:t>
      </w:r>
    </w:p>
    <w:p>
      <w:pPr>
        <w:pStyle w:val="Heading2"/>
      </w:pPr>
      <w:r>
        <w:t>10.3.2 Catheter/Junction Tensile — ISO 6.4.2 / Annex E (GAP-011)</w:t>
      </w:r>
    </w:p>
    <w:p>
      <w:r>
        <w:t>Test each applicable tubular segment and junction. ≥2 to ≤4 mm OD: minimum 10 N; &gt;4 mm OD: minimum 20 N; &lt;2 mm: approved risk-based limit required. Condition parts intended for insertion into body in 100% RH/water at (37±2)°C ≥2 h; other parts at ≥40% RH and (22±5)°C ≥2 h. Test immediately at a strain rate equivalent to 20 mm/min for each mm of gauge length until specified load/separation. Record gauge length, speed, OD, peak force (N) and failure site; one tensile test per piece.</w:t>
      </w:r>
    </w:p>
    <w:p>
      <w:pPr>
        <w:pStyle w:val="Heading2"/>
      </w:pPr>
      <w:r>
        <w:t>10.4 Bellows Impact — ISO 6.5 / Annex F (GAP-012)</w:t>
      </w:r>
    </w:p>
    <w:p>
      <w:r>
        <w:t>Prepare collection device with rated capacity of water, occlude inlet as applicable, then drop from 700 mm on the Annex F specified rigid surface at (22±5)°C. Pass: no leakage. For suction source prepare max rated negative pressure; measure pre-drop and not earlier than 60 s after impact. Pass: loss of vacuum must not exceed 2%. Record actual pre/post readings (kPa) and result.</w:t>
      </w:r>
    </w:p>
    <w:p>
      <w:pPr>
        <w:pStyle w:val="Heading2"/>
      </w:pPr>
      <w:r>
        <w:t>10.5 Vacuum Air Leakage — ISO 6.11 / Annex M (GAP-013)</w:t>
      </w:r>
    </w:p>
    <w:p>
      <w:r>
        <w:t>Using ready-to-use assembly, de-aerated distilled/deionized water at (22±5)°C, an occlusion and leakproof connector, apply approved max negative pressure. Stabilize for 120 s and maintain a further 120 s while watching for bubbles/air ingress. Pass: no air leakage. Record kPa/Pa, duration, bubble/leak site, equipment, specimen and result. Maximum test pressure: OPEN TECHNICAL INPUT REQUIRED.</w:t>
      </w:r>
    </w:p>
    <w:p>
      <w:pPr>
        <w:pStyle w:val="Heading2"/>
      </w:pPr>
      <w:r>
        <w:t>10.6 Claimed Flow Rate — ISO 6.6 / Annex G (GAP-014)</w:t>
      </w:r>
    </w:p>
    <w:p>
      <w:r>
        <w:t>IF a quantitative flow-rate claim is made, conduct three measurements per applicable lumen using distilled/deionized or clinically relevant medium at (22±5)°C, 1000±5 mm hydrostatic head and at least 30 s collection; report average in ml/min. Required minimum is 80% of manufacturer claim for nominal OD &lt;1.0 mm, or 90% for OD ≥1.0 mm. If no flow claim, retain approved clause applicability decision; do not fabricate claimed rate.</w:t>
      </w:r>
    </w:p>
    <w:p>
      <w:pPr>
        <w:pStyle w:val="Heading2"/>
      </w:pPr>
      <w:r>
        <w:t>11. Incoming &amp; Supplier Tests / Biological Evaluation</w:t>
      </w:r>
    </w:p>
    <w:p>
      <w:r>
        <w:t>QA maintains source material grades and ISO 10993-1 biological evaluation, supplier certificates and change controls traceable to lot/configuration. Trocar source integrity and incoming appearance are checked under F-823-T18/OBM as applicable. Potential corrosion testing is based on ISO §6.2 and approved risk, not automatic for every incoming lot.</w:t>
      </w:r>
    </w:p>
    <w:p>
      <w:pPr>
        <w:pStyle w:val="Heading2"/>
      </w:pPr>
      <w:r>
        <w:t>12. Sampling, Frequency and In-Process Recording</w:t>
      </w:r>
    </w:p>
    <w:p>
      <w:r>
        <w:t>The sample size, AQL level and release limits are governed by the effective approved sampling/control plan, which was not supplied (OPEN TECHNICAL INPUT REQUIRED). The original WI establishes QC checks at 2-hour intervals during injection; F-823-i12 shows hour-by-hour result boxes; F-823-i108 shows 2-hour checkpoints. Align each to the controlled production shift/control plan; do not assume conflicting frequencies are automatically valid. Record measured results, unit, product code, batch, station, time, inspector, reviewer, instrument identification and any NCR/hold. See redesigned forms.</w:t>
      </w:r>
    </w:p>
    <w:p>
      <w:pPr>
        <w:pStyle w:val="Heading2"/>
      </w:pPr>
      <w:r>
        <w:t>13. Packaging, Marking and IFU (GAP-018/019/022)</w:t>
      </w:r>
    </w:p>
    <w:p>
      <w:r>
        <w:t>Prior to packaging confirm assembled component completeness and QC authorization to proceed. Package each unit per approved blister/pouch spec; check seal, peel, width, forming, cut and print under F-823-i4-2 (not supplied). Compare approved label artwork against identity, code, nominal catheter/collection size, lot and dates, sterilization symbols, single-use, storage/handling, collection capacity (ml), risk-required detectability, max allowable pressure in Pa if applicable, and vacuum stability date for a pre-evacuated source. Legibility/durability is verified by approved procedure. Ensure IFU, if separate, contains applicable ISO 7.3 items, compatible equipment, warnings and revision; use independent approved artwork/IFU checklist.</w:t>
      </w:r>
    </w:p>
    <w:p>
      <w:pPr>
        <w:pStyle w:val="Heading2"/>
      </w:pPr>
      <w:r>
        <w:t>14. Sterilization and Separate Final Release (GAP-017)</w:t>
      </w:r>
    </w:p>
    <w:p>
      <w:r>
        <w:t>Transfer accepted packaged product to validated sterilization per WI-7-5-1-1. Sterile state shall have documented SAL of 10^-6 under applicable validated sterilization process. QA/QC Manager shall separately verify executed sterilization cycle, applicable test results, packaging records, deviations and final inspection record F-8-2-4 before final signed release. These in-process records and this draft WI DO NOT authorize product release.</w:t>
      </w:r>
    </w:p>
    <w:p>
      <w:pPr>
        <w:pStyle w:val="Heading2"/>
      </w:pPr>
      <w:r>
        <w:t>15. Nonconforming Material Control</w:t>
      </w:r>
    </w:p>
    <w:p>
      <w:r>
        <w:t>Any failed visual, dimensional, capacity, bond, leakage or test result requires identified segregation and NCR/hold under the current company procedure; evaluate impact of material/process changes, stop/adjust line where defined by control plan, conduct authorized rechecks, record rework/scrap decisions. No unapproved technical deviations. Repeat qualification when changes trigger design-risk review.</w:t>
      </w:r>
    </w:p>
    <w:p>
      <w:pPr>
        <w:pStyle w:val="Heading2"/>
      </w:pPr>
      <w:r>
        <w:t>16. Records and Objective Evidence</w:t>
      </w:r>
    </w:p>
    <w:p>
      <w:r>
        <w:t>Maintain F-823-i12, F-823-i108 (if variant), F-823-T1/T18, approved drawings, work order and production control log, qualified lab Annex B/C/D/E/F/G/M results where applicable, biological/risk file, calibrated gauge evidence, packaging F-823-i4-2, sterilization validation and batch, and F-8-2-4 release. Link by SKU, variant, process stage, batch/lot and revision. Records remain controlled according to company retention procedure (OPEN TECHNICAL INPUT REQUIRED).</w:t>
      </w:r>
    </w:p>
    <w:p>
      <w:pPr>
        <w:pStyle w:val="Heading2"/>
      </w:pPr>
      <w:r>
        <w:t>17. Document Control</w:t>
      </w:r>
    </w:p>
    <w:p>
      <w:r>
        <w:t>Before use, reconcile WI actual signed revision versus file name, F-823-i12 reference WI-8-2-2-23-1, and F-823-i108 worksheet/filename Rev. 4/6 discrepancy (GAP-001). Document Control shall approve and distribute only validated effective documents, retire obsolete copies and maintain traceability to master list. This draft has no assigned effective revision or authorization.</w:t>
      </w:r>
    </w:p>
    <w:p>
      <w:pPr>
        <w:pStyle w:val="Heading2"/>
      </w:pPr>
      <w:r>
        <w:t>18. Revision History</w:t>
      </w:r>
    </w:p>
    <w:p>
      <w:r>
        <w:t>Proposal: Full technical reconstruction anchored to ISO 20697:2018 and company baseline, incorporating GAP-001 through GAP-023; effective revision/date, preparer/reviewer/approver names and signatures intentionally blank pending controlled company approval.</w:t>
      </w:r>
    </w:p>
    <w:p>
      <w:pPr>
        <w:pStyle w:val="Heading1"/>
      </w:pPr>
      <w:r>
        <w:t>Appendix A — ISO Clause / Gap Mapping</w:t>
      </w:r>
    </w:p>
    <w:tbl>
      <w:tblPr>
        <w:tblStyle w:val="TableGrid"/>
        <w:tblW w:type="auto" w:w="0"/>
        <w:jc w:val="center"/>
        <w:tblLayout w:type="fixed"/>
        <w:tblLook w:firstColumn="1" w:firstRow="1" w:lastColumn="0" w:lastRow="0" w:noHBand="0" w:noVBand="1" w:val="04A0"/>
      </w:tblPr>
      <w:tblGrid>
        <w:gridCol w:w="3355"/>
        <w:gridCol w:w="3355"/>
        <w:gridCol w:w="3355"/>
      </w:tblGrid>
      <w:tr>
        <w:trPr>
          <w:tblHeader w:val="true"/>
        </w:trPr>
        <w:tc>
          <w:tcPr>
            <w:tcW w:type="dxa" w:w="1656"/>
            <w:vAlign w:val="center"/>
            <w:shd w:fill="182E49"/>
          </w:tcPr>
          <w:p>
            <w:pPr>
              <w:spacing w:line="262" w:lineRule="auto"/>
            </w:pPr>
            <w:r>
              <w:rPr>
                <w:color w:val="FFFFFF"/>
              </w:rPr>
            </w:r>
            <w:r>
              <w:rPr>
                <w:b/>
                <w:color w:val="FFFFFF"/>
                <w:sz w:val="15"/>
              </w:rPr>
              <w:t>Gap</w:t>
            </w:r>
          </w:p>
        </w:tc>
        <w:tc>
          <w:tcPr>
            <w:tcW w:type="dxa" w:w="4680"/>
            <w:vAlign w:val="center"/>
            <w:shd w:fill="182E49"/>
          </w:tcPr>
          <w:p>
            <w:pPr>
              <w:spacing w:line="262" w:lineRule="auto"/>
            </w:pPr>
            <w:r>
              <w:rPr>
                <w:color w:val="FFFFFF"/>
              </w:rPr>
            </w:r>
            <w:r>
              <w:rPr>
                <w:b/>
                <w:color w:val="FFFFFF"/>
                <w:sz w:val="15"/>
              </w:rPr>
              <w:t>New WI requirement / topic</w:t>
            </w:r>
          </w:p>
        </w:tc>
        <w:tc>
          <w:tcPr>
            <w:tcW w:type="dxa" w:w="3658"/>
            <w:vAlign w:val="center"/>
            <w:shd w:fill="182E49"/>
          </w:tcPr>
          <w:p>
            <w:pPr>
              <w:spacing w:line="262" w:lineRule="auto"/>
            </w:pPr>
            <w:r>
              <w:rPr>
                <w:color w:val="FFFFFF"/>
              </w:rPr>
            </w:r>
            <w:r>
              <w:rPr>
                <w:b/>
                <w:color w:val="FFFFFF"/>
                <w:sz w:val="15"/>
              </w:rPr>
              <w:t>Control destination</w:t>
            </w:r>
          </w:p>
        </w:tc>
      </w:tr>
      <w:tr>
        <w:trPr>
          <w:cantSplit/>
        </w:trPr>
        <w:tc>
          <w:tcPr>
            <w:tcW w:type="dxa" w:w="1656"/>
            <w:vAlign w:val="center"/>
          </w:tcPr>
          <w:p>
            <w:pPr>
              <w:spacing w:line="262" w:lineRule="auto"/>
            </w:pPr>
            <w:r/>
            <w:r>
              <w:rPr>
                <w:b w:val="0"/>
                <w:color w:val="182E49"/>
                <w:sz w:val="15"/>
              </w:rPr>
              <w:t>GAP-001</w:t>
            </w:r>
          </w:p>
        </w:tc>
        <w:tc>
          <w:tcPr>
            <w:tcW w:type="dxa" w:w="4680"/>
            <w:vAlign w:val="center"/>
          </w:tcPr>
          <w:p>
            <w:pPr>
              <w:spacing w:line="262" w:lineRule="auto"/>
            </w:pPr>
            <w:r/>
            <w:r>
              <w:rPr>
                <w:b w:val="0"/>
                <w:color w:val="182E49"/>
                <w:sz w:val="15"/>
              </w:rPr>
              <w:t>Unreconciled controlled document identity</w:t>
            </w:r>
          </w:p>
        </w:tc>
        <w:tc>
          <w:tcPr>
            <w:tcW w:type="dxa" w:w="3658"/>
            <w:vAlign w:val="center"/>
          </w:tcPr>
          <w:p>
            <w:pPr>
              <w:spacing w:line="262" w:lineRule="auto"/>
            </w:pPr>
            <w:r/>
            <w:r>
              <w:rPr>
                <w:b w:val="0"/>
                <w:color w:val="182E49"/>
                <w:sz w:val="15"/>
              </w:rPr>
              <w:t>Document control</w:t>
            </w:r>
          </w:p>
        </w:tc>
      </w:tr>
      <w:tr>
        <w:trPr>
          <w:cantSplit/>
        </w:trPr>
        <w:tc>
          <w:tcPr>
            <w:tcW w:type="dxa" w:w="1656"/>
            <w:vAlign w:val="center"/>
            <w:shd w:fill="F2F6F9"/>
          </w:tcPr>
          <w:p>
            <w:pPr>
              <w:spacing w:line="262" w:lineRule="auto"/>
            </w:pPr>
            <w:r/>
            <w:r>
              <w:rPr>
                <w:b w:val="0"/>
                <w:color w:val="182E49"/>
                <w:sz w:val="15"/>
              </w:rPr>
              <w:t>GAP-002</w:t>
            </w:r>
          </w:p>
        </w:tc>
        <w:tc>
          <w:tcPr>
            <w:tcW w:type="dxa" w:w="4680"/>
            <w:vAlign w:val="center"/>
            <w:shd w:fill="F2F6F9"/>
          </w:tcPr>
          <w:p>
            <w:pPr>
              <w:spacing w:line="262" w:lineRule="auto"/>
            </w:pPr>
            <w:r/>
            <w:r>
              <w:rPr>
                <w:b w:val="0"/>
                <w:color w:val="182E49"/>
                <w:sz w:val="15"/>
              </w:rPr>
              <w:t>Intended performance and risk file are not linked</w:t>
            </w:r>
          </w:p>
        </w:tc>
        <w:tc>
          <w:tcPr>
            <w:tcW w:type="dxa" w:w="3658"/>
            <w:vAlign w:val="center"/>
            <w:shd w:fill="F2F6F9"/>
          </w:tcPr>
          <w:p>
            <w:pPr>
              <w:spacing w:line="262" w:lineRule="auto"/>
            </w:pPr>
            <w:r/>
            <w:r>
              <w:rPr>
                <w:b w:val="0"/>
                <w:color w:val="182E49"/>
                <w:sz w:val="15"/>
              </w:rPr>
              <w:t>Design qualification / risk management</w:t>
            </w:r>
          </w:p>
        </w:tc>
      </w:tr>
      <w:tr>
        <w:trPr>
          <w:cantSplit/>
        </w:trPr>
        <w:tc>
          <w:tcPr>
            <w:tcW w:type="dxa" w:w="1656"/>
            <w:vAlign w:val="center"/>
          </w:tcPr>
          <w:p>
            <w:pPr>
              <w:spacing w:line="262" w:lineRule="auto"/>
            </w:pPr>
            <w:r/>
            <w:r>
              <w:rPr>
                <w:b w:val="0"/>
                <w:color w:val="182E49"/>
                <w:sz w:val="15"/>
              </w:rPr>
              <w:t>GAP-003</w:t>
            </w:r>
          </w:p>
        </w:tc>
        <w:tc>
          <w:tcPr>
            <w:tcW w:type="dxa" w:w="4680"/>
            <w:vAlign w:val="center"/>
          </w:tcPr>
          <w:p>
            <w:pPr>
              <w:spacing w:line="262" w:lineRule="auto"/>
            </w:pPr>
            <w:r/>
            <w:r>
              <w:rPr>
                <w:b w:val="0"/>
                <w:color w:val="182E49"/>
                <w:sz w:val="15"/>
              </w:rPr>
              <w:t>Biocompatibility evidence linkage absent</w:t>
            </w:r>
          </w:p>
        </w:tc>
        <w:tc>
          <w:tcPr>
            <w:tcW w:type="dxa" w:w="3658"/>
            <w:vAlign w:val="center"/>
          </w:tcPr>
          <w:p>
            <w:pPr>
              <w:spacing w:line="262" w:lineRule="auto"/>
            </w:pPr>
            <w:r/>
            <w:r>
              <w:rPr>
                <w:b w:val="0"/>
                <w:color w:val="182E49"/>
                <w:sz w:val="15"/>
              </w:rPr>
              <w:t>Biological evaluation / change control</w:t>
            </w:r>
          </w:p>
        </w:tc>
      </w:tr>
      <w:tr>
        <w:trPr>
          <w:cantSplit/>
        </w:trPr>
        <w:tc>
          <w:tcPr>
            <w:tcW w:type="dxa" w:w="1656"/>
            <w:vAlign w:val="center"/>
            <w:shd w:fill="F2F6F9"/>
          </w:tcPr>
          <w:p>
            <w:pPr>
              <w:spacing w:line="262" w:lineRule="auto"/>
            </w:pPr>
            <w:r/>
            <w:r>
              <w:rPr>
                <w:b w:val="0"/>
                <w:color w:val="182E49"/>
                <w:sz w:val="15"/>
              </w:rPr>
              <w:t>GAP-004</w:t>
            </w:r>
          </w:p>
        </w:tc>
        <w:tc>
          <w:tcPr>
            <w:tcW w:type="dxa" w:w="4680"/>
            <w:vAlign w:val="center"/>
            <w:shd w:fill="F2F6F9"/>
          </w:tcPr>
          <w:p>
            <w:pPr>
              <w:spacing w:line="262" w:lineRule="auto"/>
            </w:pPr>
            <w:r/>
            <w:r>
              <w:rPr>
                <w:b w:val="0"/>
                <w:color w:val="182E49"/>
                <w:sz w:val="15"/>
              </w:rPr>
              <w:t>Detectability status not governed by risk decision</w:t>
            </w:r>
          </w:p>
        </w:tc>
        <w:tc>
          <w:tcPr>
            <w:tcW w:type="dxa" w:w="3658"/>
            <w:vAlign w:val="center"/>
            <w:shd w:fill="F2F6F9"/>
          </w:tcPr>
          <w:p>
            <w:pPr>
              <w:spacing w:line="262" w:lineRule="auto"/>
            </w:pPr>
            <w:r/>
            <w:r>
              <w:rPr>
                <w:b w:val="0"/>
                <w:color w:val="182E49"/>
                <w:sz w:val="15"/>
              </w:rPr>
              <w:t>Design qualification / routine appearance check</w:t>
            </w:r>
          </w:p>
        </w:tc>
      </w:tr>
      <w:tr>
        <w:trPr>
          <w:cantSplit/>
        </w:trPr>
        <w:tc>
          <w:tcPr>
            <w:tcW w:type="dxa" w:w="1656"/>
            <w:vAlign w:val="center"/>
          </w:tcPr>
          <w:p>
            <w:pPr>
              <w:spacing w:line="262" w:lineRule="auto"/>
            </w:pPr>
            <w:r/>
            <w:r>
              <w:rPr>
                <w:b w:val="0"/>
                <w:color w:val="182E49"/>
                <w:sz w:val="15"/>
              </w:rPr>
              <w:t>GAP-005</w:t>
            </w:r>
          </w:p>
        </w:tc>
        <w:tc>
          <w:tcPr>
            <w:tcW w:type="dxa" w:w="4680"/>
            <w:vAlign w:val="center"/>
          </w:tcPr>
          <w:p>
            <w:pPr>
              <w:spacing w:line="262" w:lineRule="auto"/>
            </w:pPr>
            <w:r/>
            <w:r>
              <w:rPr>
                <w:b w:val="0"/>
                <w:color w:val="182E49"/>
                <w:sz w:val="15"/>
              </w:rPr>
              <w:t>Surface finish method does not reflect risk-based magnification</w:t>
            </w:r>
          </w:p>
        </w:tc>
        <w:tc>
          <w:tcPr>
            <w:tcW w:type="dxa" w:w="3658"/>
            <w:vAlign w:val="center"/>
          </w:tcPr>
          <w:p>
            <w:pPr>
              <w:spacing w:line="262" w:lineRule="auto"/>
            </w:pPr>
            <w:r/>
            <w:r>
              <w:rPr>
                <w:b w:val="0"/>
                <w:color w:val="182E49"/>
                <w:sz w:val="15"/>
              </w:rPr>
              <w:t>Routine in-process inspection</w:t>
            </w:r>
          </w:p>
        </w:tc>
      </w:tr>
      <w:tr>
        <w:trPr>
          <w:cantSplit/>
        </w:trPr>
        <w:tc>
          <w:tcPr>
            <w:tcW w:type="dxa" w:w="1656"/>
            <w:vAlign w:val="center"/>
            <w:shd w:fill="F2F6F9"/>
          </w:tcPr>
          <w:p>
            <w:pPr>
              <w:spacing w:line="262" w:lineRule="auto"/>
            </w:pPr>
            <w:r/>
            <w:r>
              <w:rPr>
                <w:b w:val="0"/>
                <w:color w:val="182E49"/>
                <w:sz w:val="15"/>
              </w:rPr>
              <w:t>GAP-006</w:t>
            </w:r>
          </w:p>
        </w:tc>
        <w:tc>
          <w:tcPr>
            <w:tcW w:type="dxa" w:w="4680"/>
            <w:vAlign w:val="center"/>
            <w:shd w:fill="F2F6F9"/>
          </w:tcPr>
          <w:p>
            <w:pPr>
              <w:spacing w:line="262" w:lineRule="auto"/>
            </w:pPr>
            <w:r/>
            <w:r>
              <w:rPr>
                <w:b w:val="0"/>
                <w:color w:val="182E49"/>
                <w:sz w:val="15"/>
              </w:rPr>
              <w:t>Catheter size designation and OD tolerances not controlled</w:t>
            </w:r>
          </w:p>
        </w:tc>
        <w:tc>
          <w:tcPr>
            <w:tcW w:type="dxa" w:w="3658"/>
            <w:vAlign w:val="center"/>
            <w:shd w:fill="F2F6F9"/>
          </w:tcPr>
          <w:p>
            <w:pPr>
              <w:spacing w:line="262" w:lineRule="auto"/>
            </w:pPr>
            <w:r/>
            <w:r>
              <w:rPr>
                <w:b w:val="0"/>
                <w:color w:val="182E49"/>
                <w:sz w:val="15"/>
              </w:rPr>
              <w:t>Routine in-process dimensional checking</w:t>
            </w:r>
          </w:p>
        </w:tc>
      </w:tr>
      <w:tr>
        <w:trPr>
          <w:cantSplit/>
        </w:trPr>
        <w:tc>
          <w:tcPr>
            <w:tcW w:type="dxa" w:w="1656"/>
            <w:vAlign w:val="center"/>
          </w:tcPr>
          <w:p>
            <w:pPr>
              <w:spacing w:line="262" w:lineRule="auto"/>
            </w:pPr>
            <w:r/>
            <w:r>
              <w:rPr>
                <w:b w:val="0"/>
                <w:color w:val="182E49"/>
                <w:sz w:val="15"/>
              </w:rPr>
              <w:t>GAP-007</w:t>
            </w:r>
          </w:p>
        </w:tc>
        <w:tc>
          <w:tcPr>
            <w:tcW w:type="dxa" w:w="4680"/>
            <w:vAlign w:val="center"/>
          </w:tcPr>
          <w:p>
            <w:pPr>
              <w:spacing w:line="262" w:lineRule="auto"/>
            </w:pPr>
            <w:r/>
            <w:r>
              <w:rPr>
                <w:b w:val="0"/>
                <w:color w:val="182E49"/>
                <w:sz w:val="15"/>
              </w:rPr>
              <w:t>Misconnection hazards lack verified risk review</w:t>
            </w:r>
          </w:p>
        </w:tc>
        <w:tc>
          <w:tcPr>
            <w:tcW w:type="dxa" w:w="3658"/>
            <w:vAlign w:val="center"/>
          </w:tcPr>
          <w:p>
            <w:pPr>
              <w:spacing w:line="262" w:lineRule="auto"/>
            </w:pPr>
            <w:r/>
            <w:r>
              <w:rPr>
                <w:b w:val="0"/>
                <w:color w:val="182E49"/>
                <w:sz w:val="15"/>
              </w:rPr>
              <w:t>Design risk qualification + routine component identity</w:t>
            </w:r>
          </w:p>
        </w:tc>
      </w:tr>
      <w:tr>
        <w:trPr>
          <w:cantSplit/>
        </w:trPr>
        <w:tc>
          <w:tcPr>
            <w:tcW w:type="dxa" w:w="1656"/>
            <w:vAlign w:val="center"/>
            <w:shd w:fill="F2F6F9"/>
          </w:tcPr>
          <w:p>
            <w:pPr>
              <w:spacing w:line="262" w:lineRule="auto"/>
            </w:pPr>
            <w:r/>
            <w:r>
              <w:rPr>
                <w:b w:val="0"/>
                <w:color w:val="182E49"/>
                <w:sz w:val="15"/>
              </w:rPr>
              <w:t>GAP-008</w:t>
            </w:r>
          </w:p>
        </w:tc>
        <w:tc>
          <w:tcPr>
            <w:tcW w:type="dxa" w:w="4680"/>
            <w:vAlign w:val="center"/>
            <w:shd w:fill="F2F6F9"/>
          </w:tcPr>
          <w:p>
            <w:pPr>
              <w:spacing w:line="262" w:lineRule="auto"/>
            </w:pPr>
            <w:r/>
            <w:r>
              <w:rPr>
                <w:b w:val="0"/>
                <w:color w:val="182E49"/>
                <w:sz w:val="15"/>
              </w:rPr>
              <w:t>Maximum vacuum deformation test not operationally defined</w:t>
            </w:r>
          </w:p>
        </w:tc>
        <w:tc>
          <w:tcPr>
            <w:tcW w:type="dxa" w:w="3658"/>
            <w:vAlign w:val="center"/>
            <w:shd w:fill="F2F6F9"/>
          </w:tcPr>
          <w:p>
            <w:pPr>
              <w:spacing w:line="262" w:lineRule="auto"/>
            </w:pPr>
            <w:r/>
            <w:r>
              <w:rPr>
                <w:b w:val="0"/>
                <w:color w:val="182E49"/>
                <w:sz w:val="15"/>
              </w:rPr>
              <w:t>Qualification / approved periodic plan</w:t>
            </w:r>
          </w:p>
        </w:tc>
      </w:tr>
      <w:tr>
        <w:trPr>
          <w:cantSplit/>
        </w:trPr>
        <w:tc>
          <w:tcPr>
            <w:tcW w:type="dxa" w:w="1656"/>
            <w:vAlign w:val="center"/>
          </w:tcPr>
          <w:p>
            <w:pPr>
              <w:spacing w:line="262" w:lineRule="auto"/>
            </w:pPr>
            <w:r/>
            <w:r>
              <w:rPr>
                <w:b w:val="0"/>
                <w:color w:val="182E49"/>
                <w:sz w:val="15"/>
              </w:rPr>
              <w:t>GAP-009</w:t>
            </w:r>
          </w:p>
        </w:tc>
        <w:tc>
          <w:tcPr>
            <w:tcW w:type="dxa" w:w="4680"/>
            <w:vAlign w:val="center"/>
          </w:tcPr>
          <w:p>
            <w:pPr>
              <w:spacing w:line="262" w:lineRule="auto"/>
            </w:pPr>
            <w:r/>
            <w:r>
              <w:rPr>
                <w:b w:val="0"/>
                <w:color w:val="182E49"/>
                <w:sz w:val="15"/>
              </w:rPr>
              <w:t>Corrosion Annex B procedure and evidence unspecified</w:t>
            </w:r>
          </w:p>
        </w:tc>
        <w:tc>
          <w:tcPr>
            <w:tcW w:type="dxa" w:w="3658"/>
            <w:vAlign w:val="center"/>
          </w:tcPr>
          <w:p>
            <w:pPr>
              <w:spacing w:line="262" w:lineRule="auto"/>
            </w:pPr>
            <w:r/>
            <w:r>
              <w:rPr>
                <w:b w:val="0"/>
                <w:color w:val="182E49"/>
                <w:sz w:val="15"/>
              </w:rPr>
              <w:t>Incoming inspection + qualification / supplier verification</w:t>
            </w:r>
          </w:p>
        </w:tc>
      </w:tr>
      <w:tr>
        <w:trPr>
          <w:cantSplit/>
        </w:trPr>
        <w:tc>
          <w:tcPr>
            <w:tcW w:type="dxa" w:w="1656"/>
            <w:vAlign w:val="center"/>
            <w:shd w:fill="F2F6F9"/>
          </w:tcPr>
          <w:p>
            <w:pPr>
              <w:spacing w:line="262" w:lineRule="auto"/>
            </w:pPr>
            <w:r/>
            <w:r>
              <w:rPr>
                <w:b w:val="0"/>
                <w:color w:val="182E49"/>
                <w:sz w:val="15"/>
              </w:rPr>
              <w:t>GAP-010</w:t>
            </w:r>
          </w:p>
        </w:tc>
        <w:tc>
          <w:tcPr>
            <w:tcW w:type="dxa" w:w="4680"/>
            <w:vAlign w:val="center"/>
            <w:shd w:fill="F2F6F9"/>
          </w:tcPr>
          <w:p>
            <w:pPr>
              <w:spacing w:line="262" w:lineRule="auto"/>
            </w:pPr>
            <w:r/>
            <w:r>
              <w:rPr>
                <w:b w:val="0"/>
                <w:color w:val="182E49"/>
                <w:sz w:val="15"/>
              </w:rPr>
              <w:t>External connector tensile limits absent</w:t>
            </w:r>
          </w:p>
        </w:tc>
        <w:tc>
          <w:tcPr>
            <w:tcW w:type="dxa" w:w="3658"/>
            <w:vAlign w:val="center"/>
            <w:shd w:fill="F2F6F9"/>
          </w:tcPr>
          <w:p>
            <w:pPr>
              <w:spacing w:line="262" w:lineRule="auto"/>
            </w:pPr>
            <w:r/>
            <w:r>
              <w:rPr>
                <w:b w:val="0"/>
                <w:color w:val="182E49"/>
                <w:sz w:val="15"/>
              </w:rPr>
              <w:t>Type qualification / periodic verification</w:t>
            </w:r>
          </w:p>
        </w:tc>
      </w:tr>
      <w:tr>
        <w:trPr>
          <w:cantSplit/>
        </w:trPr>
        <w:tc>
          <w:tcPr>
            <w:tcW w:type="dxa" w:w="1656"/>
            <w:vAlign w:val="center"/>
          </w:tcPr>
          <w:p>
            <w:pPr>
              <w:spacing w:line="262" w:lineRule="auto"/>
            </w:pPr>
            <w:r/>
            <w:r>
              <w:rPr>
                <w:b w:val="0"/>
                <w:color w:val="182E49"/>
                <w:sz w:val="15"/>
              </w:rPr>
              <w:t>GAP-011</w:t>
            </w:r>
          </w:p>
        </w:tc>
        <w:tc>
          <w:tcPr>
            <w:tcW w:type="dxa" w:w="4680"/>
            <w:vAlign w:val="center"/>
          </w:tcPr>
          <w:p>
            <w:pPr>
              <w:spacing w:line="262" w:lineRule="auto"/>
            </w:pPr>
            <w:r/>
            <w:r>
              <w:rPr>
                <w:b w:val="0"/>
                <w:color w:val="182E49"/>
                <w:sz w:val="15"/>
              </w:rPr>
              <w:t>Tube and bonded-junction tensile criteria missing</w:t>
            </w:r>
          </w:p>
        </w:tc>
        <w:tc>
          <w:tcPr>
            <w:tcW w:type="dxa" w:w="3658"/>
            <w:vAlign w:val="center"/>
          </w:tcPr>
          <w:p>
            <w:pPr>
              <w:spacing w:line="262" w:lineRule="auto"/>
            </w:pPr>
            <w:r/>
            <w:r>
              <w:rPr>
                <w:b w:val="0"/>
                <w:color w:val="182E49"/>
                <w:sz w:val="15"/>
              </w:rPr>
              <w:t>Qualification + approved periodic verification</w:t>
            </w:r>
          </w:p>
        </w:tc>
      </w:tr>
      <w:tr>
        <w:trPr>
          <w:cantSplit/>
        </w:trPr>
        <w:tc>
          <w:tcPr>
            <w:tcW w:type="dxa" w:w="1656"/>
            <w:vAlign w:val="center"/>
            <w:shd w:fill="F2F6F9"/>
          </w:tcPr>
          <w:p>
            <w:pPr>
              <w:spacing w:line="262" w:lineRule="auto"/>
            </w:pPr>
            <w:r/>
            <w:r>
              <w:rPr>
                <w:b w:val="0"/>
                <w:color w:val="182E49"/>
                <w:sz w:val="15"/>
              </w:rPr>
              <w:t>GAP-012</w:t>
            </w:r>
          </w:p>
        </w:tc>
        <w:tc>
          <w:tcPr>
            <w:tcW w:type="dxa" w:w="4680"/>
            <w:vAlign w:val="center"/>
            <w:shd w:fill="F2F6F9"/>
          </w:tcPr>
          <w:p>
            <w:pPr>
              <w:spacing w:line="262" w:lineRule="auto"/>
            </w:pPr>
            <w:r/>
            <w:r>
              <w:rPr>
                <w:b w:val="0"/>
                <w:color w:val="182E49"/>
                <w:sz w:val="15"/>
              </w:rPr>
              <w:t>Bellow collection-device impact performance not substantiated</w:t>
            </w:r>
          </w:p>
        </w:tc>
        <w:tc>
          <w:tcPr>
            <w:tcW w:type="dxa" w:w="3658"/>
            <w:vAlign w:val="center"/>
            <w:shd w:fill="F2F6F9"/>
          </w:tcPr>
          <w:p>
            <w:pPr>
              <w:spacing w:line="262" w:lineRule="auto"/>
            </w:pPr>
            <w:r/>
            <w:r>
              <w:rPr>
                <w:b w:val="0"/>
                <w:color w:val="182E49"/>
                <w:sz w:val="15"/>
              </w:rPr>
              <w:t>Type / qualification testing</w:t>
            </w:r>
          </w:p>
        </w:tc>
      </w:tr>
      <w:tr>
        <w:trPr>
          <w:cantSplit/>
        </w:trPr>
        <w:tc>
          <w:tcPr>
            <w:tcW w:type="dxa" w:w="1656"/>
            <w:vAlign w:val="center"/>
          </w:tcPr>
          <w:p>
            <w:pPr>
              <w:spacing w:line="262" w:lineRule="auto"/>
            </w:pPr>
            <w:r/>
            <w:r>
              <w:rPr>
                <w:b w:val="0"/>
                <w:color w:val="182E49"/>
                <w:sz w:val="15"/>
              </w:rPr>
              <w:t>GAP-013</w:t>
            </w:r>
          </w:p>
        </w:tc>
        <w:tc>
          <w:tcPr>
            <w:tcW w:type="dxa" w:w="4680"/>
            <w:vAlign w:val="center"/>
          </w:tcPr>
          <w:p>
            <w:pPr>
              <w:spacing w:line="262" w:lineRule="auto"/>
            </w:pPr>
            <w:r/>
            <w:r>
              <w:rPr>
                <w:b w:val="0"/>
                <w:color w:val="182E49"/>
                <w:sz w:val="15"/>
              </w:rPr>
              <w:t>Vacuum air-leak testing lacks ISO method and limits</w:t>
            </w:r>
          </w:p>
        </w:tc>
        <w:tc>
          <w:tcPr>
            <w:tcW w:type="dxa" w:w="3658"/>
            <w:vAlign w:val="center"/>
          </w:tcPr>
          <w:p>
            <w:pPr>
              <w:spacing w:line="262" w:lineRule="auto"/>
            </w:pPr>
            <w:r/>
            <w:r>
              <w:rPr>
                <w:b w:val="0"/>
                <w:color w:val="182E49"/>
                <w:sz w:val="15"/>
              </w:rPr>
              <w:t>Routine manual check + qualification/periodic Annex M</w:t>
            </w:r>
          </w:p>
        </w:tc>
      </w:tr>
      <w:tr>
        <w:trPr>
          <w:cantSplit/>
        </w:trPr>
        <w:tc>
          <w:tcPr>
            <w:tcW w:type="dxa" w:w="1656"/>
            <w:vAlign w:val="center"/>
            <w:shd w:fill="F2F6F9"/>
          </w:tcPr>
          <w:p>
            <w:pPr>
              <w:spacing w:line="262" w:lineRule="auto"/>
            </w:pPr>
            <w:r/>
            <w:r>
              <w:rPr>
                <w:b w:val="0"/>
                <w:color w:val="182E49"/>
                <w:sz w:val="15"/>
              </w:rPr>
              <w:t>GAP-014</w:t>
            </w:r>
          </w:p>
        </w:tc>
        <w:tc>
          <w:tcPr>
            <w:tcW w:type="dxa" w:w="4680"/>
            <w:vAlign w:val="center"/>
            <w:shd w:fill="F2F6F9"/>
          </w:tcPr>
          <w:p>
            <w:pPr>
              <w:spacing w:line="262" w:lineRule="auto"/>
            </w:pPr>
            <w:r/>
            <w:r>
              <w:rPr>
                <w:b w:val="0"/>
                <w:color w:val="182E49"/>
                <w:sz w:val="15"/>
              </w:rPr>
              <w:t>Claimed flow-rate verification is conditional but unmapped</w:t>
            </w:r>
          </w:p>
        </w:tc>
        <w:tc>
          <w:tcPr>
            <w:tcW w:type="dxa" w:w="3658"/>
            <w:vAlign w:val="center"/>
            <w:shd w:fill="F2F6F9"/>
          </w:tcPr>
          <w:p>
            <w:pPr>
              <w:spacing w:line="262" w:lineRule="auto"/>
            </w:pPr>
            <w:r/>
            <w:r>
              <w:rPr>
                <w:b w:val="0"/>
                <w:color w:val="182E49"/>
                <w:sz w:val="15"/>
              </w:rPr>
              <w:t>Conditional design qualification</w:t>
            </w:r>
          </w:p>
        </w:tc>
      </w:tr>
      <w:tr>
        <w:trPr>
          <w:cantSplit/>
        </w:trPr>
        <w:tc>
          <w:tcPr>
            <w:tcW w:type="dxa" w:w="1656"/>
            <w:vAlign w:val="center"/>
          </w:tcPr>
          <w:p>
            <w:pPr>
              <w:spacing w:line="262" w:lineRule="auto"/>
            </w:pPr>
            <w:r/>
            <w:r>
              <w:rPr>
                <w:b w:val="0"/>
                <w:color w:val="182E49"/>
                <w:sz w:val="15"/>
              </w:rPr>
              <w:t>GAP-015</w:t>
            </w:r>
          </w:p>
        </w:tc>
        <w:tc>
          <w:tcPr>
            <w:tcW w:type="dxa" w:w="4680"/>
            <w:vAlign w:val="center"/>
          </w:tcPr>
          <w:p>
            <w:pPr>
              <w:spacing w:line="262" w:lineRule="auto"/>
            </w:pPr>
            <w:r/>
            <w:r>
              <w:rPr>
                <w:b w:val="0"/>
                <w:color w:val="182E49"/>
                <w:sz w:val="15"/>
              </w:rPr>
              <w:t>Kink and retention requirements lack applicability decisions</w:t>
            </w:r>
          </w:p>
        </w:tc>
        <w:tc>
          <w:tcPr>
            <w:tcW w:type="dxa" w:w="3658"/>
            <w:vAlign w:val="center"/>
          </w:tcPr>
          <w:p>
            <w:pPr>
              <w:spacing w:line="262" w:lineRule="auto"/>
            </w:pPr>
            <w:r/>
            <w:r>
              <w:rPr>
                <w:b w:val="0"/>
                <w:color w:val="182E49"/>
                <w:sz w:val="15"/>
              </w:rPr>
              <w:t>Risk-based design qualification</w:t>
            </w:r>
          </w:p>
        </w:tc>
      </w:tr>
      <w:tr>
        <w:trPr>
          <w:cantSplit/>
        </w:trPr>
        <w:tc>
          <w:tcPr>
            <w:tcW w:type="dxa" w:w="1656"/>
            <w:vAlign w:val="center"/>
            <w:shd w:fill="F2F6F9"/>
          </w:tcPr>
          <w:p>
            <w:pPr>
              <w:spacing w:line="262" w:lineRule="auto"/>
            </w:pPr>
            <w:r/>
            <w:r>
              <w:rPr>
                <w:b w:val="0"/>
                <w:color w:val="182E49"/>
                <w:sz w:val="15"/>
              </w:rPr>
              <w:t>GAP-016</w:t>
            </w:r>
          </w:p>
        </w:tc>
        <w:tc>
          <w:tcPr>
            <w:tcW w:type="dxa" w:w="4680"/>
            <w:vAlign w:val="center"/>
            <w:shd w:fill="F2F6F9"/>
          </w:tcPr>
          <w:p>
            <w:pPr>
              <w:spacing w:line="262" w:lineRule="auto"/>
            </w:pPr>
            <w:r/>
            <w:r>
              <w:rPr>
                <w:b w:val="0"/>
                <w:color w:val="182E49"/>
                <w:sz w:val="15"/>
              </w:rPr>
              <w:t>Bellows collection capacity controlled as options, not measured limits</w:t>
            </w:r>
          </w:p>
        </w:tc>
        <w:tc>
          <w:tcPr>
            <w:tcW w:type="dxa" w:w="3658"/>
            <w:vAlign w:val="center"/>
            <w:shd w:fill="F2F6F9"/>
          </w:tcPr>
          <w:p>
            <w:pPr>
              <w:spacing w:line="262" w:lineRule="auto"/>
            </w:pPr>
            <w:r/>
            <w:r>
              <w:rPr>
                <w:b w:val="0"/>
                <w:color w:val="182E49"/>
                <w:sz w:val="15"/>
              </w:rPr>
              <w:t>Routine in-process approved sampling</w:t>
            </w:r>
          </w:p>
        </w:tc>
      </w:tr>
      <w:tr>
        <w:trPr>
          <w:cantSplit/>
        </w:trPr>
        <w:tc>
          <w:tcPr>
            <w:tcW w:type="dxa" w:w="1656"/>
            <w:vAlign w:val="center"/>
          </w:tcPr>
          <w:p>
            <w:pPr>
              <w:spacing w:line="262" w:lineRule="auto"/>
            </w:pPr>
            <w:r/>
            <w:r>
              <w:rPr>
                <w:b w:val="0"/>
                <w:color w:val="182E49"/>
                <w:sz w:val="15"/>
              </w:rPr>
              <w:t>GAP-017</w:t>
            </w:r>
          </w:p>
        </w:tc>
        <w:tc>
          <w:tcPr>
            <w:tcW w:type="dxa" w:w="4680"/>
            <w:vAlign w:val="center"/>
          </w:tcPr>
          <w:p>
            <w:pPr>
              <w:spacing w:line="262" w:lineRule="auto"/>
            </w:pPr>
            <w:r/>
            <w:r>
              <w:rPr>
                <w:b w:val="0"/>
                <w:color w:val="182E49"/>
                <w:sz w:val="15"/>
              </w:rPr>
              <w:t>Sterile-product validation release traceability incomplete</w:t>
            </w:r>
          </w:p>
        </w:tc>
        <w:tc>
          <w:tcPr>
            <w:tcW w:type="dxa" w:w="3658"/>
            <w:vAlign w:val="center"/>
          </w:tcPr>
          <w:p>
            <w:pPr>
              <w:spacing w:line="262" w:lineRule="auto"/>
            </w:pPr>
            <w:r/>
            <w:r>
              <w:rPr>
                <w:b w:val="0"/>
                <w:color w:val="182E49"/>
                <w:sz w:val="15"/>
              </w:rPr>
              <w:t>Validated process + each sterilization load release</w:t>
            </w:r>
          </w:p>
        </w:tc>
      </w:tr>
      <w:tr>
        <w:trPr>
          <w:cantSplit/>
        </w:trPr>
        <w:tc>
          <w:tcPr>
            <w:tcW w:type="dxa" w:w="1656"/>
            <w:vAlign w:val="center"/>
            <w:shd w:fill="F2F6F9"/>
          </w:tcPr>
          <w:p>
            <w:pPr>
              <w:spacing w:line="262" w:lineRule="auto"/>
            </w:pPr>
            <w:r/>
            <w:r>
              <w:rPr>
                <w:b w:val="0"/>
                <w:color w:val="182E49"/>
                <w:sz w:val="15"/>
              </w:rPr>
              <w:t>GAP-018</w:t>
            </w:r>
          </w:p>
        </w:tc>
        <w:tc>
          <w:tcPr>
            <w:tcW w:type="dxa" w:w="4680"/>
            <w:vAlign w:val="center"/>
            <w:shd w:fill="F2F6F9"/>
          </w:tcPr>
          <w:p>
            <w:pPr>
              <w:spacing w:line="262" w:lineRule="auto"/>
            </w:pPr>
            <w:r/>
            <w:r>
              <w:rPr>
                <w:b w:val="0"/>
                <w:color w:val="182E49"/>
                <w:sz w:val="15"/>
              </w:rPr>
              <w:t>Device/package marking details not fully traceable</w:t>
            </w:r>
          </w:p>
        </w:tc>
        <w:tc>
          <w:tcPr>
            <w:tcW w:type="dxa" w:w="3658"/>
            <w:vAlign w:val="center"/>
            <w:shd w:fill="F2F6F9"/>
          </w:tcPr>
          <w:p>
            <w:pPr>
              <w:spacing w:line="262" w:lineRule="auto"/>
            </w:pPr>
            <w:r/>
            <w:r>
              <w:rPr>
                <w:b w:val="0"/>
                <w:color w:val="182E49"/>
                <w:sz w:val="15"/>
              </w:rPr>
              <w:t>Packaging inspection + design evidence</w:t>
            </w:r>
          </w:p>
        </w:tc>
      </w:tr>
      <w:tr>
        <w:trPr>
          <w:cantSplit/>
        </w:trPr>
        <w:tc>
          <w:tcPr>
            <w:tcW w:type="dxa" w:w="1656"/>
            <w:vAlign w:val="center"/>
          </w:tcPr>
          <w:p>
            <w:pPr>
              <w:spacing w:line="262" w:lineRule="auto"/>
            </w:pPr>
            <w:r/>
            <w:r>
              <w:rPr>
                <w:b w:val="0"/>
                <w:color w:val="182E49"/>
                <w:sz w:val="15"/>
              </w:rPr>
              <w:t>GAP-019</w:t>
            </w:r>
          </w:p>
        </w:tc>
        <w:tc>
          <w:tcPr>
            <w:tcW w:type="dxa" w:w="4680"/>
            <w:vAlign w:val="center"/>
          </w:tcPr>
          <w:p>
            <w:pPr>
              <w:spacing w:line="262" w:lineRule="auto"/>
            </w:pPr>
            <w:r/>
            <w:r>
              <w:rPr>
                <w:b w:val="0"/>
                <w:color w:val="182E49"/>
                <w:sz w:val="15"/>
              </w:rPr>
              <w:t>IFU mandatory content verification not referenced</w:t>
            </w:r>
          </w:p>
        </w:tc>
        <w:tc>
          <w:tcPr>
            <w:tcW w:type="dxa" w:w="3658"/>
            <w:vAlign w:val="center"/>
          </w:tcPr>
          <w:p>
            <w:pPr>
              <w:spacing w:line="262" w:lineRule="auto"/>
            </w:pPr>
            <w:r/>
            <w:r>
              <w:rPr>
                <w:b w:val="0"/>
                <w:color w:val="182E49"/>
                <w:sz w:val="15"/>
              </w:rPr>
              <w:t>Document design verification / artwork review</w:t>
            </w:r>
          </w:p>
        </w:tc>
      </w:tr>
      <w:tr>
        <w:trPr>
          <w:cantSplit/>
        </w:trPr>
        <w:tc>
          <w:tcPr>
            <w:tcW w:type="dxa" w:w="1656"/>
            <w:vAlign w:val="center"/>
            <w:shd w:fill="F2F6F9"/>
          </w:tcPr>
          <w:p>
            <w:pPr>
              <w:spacing w:line="262" w:lineRule="auto"/>
            </w:pPr>
            <w:r/>
            <w:r>
              <w:rPr>
                <w:b w:val="0"/>
                <w:color w:val="182E49"/>
                <w:sz w:val="15"/>
              </w:rPr>
              <w:t>GAP-020</w:t>
            </w:r>
          </w:p>
        </w:tc>
        <w:tc>
          <w:tcPr>
            <w:tcW w:type="dxa" w:w="4680"/>
            <w:vAlign w:val="center"/>
            <w:shd w:fill="F2F6F9"/>
          </w:tcPr>
          <w:p>
            <w:pPr>
              <w:spacing w:line="262" w:lineRule="auto"/>
            </w:pPr>
            <w:r/>
            <w:r>
              <w:rPr>
                <w:b w:val="0"/>
                <w:color w:val="182E49"/>
                <w:sz w:val="15"/>
              </w:rPr>
              <w:t>In-process results are not uniquely quantified or traceable</w:t>
            </w:r>
          </w:p>
        </w:tc>
        <w:tc>
          <w:tcPr>
            <w:tcW w:type="dxa" w:w="3658"/>
            <w:vAlign w:val="center"/>
            <w:shd w:fill="F2F6F9"/>
          </w:tcPr>
          <w:p>
            <w:pPr>
              <w:spacing w:line="262" w:lineRule="auto"/>
            </w:pPr>
            <w:r/>
            <w:r>
              <w:rPr>
                <w:b w:val="0"/>
                <w:color w:val="182E49"/>
                <w:sz w:val="15"/>
              </w:rPr>
              <w:t>Routine in-process control</w:t>
            </w:r>
          </w:p>
        </w:tc>
      </w:tr>
      <w:tr>
        <w:trPr>
          <w:cantSplit/>
        </w:trPr>
        <w:tc>
          <w:tcPr>
            <w:tcW w:type="dxa" w:w="1656"/>
            <w:vAlign w:val="center"/>
          </w:tcPr>
          <w:p>
            <w:pPr>
              <w:spacing w:line="262" w:lineRule="auto"/>
            </w:pPr>
            <w:r/>
            <w:r>
              <w:rPr>
                <w:b w:val="0"/>
                <w:color w:val="182E49"/>
                <w:sz w:val="15"/>
              </w:rPr>
              <w:t>GAP-021</w:t>
            </w:r>
          </w:p>
        </w:tc>
        <w:tc>
          <w:tcPr>
            <w:tcW w:type="dxa" w:w="4680"/>
            <w:vAlign w:val="center"/>
          </w:tcPr>
          <w:p>
            <w:pPr>
              <w:spacing w:line="262" w:lineRule="auto"/>
            </w:pPr>
            <w:r/>
            <w:r>
              <w:rPr>
                <w:b w:val="0"/>
                <w:color w:val="182E49"/>
                <w:sz w:val="15"/>
              </w:rPr>
              <w:t>Multi-channel table dimensions and revision are ambiguous</w:t>
            </w:r>
          </w:p>
        </w:tc>
        <w:tc>
          <w:tcPr>
            <w:tcW w:type="dxa" w:w="3658"/>
            <w:vAlign w:val="center"/>
          </w:tcPr>
          <w:p>
            <w:pPr>
              <w:spacing w:line="262" w:lineRule="auto"/>
            </w:pPr>
            <w:r/>
            <w:r>
              <w:rPr>
                <w:b w:val="0"/>
                <w:color w:val="182E49"/>
                <w:sz w:val="15"/>
              </w:rPr>
              <w:t>Routine extrusion in-process checks</w:t>
            </w:r>
          </w:p>
        </w:tc>
      </w:tr>
      <w:tr>
        <w:trPr>
          <w:cantSplit/>
        </w:trPr>
        <w:tc>
          <w:tcPr>
            <w:tcW w:type="dxa" w:w="1656"/>
            <w:vAlign w:val="center"/>
            <w:shd w:fill="F2F6F9"/>
          </w:tcPr>
          <w:p>
            <w:pPr>
              <w:spacing w:line="262" w:lineRule="auto"/>
            </w:pPr>
            <w:r/>
            <w:r>
              <w:rPr>
                <w:b w:val="0"/>
                <w:color w:val="182E49"/>
                <w:sz w:val="15"/>
              </w:rPr>
              <w:t>GAP-022</w:t>
            </w:r>
          </w:p>
        </w:tc>
        <w:tc>
          <w:tcPr>
            <w:tcW w:type="dxa" w:w="4680"/>
            <w:vAlign w:val="center"/>
            <w:shd w:fill="F2F6F9"/>
          </w:tcPr>
          <w:p>
            <w:pPr>
              <w:spacing w:line="262" w:lineRule="auto"/>
            </w:pPr>
            <w:r/>
            <w:r>
              <w:rPr>
                <w:b w:val="0"/>
                <w:color w:val="182E49"/>
                <w:sz w:val="15"/>
              </w:rPr>
              <w:t>Vacuum stability and rated pressure claim mapping missing</w:t>
            </w:r>
          </w:p>
        </w:tc>
        <w:tc>
          <w:tcPr>
            <w:tcW w:type="dxa" w:w="3658"/>
            <w:vAlign w:val="center"/>
            <w:shd w:fill="F2F6F9"/>
          </w:tcPr>
          <w:p>
            <w:pPr>
              <w:spacing w:line="262" w:lineRule="auto"/>
            </w:pPr>
            <w:r/>
            <w:r>
              <w:rPr>
                <w:b w:val="0"/>
                <w:color w:val="182E49"/>
                <w:sz w:val="15"/>
              </w:rPr>
              <w:t>Design qualification / shelf-life validation</w:t>
            </w:r>
          </w:p>
        </w:tc>
      </w:tr>
      <w:tr>
        <w:trPr>
          <w:cantSplit/>
        </w:trPr>
        <w:tc>
          <w:tcPr>
            <w:tcW w:type="dxa" w:w="1656"/>
            <w:vAlign w:val="center"/>
          </w:tcPr>
          <w:p>
            <w:pPr>
              <w:spacing w:line="262" w:lineRule="auto"/>
            </w:pPr>
            <w:r/>
            <w:r>
              <w:rPr>
                <w:b w:val="0"/>
                <w:color w:val="182E49"/>
                <w:sz w:val="15"/>
              </w:rPr>
              <w:t>GAP-023</w:t>
            </w:r>
          </w:p>
        </w:tc>
        <w:tc>
          <w:tcPr>
            <w:tcW w:type="dxa" w:w="4680"/>
            <w:vAlign w:val="center"/>
          </w:tcPr>
          <w:p>
            <w:pPr>
              <w:spacing w:line="262" w:lineRule="auto"/>
            </w:pPr>
            <w:r/>
            <w:r>
              <w:rPr>
                <w:b w:val="0"/>
                <w:color w:val="182E49"/>
                <w:sz w:val="15"/>
              </w:rPr>
              <w:t>MRI-risk applicability has not been documented</w:t>
            </w:r>
          </w:p>
        </w:tc>
        <w:tc>
          <w:tcPr>
            <w:tcW w:type="dxa" w:w="3658"/>
            <w:vAlign w:val="center"/>
          </w:tcPr>
          <w:p>
            <w:pPr>
              <w:spacing w:line="262" w:lineRule="auto"/>
            </w:pPr>
            <w:r/>
            <w:r>
              <w:rPr>
                <w:b w:val="0"/>
                <w:color w:val="182E49"/>
                <w:sz w:val="15"/>
              </w:rPr>
              <w:t>Risk-based design review</w:t>
            </w:r>
          </w:p>
        </w:tc>
      </w:tr>
    </w:tbl>
    <w:p>
      <w:pPr>
        <w:pStyle w:val="Heading1"/>
      </w:pPr>
      <w:r>
        <w:t>Approval &amp; Technical Input Register</w:t>
      </w:r>
    </w:p>
    <w:p>
      <w:pPr>
        <w:pStyle w:val="ListBullet"/>
      </w:pPr>
      <w:r>
        <w:t>Approve correct WI revision and controlled references / form revision identities (GAP-001).</w:t>
      </w:r>
    </w:p>
    <w:p>
      <w:pPr>
        <w:pStyle w:val="ListBullet"/>
      </w:pPr>
      <w:r>
        <w:t>Approve SKU-specific dimensions, tolerances, OD/ID mapping and capacity tolerances (GAP-006/016/021).</w:t>
      </w:r>
    </w:p>
    <w:p>
      <w:pPr>
        <w:pStyle w:val="ListBullet"/>
      </w:pPr>
      <w:r>
        <w:t>Approve maximum negative pressure, clinical kink criteria, and any sub-2 mm minimum force (GAP-008/010/011/013/015/022).</w:t>
      </w:r>
    </w:p>
    <w:p>
      <w:pPr>
        <w:pStyle w:val="ListBullet"/>
      </w:pPr>
      <w:r>
        <w:t>Approve sampling levels, AQL, inspection frequency, adhesive/cure parameters, instrument method and record retention.</w:t>
      </w:r>
    </w:p>
    <w:p>
      <w:pPr>
        <w:pStyle w:val="ListBullet"/>
      </w:pPr>
      <w:r>
        <w:t>Confirm product-design scope: retention balloon? MRI exposure? flow-rate claims? pre-evacuated bellows? detectability obligation?</w:t>
      </w:r>
    </w:p>
    <w:p>
      <w:pPr>
        <w:pStyle w:val="ListBullet"/>
      </w:pPr>
      <w:r>
        <w:t>Approve applicable completed test/validation documentation and revised forms before operational use.</w:t>
      </w:r>
    </w:p>
    <w:sectPr w:rsidR="00FC693F" w:rsidRPr="0006063C" w:rsidSect="00034616">
      <w:headerReference w:type="default" r:id="rId9"/>
      <w:footerReference w:type="default" r:id="rId10"/>
      <w:pgSz w:w="11909" w:h="16834"/>
      <w:pgMar w:top="950" w:right="922" w:bottom="979"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TECHNICAL REVIEW DRAFT  •  NOT AN APPROVED CONTROLLED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7D89"/>
      </w:rPr>
      <w:t>SAUDI MAIS  /  QUALITY CONTROL  /  DOCUMENT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82E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2E4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82E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E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