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200" w:line="264" w:lineRule="auto"/>
      </w:pPr>
      <w:r>
        <w:rPr>
          <w:rFonts w:ascii="Aptos" w:hAnsi="Aptos"/>
          <w:b/>
          <w:color w:val="0F958E"/>
          <w:sz w:val="20"/>
        </w:rPr>
        <w:t>PROCESS AUTOMATION  /  PROPOSAL FOR MANAGEMENT APPROVAL</w:t>
      </w:r>
    </w:p>
    <w:p>
      <w:pPr>
        <w:spacing w:after="240" w:before="0" w:line="264" w:lineRule="auto"/>
      </w:pPr>
      <w:r>
        <w:rPr>
          <w:rFonts w:ascii="Aptos" w:hAnsi="Aptos"/>
          <w:b/>
          <w:color w:val="102B45"/>
          <w:sz w:val="68"/>
        </w:rPr>
        <w:t>Conditional Rejection</w:t>
        <w:br/>
        <w:t>Approval Workflow</w:t>
      </w:r>
    </w:p>
    <w:p>
      <w:pPr>
        <w:spacing w:after="380" w:before="0" w:line="264" w:lineRule="auto"/>
      </w:pPr>
      <w:r>
        <w:rPr>
          <w:rFonts w:ascii="Aptos" w:hAnsi="Aptos"/>
          <w:b w:val="0"/>
          <w:color w:val="354D5E"/>
          <w:sz w:val="28"/>
        </w:rPr>
        <w:t>A targeted enhancement to the existing FOCUS Rejection Request process, using product-level historical reject data to initiate the required approval workflow automatically.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0"/>
        <w:gridCol w:w="4930"/>
        <w:gridCol w:w="4930"/>
      </w:tblGrid>
      <w:tr>
        <w:trPr>
          <w:cantSplit/>
        </w:trPr>
        <w:tc>
          <w:tcPr>
            <w:tcW w:type="dxa" w:w="4930"/>
            <w:shd w:fill="F7FAFC"/>
            <w:tcMar>
              <w:top w:w="190" w:type="dxa"/>
              <w:start w:w="190" w:type="dxa"/>
              <w:bottom w:w="190" w:type="dxa"/>
              <w:end w:w="150" w:type="dxa"/>
            </w:tcMar>
            <w:tcBorders>
              <w:bottom w:val="single" w:sz="8" w:color="DCE5EC"/>
            </w:tcBorders>
          </w:tcPr>
          <w:p>
            <w:r>
              <w:rPr>
                <w:rFonts w:ascii="Aptos" w:hAnsi="Aptos"/>
                <w:b/>
                <w:color w:val="567085"/>
                <w:sz w:val="17"/>
              </w:rPr>
              <w:t>CURRENT REJECT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color w:val="A63C36"/>
                <w:sz w:val="46"/>
              </w:rPr>
              <w:t>10.00%</w:t>
            </w:r>
          </w:p>
          <w:p>
            <w:r>
              <w:rPr>
                <w:rFonts w:ascii="Aptos" w:hAnsi="Aptos"/>
                <w:b w:val="0"/>
                <w:color w:val="567085"/>
                <w:sz w:val="16"/>
              </w:rPr>
              <w:t>100 rejected / 1,000 produced</w:t>
            </w:r>
          </w:p>
        </w:tc>
        <w:tc>
          <w:tcPr>
            <w:tcW w:type="dxa" w:w="4930"/>
            <w:shd w:fill="F7FAFC"/>
            <w:tcMar>
              <w:top w:w="190" w:type="dxa"/>
              <w:start w:w="190" w:type="dxa"/>
              <w:bottom w:w="190" w:type="dxa"/>
              <w:end w:w="150" w:type="dxa"/>
            </w:tcMar>
            <w:tcBorders>
              <w:bottom w:val="single" w:sz="8" w:color="DCE5EC"/>
            </w:tcBorders>
          </w:tcPr>
          <w:p>
            <w:r>
              <w:rPr>
                <w:rFonts w:ascii="Aptos" w:hAnsi="Aptos"/>
                <w:b/>
                <w:color w:val="567085"/>
                <w:sz w:val="17"/>
              </w:rPr>
              <w:t>HISTORICAL REFERENCE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color w:val="2A668C"/>
                <w:sz w:val="46"/>
              </w:rPr>
              <w:t>5.44%</w:t>
            </w:r>
          </w:p>
          <w:p>
            <w:r>
              <w:rPr>
                <w:rFonts w:ascii="Aptos" w:hAnsi="Aptos"/>
                <w:b w:val="0"/>
                <w:color w:val="567085"/>
                <w:sz w:val="16"/>
              </w:rPr>
              <w:t>Illustrative product baseline</w:t>
            </w:r>
          </w:p>
        </w:tc>
        <w:tc>
          <w:tcPr>
            <w:tcW w:type="dxa" w:w="4930"/>
            <w:shd w:fill="F7FAFC"/>
            <w:tcMar>
              <w:top w:w="190" w:type="dxa"/>
              <w:start w:w="190" w:type="dxa"/>
              <w:bottom w:w="190" w:type="dxa"/>
              <w:end w:w="150" w:type="dxa"/>
            </w:tcMar>
            <w:tcBorders>
              <w:bottom w:val="single" w:sz="8" w:color="DCE5EC"/>
            </w:tcBorders>
          </w:tcPr>
          <w:p>
            <w:r>
              <w:rPr>
                <w:rFonts w:ascii="Aptos" w:hAnsi="Aptos"/>
                <w:b/>
                <w:color w:val="567085"/>
                <w:sz w:val="17"/>
              </w:rPr>
              <w:t>DIFFERENCE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color w:val="0F958E"/>
                <w:sz w:val="46"/>
              </w:rPr>
              <w:t>+4.56 pp</w:t>
            </w:r>
          </w:p>
          <w:p>
            <w:r>
              <w:rPr>
                <w:rFonts w:ascii="Aptos" w:hAnsi="Aptos"/>
                <w:b w:val="0"/>
                <w:color w:val="567085"/>
                <w:sz w:val="16"/>
              </w:rPr>
              <w:t>Approval condition is met</w:t>
            </w:r>
          </w:p>
        </w:tc>
      </w:tr>
    </w:tbl>
    <w:p>
      <w:pPr>
        <w:spacing w:after="40" w:before="0" w:line="264" w:lineRule="auto"/>
      </w:pPr>
      <w:r>
        <w:rPr>
          <w:rFonts w:ascii="Aptos" w:hAnsi="Aptos"/>
          <w:b w:val="0"/>
          <w:color w:val="354D5E"/>
          <w:sz w:val="6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14544"/>
      </w:tblGrid>
      <w:tr>
        <w:trPr>
          <w:cantSplit/>
        </w:trPr>
        <w:tc>
          <w:tcPr>
            <w:tcW w:type="dxa" w:w="7395"/>
            <w:shd w:fill="0F958E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7395"/>
            <w:shd w:fill="EFF4F7"/>
            <w:tcMar>
              <w:top w:w="140" w:type="dxa"/>
              <w:start w:w="210" w:type="dxa"/>
              <w:bottom w:w="140" w:type="dxa"/>
              <w:end w:w="19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102B45"/>
                <w:sz w:val="20"/>
              </w:rPr>
              <w:t>THE REQUEST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354D5E"/>
                <w:sz w:val="22"/>
              </w:rPr>
              <w:t>Once a submitted reject record exceeds the product-specific, approved reject-rate trigger, FOCUS should automatically create and route a Workflow Approval Request to the authorized approvers. No additional review or escalation stage is requested.</w:t>
            </w:r>
          </w:p>
        </w:tc>
      </w:tr>
    </w:tbl>
    <w:p>
      <w:pPr>
        <w:spacing w:after="0" w:before="0" w:line="264" w:lineRule="auto"/>
      </w:pPr>
      <w:r>
        <w:rPr>
          <w:rFonts w:ascii="Aptos" w:hAnsi="Aptos"/>
          <w:b w:val="0"/>
          <w:color w:val="354D5E"/>
          <w:sz w:val="4"/>
        </w:rPr>
      </w:r>
    </w:p>
    <w:p>
      <w:pPr>
        <w:spacing w:after="100" w:before="240" w:line="264" w:lineRule="auto"/>
      </w:pPr>
      <w:r>
        <w:rPr>
          <w:rFonts w:ascii="Aptos" w:hAnsi="Aptos"/>
          <w:b/>
          <w:color w:val="0F958E"/>
          <w:sz w:val="20"/>
        </w:rPr>
        <w:t>SCOPE OF THIS PROPOSAL</w:t>
      </w:r>
    </w:p>
    <w:p>
      <w:pPr>
        <w:spacing w:after="180" w:before="0" w:line="264" w:lineRule="auto"/>
      </w:pPr>
      <w:r>
        <w:rPr>
          <w:rFonts w:ascii="Aptos" w:hAnsi="Aptos"/>
          <w:b w:val="0"/>
          <w:color w:val="354D5E"/>
          <w:sz w:val="22"/>
        </w:rPr>
        <w:t>Reuse the existing FOCUS authorization sequence. Add an approved, product-level threshold calculation and automatic workflow initiation only when that threshold is exceeded.</w:t>
      </w:r>
    </w:p>
    <w:p>
      <w:pPr>
        <w:spacing w:after="0" w:before="200" w:line="264" w:lineRule="auto"/>
      </w:pPr>
      <w:r>
        <w:rPr>
          <w:rFonts w:ascii="Aptos" w:hAnsi="Aptos"/>
          <w:b w:val="0"/>
          <w:color w:val="567085"/>
          <w:sz w:val="16"/>
        </w:rPr>
        <w:t>Prepared from the supplied four-page procedure and five original system screenshots. All screenshots are reproduced without alteration. Figures, thresholds and future behavior are identified as examples or proposed requirements.</w:t>
      </w:r>
    </w:p>
    <w:p>
      <w:pPr>
        <w:pageBreakBefore/>
        <w:spacing w:after="80" w:before="0" w:line="264" w:lineRule="auto"/>
      </w:pPr>
      <w:r>
        <w:rPr>
          <w:rFonts w:ascii="Aptos" w:hAnsi="Aptos"/>
          <w:b/>
          <w:color w:val="0F958E"/>
          <w:sz w:val="18"/>
        </w:rPr>
        <w:t>01  /  EXECUTIVE BRIEF</w:t>
      </w:r>
    </w:p>
    <w:p>
      <w:pPr>
        <w:spacing w:after="180" w:before="0" w:line="264" w:lineRule="auto"/>
      </w:pPr>
      <w:r>
        <w:rPr>
          <w:rFonts w:ascii="Aptos" w:hAnsi="Aptos"/>
          <w:b/>
          <w:color w:val="102B45"/>
          <w:sz w:val="46"/>
        </w:rPr>
        <w:t>Management decision 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688"/>
      </w:tblGrid>
      <w:tr>
        <w:trPr>
          <w:cantSplit/>
        </w:trPr>
        <w:tc>
          <w:tcPr>
            <w:tcW w:type="dxa" w:w="14790"/>
            <w:shd w:fill="0F958E"/>
            <w:tcMar>
              <w:top w:w="0" w:type="dxa"/>
              <w:start w:w="140" w:type="dxa"/>
              <w:bottom w:w="0" w:type="dxa"/>
              <w:end w:w="14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0F958E"/>
                <w:sz w:val="2"/>
              </w:rPr>
              <w:t xml:space="preserve"> </w:t>
            </w:r>
          </w:p>
        </w:tc>
      </w:tr>
    </w:tbl>
    <w:p>
      <w:pPr>
        <w:spacing w:after="20" w:before="0" w:line="264" w:lineRule="auto"/>
      </w:pPr>
      <w:r>
        <w:rPr>
          <w:rFonts w:ascii="Aptos" w:hAnsi="Aptos"/>
          <w:b w:val="0"/>
          <w:color w:val="354D5E"/>
          <w:sz w:val="4"/>
        </w:rPr>
      </w:r>
    </w:p>
    <w:p>
      <w:pPr>
        <w:spacing w:after="240" w:before="0" w:line="264" w:lineRule="auto"/>
      </w:pPr>
      <w:r>
        <w:rPr>
          <w:rFonts w:ascii="Aptos" w:hAnsi="Aptos"/>
          <w:b w:val="0"/>
          <w:color w:val="354D5E"/>
          <w:sz w:val="24"/>
        </w:rPr>
        <w:t>The process does not need a separate escalation module. It needs a controlled decision rule that calls the existing approval workflow only when the submitted reject percentage exceeds the approved product-specific limit.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95"/>
        <w:gridCol w:w="7395"/>
      </w:tblGrid>
      <w:tr>
        <w:trPr>
          <w:cantSplit/>
        </w:trPr>
        <w:tc>
          <w:tcPr>
            <w:tcW w:type="dxa" w:w="7395"/>
            <w:shd w:fill="EFF4F7"/>
            <w:tcMar>
              <w:top w:w="190" w:type="dxa"/>
              <w:start w:w="200" w:type="dxa"/>
              <w:bottom w:w="180" w:type="dxa"/>
              <w:end w:w="170" w:type="dxa"/>
            </w:tcMar>
          </w:tcPr>
          <w:p>
            <w:r>
              <w:rPr>
                <w:rFonts w:ascii="Aptos" w:hAnsi="Aptos"/>
                <w:b/>
                <w:color w:val="102B45"/>
                <w:sz w:val="22"/>
              </w:rPr>
              <w:t>CURRENT PROCESS — EVIDENCED</w:t>
            </w:r>
          </w:p>
          <w:p>
            <w:pPr>
              <w:spacing w:before="100"/>
            </w:pPr>
            <w:r>
              <w:rPr>
                <w:rFonts w:ascii="Aptos" w:hAnsi="Aptos"/>
                <w:b w:val="0"/>
                <w:color w:val="354D5E"/>
                <w:sz w:val="19"/>
              </w:rPr>
              <w:t>A user opens a FOCUS Rejection Request, enters the item and rejected quantity, saves the record, and the existing authorization process can notify approvers. An approved request is shown in the information sidebar.</w:t>
            </w:r>
          </w:p>
        </w:tc>
        <w:tc>
          <w:tcPr>
            <w:tcW w:type="dxa" w:w="7395"/>
            <w:shd w:fill="E7F4F3"/>
            <w:tcMar>
              <w:top w:w="190" w:type="dxa"/>
              <w:start w:w="200" w:type="dxa"/>
              <w:bottom w:w="180" w:type="dxa"/>
              <w:end w:w="170" w:type="dxa"/>
            </w:tcMar>
          </w:tcPr>
          <w:p>
            <w:r>
              <w:rPr>
                <w:rFonts w:ascii="Aptos" w:hAnsi="Aptos"/>
                <w:b/>
                <w:color w:val="102B45"/>
                <w:sz w:val="22"/>
              </w:rPr>
              <w:t>PROPOSED ENHANCEMENT — NOT YET EVIDENCED</w:t>
            </w:r>
          </w:p>
          <w:p>
            <w:pPr>
              <w:spacing w:before="100"/>
            </w:pPr>
            <w:r>
              <w:rPr>
                <w:rFonts w:ascii="Aptos" w:hAnsi="Aptos"/>
                <w:b w:val="0"/>
                <w:color w:val="354D5E"/>
                <w:sz w:val="19"/>
              </w:rPr>
              <w:t>Capture or retrieve total production quantity and Lot; compare reject % with an approved, version-controlled baseline from historical data; automatically initiate and link the relevant approval route if the condition is met.</w:t>
            </w:r>
          </w:p>
        </w:tc>
      </w:tr>
    </w:tbl>
    <w:p>
      <w:pPr>
        <w:spacing w:after="0" w:before="0" w:line="264" w:lineRule="auto"/>
      </w:pPr>
      <w:r>
        <w:rPr>
          <w:rFonts w:ascii="Aptos" w:hAnsi="Aptos"/>
          <w:b w:val="0"/>
          <w:color w:val="354D5E"/>
          <w:sz w:val="4"/>
        </w:rPr>
      </w:r>
    </w:p>
    <w:p>
      <w:pPr>
        <w:spacing w:after="100" w:before="220" w:line="264" w:lineRule="auto"/>
      </w:pPr>
      <w:r>
        <w:rPr>
          <w:rFonts w:ascii="Aptos" w:hAnsi="Aptos"/>
          <w:b/>
          <w:color w:val="0F958E"/>
          <w:sz w:val="20"/>
        </w:rPr>
        <w:t>Illustrative approval trigger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04"/>
        <w:gridCol w:w="4176"/>
        <w:gridCol w:w="2736"/>
        <w:gridCol w:w="3672"/>
      </w:tblGrid>
      <w:tr>
        <w:trPr>
          <w:cantSplit/>
        </w:trPr>
        <w:tc>
          <w:tcPr>
            <w:tcW w:type="dxa" w:w="3697"/>
            <w:shd w:fill="102B4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PRODUCT / LOT</w:t>
            </w:r>
          </w:p>
        </w:tc>
        <w:tc>
          <w:tcPr>
            <w:tcW w:type="dxa" w:w="3697"/>
            <w:shd w:fill="102B4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CALCULATION</w:t>
            </w:r>
          </w:p>
        </w:tc>
        <w:tc>
          <w:tcPr>
            <w:tcW w:type="dxa" w:w="3697"/>
            <w:shd w:fill="102B4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3697"/>
            <w:shd w:fill="102B4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</w:tr>
      <w:tr>
        <w:trPr>
          <w:cantSplit/>
        </w:trPr>
        <w:tc>
          <w:tcPr>
            <w:tcW w:type="dxa" w:w="4104"/>
            <w:shd w:fill="F7FAFC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8"/>
              </w:rPr>
              <w:t>BU-340-1000 Mask  /  20181107</w:t>
            </w:r>
          </w:p>
        </w:tc>
        <w:tc>
          <w:tcPr>
            <w:tcW w:type="dxa" w:w="4176"/>
            <w:shd w:fill="F7FAFC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8"/>
              </w:rPr>
              <w:t>100 rejected ÷ 1,000 produced = 10.00%</w:t>
            </w:r>
          </w:p>
        </w:tc>
        <w:tc>
          <w:tcPr>
            <w:tcW w:type="dxa" w:w="2736"/>
            <w:shd w:fill="F7FAFC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8"/>
              </w:rPr>
              <w:t>5.44% historical reference</w:t>
            </w:r>
          </w:p>
        </w:tc>
        <w:tc>
          <w:tcPr>
            <w:tcW w:type="dxa" w:w="3672"/>
            <w:shd w:fill="F7FAFC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8"/>
              </w:rPr>
              <w:t>10.00% &gt; 5.44% → initiate workflow approval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14544"/>
      </w:tblGrid>
      <w:tr>
        <w:trPr>
          <w:cantSplit/>
        </w:trPr>
        <w:tc>
          <w:tcPr>
            <w:tcW w:type="dxa" w:w="7395"/>
            <w:shd w:fill="C17B2C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7395"/>
            <w:shd w:fill="EFF4F7"/>
            <w:tcMar>
              <w:top w:w="140" w:type="dxa"/>
              <w:start w:w="210" w:type="dxa"/>
              <w:bottom w:w="140" w:type="dxa"/>
              <w:end w:w="19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102B45"/>
                <w:sz w:val="20"/>
              </w:rPr>
              <w:t>IMPORTANT MANAGEMENT CONTROL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354D5E"/>
                <w:sz w:val="18"/>
              </w:rPr>
              <w:t>A historical average is not automatically an approved quality limit. The 5.44% figure is used here only because it was supplied in the example. QC and the authorized business owner must confirm the actual trigger rule before release.</w:t>
            </w:r>
          </w:p>
        </w:tc>
      </w:tr>
    </w:tbl>
    <w:p>
      <w:pPr>
        <w:spacing w:after="0" w:before="0" w:line="264" w:lineRule="auto"/>
      </w:pPr>
      <w:r>
        <w:rPr>
          <w:rFonts w:ascii="Aptos" w:hAnsi="Aptos"/>
          <w:b w:val="0"/>
          <w:color w:val="354D5E"/>
          <w:sz w:val="4"/>
        </w:rPr>
      </w:r>
    </w:p>
    <w:p>
      <w:pPr>
        <w:spacing w:after="80" w:before="160" w:line="264" w:lineRule="auto"/>
      </w:pPr>
      <w:r>
        <w:rPr>
          <w:rFonts w:ascii="Aptos" w:hAnsi="Aptos"/>
          <w:b/>
          <w:color w:val="0F958E"/>
          <w:sz w:val="20"/>
        </w:rPr>
        <w:t>Out of scope for automatic action</w:t>
      </w:r>
    </w:p>
    <w:p>
      <w:pPr>
        <w:spacing w:after="80"/>
        <w:ind w:left="288" w:hanging="187"/>
      </w:pPr>
      <w:r>
        <w:rPr>
          <w:rFonts w:ascii="Aptos" w:hAnsi="Aptos"/>
          <w:b/>
          <w:color w:val="0F958E"/>
          <w:sz w:val="20"/>
        </w:rPr>
        <w:t xml:space="preserve">•  </w:t>
      </w:r>
      <w:r>
        <w:rPr>
          <w:rFonts w:ascii="Aptos" w:hAnsi="Aptos"/>
          <w:b w:val="0"/>
          <w:color w:val="354D5E"/>
          <w:sz w:val="18"/>
        </w:rPr>
        <w:t>The rule does not automatically approve a Rejection Request, authorize stock disposal, open an NCR/CAPA, or create a Destruction Request.</w:t>
      </w:r>
    </w:p>
    <w:p>
      <w:pPr>
        <w:spacing w:after="80"/>
        <w:ind w:left="288" w:hanging="187"/>
      </w:pPr>
      <w:r>
        <w:rPr>
          <w:rFonts w:ascii="Aptos" w:hAnsi="Aptos"/>
          <w:b/>
          <w:color w:val="0F958E"/>
          <w:sz w:val="20"/>
        </w:rPr>
        <w:t xml:space="preserve">•  </w:t>
      </w:r>
      <w:r>
        <w:rPr>
          <w:rFonts w:ascii="Aptos" w:hAnsi="Aptos"/>
          <w:b w:val="0"/>
          <w:color w:val="354D5E"/>
          <w:sz w:val="18"/>
        </w:rPr>
        <w:t>Under-threshold records follow the currently approved normal handling route; no new approval step is implied by the rule.</w:t>
      </w:r>
    </w:p>
    <w:p>
      <w:pPr>
        <w:pageBreakBefore/>
        <w:spacing w:after="80" w:before="0" w:line="264" w:lineRule="auto"/>
      </w:pPr>
      <w:r>
        <w:rPr>
          <w:rFonts w:ascii="Aptos" w:hAnsi="Aptos"/>
          <w:b/>
          <w:color w:val="0F958E"/>
          <w:sz w:val="18"/>
        </w:rPr>
        <w:t>02  /  SCREENSHOT EVIDENCE  •  STEP 1</w:t>
      </w:r>
    </w:p>
    <w:p>
      <w:pPr>
        <w:spacing w:after="180" w:before="0" w:line="264" w:lineRule="auto"/>
      </w:pPr>
      <w:r>
        <w:rPr>
          <w:rFonts w:ascii="Aptos" w:hAnsi="Aptos"/>
          <w:b/>
          <w:color w:val="102B45"/>
          <w:sz w:val="46"/>
        </w:rPr>
        <w:t>Open the existing Rejection Request screen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688"/>
      </w:tblGrid>
      <w:tr>
        <w:trPr>
          <w:cantSplit/>
        </w:trPr>
        <w:tc>
          <w:tcPr>
            <w:tcW w:type="dxa" w:w="14790"/>
            <w:shd w:fill="0F958E"/>
            <w:tcMar>
              <w:top w:w="0" w:type="dxa"/>
              <w:start w:w="140" w:type="dxa"/>
              <w:bottom w:w="0" w:type="dxa"/>
              <w:end w:w="14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0F958E"/>
                <w:sz w:val="2"/>
              </w:rPr>
              <w:t xml:space="preserve"> </w:t>
            </w:r>
          </w:p>
        </w:tc>
      </w:tr>
    </w:tbl>
    <w:p>
      <w:pPr>
        <w:spacing w:after="20" w:before="0" w:line="264" w:lineRule="auto"/>
      </w:pPr>
      <w:r>
        <w:rPr>
          <w:rFonts w:ascii="Aptos" w:hAnsi="Aptos"/>
          <w:b w:val="0"/>
          <w:color w:val="354D5E"/>
          <w:sz w:val="4"/>
        </w:rPr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9006840" cy="43484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_origin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06840" cy="434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0" w:line="264" w:lineRule="auto"/>
      </w:pPr>
      <w:r>
        <w:rPr>
          <w:rFonts w:ascii="Aptos" w:hAnsi="Aptos"/>
          <w:b w:val="0"/>
          <w:color w:val="567085"/>
          <w:sz w:val="16"/>
        </w:rPr>
        <w:t>FIGURE 01  |  Original FOCUS Request screen. Total production quantity and Lot are not visible in the captured area (supplied file, p. 1).</w:t>
      </w:r>
    </w:p>
    <w:p>
      <w:pPr>
        <w:pageBreakBefore/>
        <w:spacing w:after="80" w:before="0" w:line="264" w:lineRule="auto"/>
      </w:pPr>
      <w:r>
        <w:rPr>
          <w:rFonts w:ascii="Aptos" w:hAnsi="Aptos"/>
          <w:b/>
          <w:color w:val="0F958E"/>
          <w:sz w:val="18"/>
        </w:rPr>
        <w:t>02  /  SCREENSHOT EVIDENCE  •  STEP 2</w:t>
      </w:r>
    </w:p>
    <w:p>
      <w:pPr>
        <w:spacing w:after="180" w:before="0" w:line="264" w:lineRule="auto"/>
      </w:pPr>
      <w:r>
        <w:rPr>
          <w:rFonts w:ascii="Aptos" w:hAnsi="Aptos"/>
          <w:b/>
          <w:color w:val="102B45"/>
          <w:sz w:val="46"/>
        </w:rPr>
        <w:t>Enter the required details and save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688"/>
      </w:tblGrid>
      <w:tr>
        <w:trPr>
          <w:cantSplit/>
        </w:trPr>
        <w:tc>
          <w:tcPr>
            <w:tcW w:type="dxa" w:w="14790"/>
            <w:shd w:fill="0F958E"/>
            <w:tcMar>
              <w:top w:w="0" w:type="dxa"/>
              <w:start w:w="140" w:type="dxa"/>
              <w:bottom w:w="0" w:type="dxa"/>
              <w:end w:w="14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0F958E"/>
                <w:sz w:val="2"/>
              </w:rPr>
              <w:t xml:space="preserve"> </w:t>
            </w:r>
          </w:p>
        </w:tc>
      </w:tr>
    </w:tbl>
    <w:p>
      <w:pPr>
        <w:spacing w:after="20" w:before="0" w:line="264" w:lineRule="auto"/>
      </w:pPr>
      <w:r>
        <w:rPr>
          <w:rFonts w:ascii="Aptos" w:hAnsi="Aptos"/>
          <w:b w:val="0"/>
          <w:color w:val="354D5E"/>
          <w:sz w:val="4"/>
        </w:rPr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8988552" cy="43543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_original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88552" cy="4354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0" w:line="264" w:lineRule="auto"/>
      </w:pPr>
      <w:r>
        <w:rPr>
          <w:rFonts w:ascii="Aptos" w:hAnsi="Aptos"/>
          <w:b w:val="0"/>
          <w:color w:val="567085"/>
          <w:sz w:val="16"/>
        </w:rPr>
        <w:t>FIGURE 02  |  Original FOCUS entry: BU-090-0612 (Guedel Airway Size-6 Orange Non-Sterile), 5 PCS. This is not the illustrated BU-340-1000 mask case (supplied file, p. 2).</w:t>
      </w:r>
    </w:p>
    <w:p>
      <w:pPr>
        <w:pageBreakBefore/>
        <w:spacing w:after="80" w:before="0" w:line="264" w:lineRule="auto"/>
      </w:pPr>
      <w:r>
        <w:rPr>
          <w:rFonts w:ascii="Aptos" w:hAnsi="Aptos"/>
          <w:b/>
          <w:color w:val="0F958E"/>
          <w:sz w:val="18"/>
        </w:rPr>
        <w:t>02  /  SCREENSHOT EVIDENCE  •  STEP 3</w:t>
      </w:r>
    </w:p>
    <w:p>
      <w:pPr>
        <w:spacing w:after="180" w:before="0" w:line="264" w:lineRule="auto"/>
      </w:pPr>
      <w:r>
        <w:rPr>
          <w:rFonts w:ascii="Aptos" w:hAnsi="Aptos"/>
          <w:b/>
          <w:color w:val="102B45"/>
          <w:sz w:val="46"/>
        </w:rPr>
        <w:t>The existing approval notification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688"/>
      </w:tblGrid>
      <w:tr>
        <w:trPr>
          <w:cantSplit/>
        </w:trPr>
        <w:tc>
          <w:tcPr>
            <w:tcW w:type="dxa" w:w="14790"/>
            <w:shd w:fill="0F958E"/>
            <w:tcMar>
              <w:top w:w="0" w:type="dxa"/>
              <w:start w:w="140" w:type="dxa"/>
              <w:bottom w:w="0" w:type="dxa"/>
              <w:end w:w="14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0F958E"/>
                <w:sz w:val="2"/>
              </w:rPr>
              <w:t xml:space="preserve"> </w:t>
            </w:r>
          </w:p>
        </w:tc>
      </w:tr>
    </w:tbl>
    <w:p>
      <w:pPr>
        <w:spacing w:after="20" w:before="0" w:line="264" w:lineRule="auto"/>
      </w:pPr>
      <w:r>
        <w:rPr>
          <w:rFonts w:ascii="Aptos" w:hAnsi="Aptos"/>
          <w:b w:val="0"/>
          <w:color w:val="354D5E"/>
          <w:sz w:val="4"/>
        </w:rPr>
      </w:r>
    </w:p>
    <w:p>
      <w:pPr>
        <w:spacing w:after="360" w:before="0" w:line="264" w:lineRule="auto"/>
      </w:pPr>
      <w:r>
        <w:rPr>
          <w:rFonts w:ascii="Aptos" w:hAnsi="Aptos"/>
          <w:b w:val="0"/>
          <w:color w:val="354D5E"/>
          <w:sz w:val="20"/>
        </w:rPr>
        <w:t>The original procedure states that an above-limit request should move to Pending, and the system should notify the department authorized to approve the rejection. The screenshot shows an authorization notification, but not a live percentage comparison.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492240" cy="7843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_original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8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0" w:line="264" w:lineRule="auto"/>
      </w:pPr>
      <w:r>
        <w:rPr>
          <w:rFonts w:ascii="Aptos" w:hAnsi="Aptos"/>
          <w:b w:val="0"/>
          <w:color w:val="567085"/>
          <w:sz w:val="16"/>
        </w:rPr>
        <w:t>FIGURE 03  |  Original authorization alert: “Rejection Request(s) Require Approval (1)” and a voucher requiring authorization. Source: supplied Word document, page 3.</w:t>
      </w:r>
    </w:p>
    <w:p>
      <w:pPr>
        <w:spacing w:after="160" w:before="240" w:line="264" w:lineRule="auto"/>
      </w:pPr>
      <w:r>
        <w:rPr>
          <w:rFonts w:ascii="Aptos" w:hAnsi="Aptos"/>
          <w:b/>
          <w:color w:val="0F958E"/>
          <w:sz w:val="22"/>
        </w:rPr>
        <w:t>Approval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rPr>
          <w:cantSplit/>
        </w:trPr>
        <w:tc>
          <w:tcPr>
            <w:tcW w:type="dxa" w:w="4930"/>
            <w:shd w:fill="102B4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01</w:t>
            </w:r>
          </w:p>
        </w:tc>
        <w:tc>
          <w:tcPr>
            <w:tcW w:type="dxa" w:w="4930"/>
            <w:shd w:fill="102B4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02</w:t>
            </w:r>
          </w:p>
        </w:tc>
        <w:tc>
          <w:tcPr>
            <w:tcW w:type="dxa" w:w="4930"/>
            <w:shd w:fill="102B4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03</w:t>
            </w:r>
          </w:p>
        </w:tc>
      </w:tr>
      <w:tr>
        <w:trPr>
          <w:cantSplit/>
        </w:trPr>
        <w:tc>
          <w:tcPr>
            <w:tcW w:type="dxa" w:w="4896"/>
            <w:shd w:fill="F7FAFC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8"/>
              </w:rPr>
              <w:t>REQUEST IS CREATED</w:t>
            </w:r>
          </w:p>
        </w:tc>
        <w:tc>
          <w:tcPr>
            <w:tcW w:type="dxa" w:w="4896"/>
            <w:shd w:fill="F7FAFC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8"/>
              </w:rPr>
              <w:t>FIRST AUTHORIZED APPROVER</w:t>
            </w:r>
          </w:p>
        </w:tc>
        <w:tc>
          <w:tcPr>
            <w:tcW w:type="dxa" w:w="4896"/>
            <w:shd w:fill="F7FAFC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8"/>
              </w:rPr>
              <w:t>NEXT AUTHORIZED APPROVER</w:t>
            </w:r>
          </w:p>
        </w:tc>
      </w:tr>
      <w:tr>
        <w:trPr>
          <w:cantSplit/>
        </w:trPr>
        <w:tc>
          <w:tcPr>
            <w:tcW w:type="dxa" w:w="4896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8"/>
              </w:rPr>
              <w:t>A valid submitted record crosses the approved trigger and opens a linked Pending approval request.</w:t>
            </w:r>
          </w:p>
        </w:tc>
        <w:tc>
          <w:tcPr>
            <w:tcW w:type="dxa" w:w="4896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8"/>
              </w:rPr>
              <w:t>The configured approver receives a notification and can approve or reject the request.</w:t>
            </w:r>
          </w:p>
        </w:tc>
        <w:tc>
          <w:tcPr>
            <w:tcW w:type="dxa" w:w="4896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8"/>
              </w:rPr>
              <w:t>If approved, the request moves to the next configured approval level until all required approvals are complete.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14544"/>
      </w:tblGrid>
      <w:tr>
        <w:trPr>
          <w:cantSplit/>
        </w:trPr>
        <w:tc>
          <w:tcPr>
            <w:tcW w:type="dxa" w:w="7395"/>
            <w:shd w:fill="C17B2C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7395"/>
            <w:shd w:fill="EFF4F7"/>
            <w:tcMar>
              <w:top w:w="140" w:type="dxa"/>
              <w:start w:w="210" w:type="dxa"/>
              <w:bottom w:w="140" w:type="dxa"/>
              <w:end w:w="19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102B45"/>
                <w:sz w:val="20"/>
              </w:rPr>
              <w:t>CONTROL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354D5E"/>
                <w:sz w:val="19"/>
              </w:rPr>
              <w:t>The approvers and their order must come from the company’s existing authorized Approval Matrix. The screenshots do not establish the complete role hierarchy or the order of each sign-off.</w:t>
            </w:r>
          </w:p>
        </w:tc>
      </w:tr>
    </w:tbl>
    <w:p>
      <w:pPr>
        <w:spacing w:after="0" w:before="0" w:line="264" w:lineRule="auto"/>
      </w:pPr>
      <w:r>
        <w:rPr>
          <w:rFonts w:ascii="Aptos" w:hAnsi="Aptos"/>
          <w:b w:val="0"/>
          <w:color w:val="354D5E"/>
          <w:sz w:val="4"/>
        </w:rPr>
      </w:r>
    </w:p>
    <w:p>
      <w:pPr>
        <w:pageBreakBefore/>
        <w:spacing w:after="80" w:before="0" w:line="264" w:lineRule="auto"/>
      </w:pPr>
      <w:r>
        <w:rPr>
          <w:rFonts w:ascii="Aptos" w:hAnsi="Aptos"/>
          <w:b/>
          <w:color w:val="0F958E"/>
          <w:sz w:val="18"/>
        </w:rPr>
        <w:t>02  /  SCREENSHOT EVIDENCE  •  STEP 4</w:t>
      </w:r>
    </w:p>
    <w:p>
      <w:pPr>
        <w:spacing w:after="180" w:before="0" w:line="264" w:lineRule="auto"/>
      </w:pPr>
      <w:r>
        <w:rPr>
          <w:rFonts w:ascii="Aptos" w:hAnsi="Aptos"/>
          <w:b/>
          <w:color w:val="102B45"/>
          <w:sz w:val="46"/>
        </w:rPr>
        <w:t>Final approval and the next controlled request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688"/>
      </w:tblGrid>
      <w:tr>
        <w:trPr>
          <w:cantSplit/>
        </w:trPr>
        <w:tc>
          <w:tcPr>
            <w:tcW w:type="dxa" w:w="14790"/>
            <w:shd w:fill="0F958E"/>
            <w:tcMar>
              <w:top w:w="0" w:type="dxa"/>
              <w:start w:w="140" w:type="dxa"/>
              <w:bottom w:w="0" w:type="dxa"/>
              <w:end w:w="14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0F958E"/>
                <w:sz w:val="2"/>
              </w:rPr>
              <w:t xml:space="preserve"> </w:t>
            </w:r>
          </w:p>
        </w:tc>
      </w:tr>
    </w:tbl>
    <w:p>
      <w:pPr>
        <w:spacing w:after="20" w:before="0" w:line="264" w:lineRule="auto"/>
      </w:pPr>
      <w:r>
        <w:rPr>
          <w:rFonts w:ascii="Aptos" w:hAnsi="Aptos"/>
          <w:b w:val="0"/>
          <w:color w:val="354D5E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76"/>
        <w:gridCol w:w="3240"/>
      </w:tblGrid>
      <w:tr>
        <w:trPr>
          <w:cantSplit/>
        </w:trPr>
        <w:tc>
          <w:tcPr>
            <w:tcW w:type="dxa" w:w="7395"/>
            <w:tcMar>
              <w:top w:w="0" w:type="dxa"/>
              <w:start w:w="0" w:type="dxa"/>
              <w:bottom w:w="0" w:type="dxa"/>
              <w:end w:w="160" w:type="dxa"/>
            </w:tcMar>
          </w:tcPr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7114032" cy="319849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cus_original_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4032" cy="31984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95"/>
            <w:tcMar>
              <w:top w:w="0" w:type="dxa"/>
              <w:start w:w="90" w:type="dxa"/>
              <w:bottom w:w="0" w:type="dxa"/>
              <w:end w:w="0" w:type="dxa"/>
            </w:tcMar>
          </w:tcPr>
          <w:p>
            <w:r>
              <w:rPr>
                <w:rFonts w:ascii="Aptos" w:hAnsi="Aptos"/>
                <w:b/>
                <w:color w:val="0F958E"/>
                <w:sz w:val="18"/>
              </w:rPr>
              <w:t>APPROVED STATUS</w:t>
            </w:r>
          </w:p>
          <w:p>
            <w:pPr>
              <w:spacing w:before="160"/>
            </w:pPr>
            <w:r>
              <w:drawing>
                <wp:inline xmlns:a="http://schemas.openxmlformats.org/drawingml/2006/main" xmlns:pic="http://schemas.openxmlformats.org/drawingml/2006/picture">
                  <wp:extent cx="2029968" cy="145527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cus_original_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968" cy="14552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20"/>
            </w:pPr>
            <w:r>
              <w:rPr>
                <w:rFonts w:ascii="Aptos" w:hAnsi="Aptos"/>
                <w:b w:val="0"/>
                <w:color w:val="354D5E"/>
                <w:sz w:val="17"/>
              </w:rPr>
              <w:t>The sidebar displays Approved and an Authorized by field. This is evidence of status and captured approver names, not evidence of automatic threshold checking.</w:t>
            </w:r>
          </w:p>
        </w:tc>
      </w:tr>
    </w:tbl>
    <w:p>
      <w:pPr>
        <w:spacing w:after="180" w:before="0" w:line="264" w:lineRule="auto"/>
      </w:pPr>
      <w:r>
        <w:rPr>
          <w:rFonts w:ascii="Aptos" w:hAnsi="Aptos"/>
          <w:b w:val="0"/>
          <w:color w:val="567085"/>
          <w:sz w:val="16"/>
        </w:rPr>
        <w:t>FIGURES 04–05  |  Original completed Rejection Request and its status sidebar, reproduced from page 4 of the supplied file.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14544"/>
      </w:tblGrid>
      <w:tr>
        <w:trPr>
          <w:cantSplit/>
        </w:trPr>
        <w:tc>
          <w:tcPr>
            <w:tcW w:type="dxa" w:w="7395"/>
            <w:shd w:fill="0F958E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7395"/>
            <w:shd w:fill="EFF4F7"/>
            <w:tcMar>
              <w:top w:w="140" w:type="dxa"/>
              <w:start w:w="210" w:type="dxa"/>
              <w:bottom w:w="140" w:type="dxa"/>
              <w:end w:w="19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102B45"/>
                <w:sz w:val="20"/>
              </w:rPr>
              <w:t>DOWNSTREAM ACTION: DESTRUCTION REQUEST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354D5E"/>
                <w:sz w:val="19"/>
              </w:rPr>
              <w:t>The submitted procedure states that, after the Rejection Request is fully approved, the authorized department may create a Destruction Request using a separate workflow. The new percentage-triggered approval rule must not bypass or automatically complete that downstream approval.</w:t>
            </w:r>
          </w:p>
        </w:tc>
      </w:tr>
    </w:tbl>
    <w:p>
      <w:pPr>
        <w:spacing w:after="0" w:before="0" w:line="264" w:lineRule="auto"/>
      </w:pPr>
      <w:r>
        <w:rPr>
          <w:rFonts w:ascii="Aptos" w:hAnsi="Aptos"/>
          <w:b w:val="0"/>
          <w:color w:val="354D5E"/>
          <w:sz w:val="4"/>
        </w:rPr>
      </w:r>
    </w:p>
    <w:p>
      <w:pPr>
        <w:pageBreakBefore/>
        <w:spacing w:after="80" w:before="0" w:line="264" w:lineRule="auto"/>
      </w:pPr>
      <w:r>
        <w:rPr>
          <w:rFonts w:ascii="Aptos" w:hAnsi="Aptos"/>
          <w:b/>
          <w:color w:val="0F958E"/>
          <w:sz w:val="18"/>
        </w:rPr>
        <w:t>03  /  FUTURE-STATE WORKFLOW</w:t>
      </w:r>
    </w:p>
    <w:p>
      <w:pPr>
        <w:spacing w:after="180" w:before="0" w:line="264" w:lineRule="auto"/>
      </w:pPr>
      <w:r>
        <w:rPr>
          <w:rFonts w:ascii="Aptos" w:hAnsi="Aptos"/>
          <w:b/>
          <w:color w:val="102B45"/>
          <w:sz w:val="46"/>
        </w:rPr>
        <w:t>The proposed automatic approval rule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688"/>
      </w:tblGrid>
      <w:tr>
        <w:trPr>
          <w:cantSplit/>
        </w:trPr>
        <w:tc>
          <w:tcPr>
            <w:tcW w:type="dxa" w:w="14790"/>
            <w:shd w:fill="0F958E"/>
            <w:tcMar>
              <w:top w:w="0" w:type="dxa"/>
              <w:start w:w="140" w:type="dxa"/>
              <w:bottom w:w="0" w:type="dxa"/>
              <w:end w:w="14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0F958E"/>
                <w:sz w:val="2"/>
              </w:rPr>
              <w:t xml:space="preserve"> </w:t>
            </w:r>
          </w:p>
        </w:tc>
      </w:tr>
    </w:tbl>
    <w:p>
      <w:pPr>
        <w:spacing w:after="20" w:before="0" w:line="264" w:lineRule="auto"/>
      </w:pPr>
      <w:r>
        <w:rPr>
          <w:rFonts w:ascii="Aptos" w:hAnsi="Aptos"/>
          <w:b w:val="0"/>
          <w:color w:val="354D5E"/>
          <w:sz w:val="4"/>
        </w:rPr>
      </w:r>
    </w:p>
    <w:p>
      <w:pPr>
        <w:spacing w:after="140" w:before="0" w:line="264" w:lineRule="auto"/>
      </w:pPr>
      <w:r>
        <w:rPr>
          <w:rFonts w:ascii="Aptos" w:hAnsi="Aptos"/>
          <w:b w:val="0"/>
          <w:color w:val="354D5E"/>
          <w:sz w:val="22"/>
        </w:rPr>
        <w:t>On submission, the system evaluates the product-specific reject percentage. Only an approved threshold breach initiates the configured Workflow Approval Request. Approval remains a human authorization decision.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9290304" cy="26421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itional_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90304" cy="2642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 w:before="0" w:line="264" w:lineRule="auto"/>
      </w:pPr>
      <w:r>
        <w:rPr>
          <w:rFonts w:ascii="Aptos" w:hAnsi="Aptos"/>
          <w:b w:val="0"/>
          <w:color w:val="567085"/>
          <w:sz w:val="16"/>
        </w:rPr>
        <w:t>FIGURE 06  |  Proposed workflow logic (new illustration, not a screenshot of current FOCUS functionality).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0"/>
        <w:gridCol w:w="4930"/>
        <w:gridCol w:w="4930"/>
      </w:tblGrid>
      <w:tr>
        <w:trPr>
          <w:cantSplit/>
        </w:trPr>
        <w:tc>
          <w:tcPr>
            <w:tcW w:type="dxa" w:w="4930"/>
            <w:shd w:fill="F7FAFC"/>
            <w:tcMar>
              <w:top w:w="190" w:type="dxa"/>
              <w:start w:w="190" w:type="dxa"/>
              <w:bottom w:w="190" w:type="dxa"/>
              <w:end w:w="150" w:type="dxa"/>
            </w:tcMar>
            <w:tcBorders>
              <w:bottom w:val="single" w:sz="8" w:color="DCE5EC"/>
            </w:tcBorders>
          </w:tcPr>
          <w:p>
            <w:r>
              <w:rPr>
                <w:rFonts w:ascii="Aptos" w:hAnsi="Aptos"/>
                <w:b/>
                <w:color w:val="567085"/>
                <w:sz w:val="17"/>
              </w:rPr>
              <w:t>REJECT QUANTITY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color w:val="102B45"/>
                <w:sz w:val="46"/>
              </w:rPr>
              <w:t>100</w:t>
            </w:r>
          </w:p>
          <w:p>
            <w:r>
              <w:rPr>
                <w:rFonts w:ascii="Aptos" w:hAnsi="Aptos"/>
                <w:b w:val="0"/>
                <w:color w:val="567085"/>
                <w:sz w:val="16"/>
              </w:rPr>
              <w:t>units</w:t>
            </w:r>
          </w:p>
        </w:tc>
        <w:tc>
          <w:tcPr>
            <w:tcW w:type="dxa" w:w="4930"/>
            <w:shd w:fill="F7FAFC"/>
            <w:tcMar>
              <w:top w:w="190" w:type="dxa"/>
              <w:start w:w="190" w:type="dxa"/>
              <w:bottom w:w="190" w:type="dxa"/>
              <w:end w:w="150" w:type="dxa"/>
            </w:tcMar>
            <w:tcBorders>
              <w:bottom w:val="single" w:sz="8" w:color="DCE5EC"/>
            </w:tcBorders>
          </w:tcPr>
          <w:p>
            <w:r>
              <w:rPr>
                <w:rFonts w:ascii="Aptos" w:hAnsi="Aptos"/>
                <w:b/>
                <w:color w:val="567085"/>
                <w:sz w:val="17"/>
              </w:rPr>
              <w:t>PRODUCTION QUANTITY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color w:val="102B45"/>
                <w:sz w:val="46"/>
              </w:rPr>
              <w:t>1,000</w:t>
            </w:r>
          </w:p>
          <w:p>
            <w:r>
              <w:rPr>
                <w:rFonts w:ascii="Aptos" w:hAnsi="Aptos"/>
                <w:b w:val="0"/>
                <w:color w:val="567085"/>
                <w:sz w:val="16"/>
              </w:rPr>
              <w:t>units</w:t>
            </w:r>
          </w:p>
        </w:tc>
        <w:tc>
          <w:tcPr>
            <w:tcW w:type="dxa" w:w="4930"/>
            <w:shd w:fill="F7FAFC"/>
            <w:tcMar>
              <w:top w:w="190" w:type="dxa"/>
              <w:start w:w="190" w:type="dxa"/>
              <w:bottom w:w="190" w:type="dxa"/>
              <w:end w:w="150" w:type="dxa"/>
            </w:tcMar>
            <w:tcBorders>
              <w:bottom w:val="single" w:sz="8" w:color="DCE5EC"/>
            </w:tcBorders>
          </w:tcPr>
          <w:p>
            <w:r>
              <w:rPr>
                <w:rFonts w:ascii="Aptos" w:hAnsi="Aptos"/>
                <w:b/>
                <w:color w:val="567085"/>
                <w:sz w:val="17"/>
              </w:rPr>
              <w:t>REJECT RATE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color w:val="A63C36"/>
                <w:sz w:val="46"/>
              </w:rPr>
              <w:t>10.00%</w:t>
            </w:r>
          </w:p>
          <w:p>
            <w:r>
              <w:rPr>
                <w:rFonts w:ascii="Aptos" w:hAnsi="Aptos"/>
                <w:b w:val="0"/>
                <w:color w:val="567085"/>
                <w:sz w:val="16"/>
              </w:rPr>
              <w:t>above illustrative 5.44% reference</w:t>
            </w:r>
          </w:p>
        </w:tc>
      </w:tr>
    </w:tbl>
    <w:p>
      <w:pPr>
        <w:spacing w:after="40" w:before="0" w:line="264" w:lineRule="auto"/>
      </w:pPr>
      <w:r>
        <w:rPr>
          <w:rFonts w:ascii="Aptos" w:hAnsi="Aptos"/>
          <w:b w:val="0"/>
          <w:color w:val="354D5E"/>
          <w:sz w:val="6"/>
        </w:rPr>
      </w:r>
    </w:p>
    <w:p>
      <w:pPr>
        <w:pageBreakBefore/>
        <w:spacing w:after="80" w:before="0" w:line="264" w:lineRule="auto"/>
      </w:pPr>
      <w:r>
        <w:rPr>
          <w:rFonts w:ascii="Aptos" w:hAnsi="Aptos"/>
          <w:b/>
          <w:color w:val="0F958E"/>
          <w:sz w:val="18"/>
        </w:rPr>
        <w:t>04  /  FUNCTIONAL REQUIREMENTS</w:t>
      </w:r>
    </w:p>
    <w:p>
      <w:pPr>
        <w:spacing w:after="180" w:before="0" w:line="264" w:lineRule="auto"/>
      </w:pPr>
      <w:r>
        <w:rPr>
          <w:rFonts w:ascii="Aptos" w:hAnsi="Aptos"/>
          <w:b/>
          <w:color w:val="102B45"/>
          <w:sz w:val="46"/>
        </w:rPr>
        <w:t>Implementation rules and controls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688"/>
      </w:tblGrid>
      <w:tr>
        <w:trPr>
          <w:cantSplit/>
        </w:trPr>
        <w:tc>
          <w:tcPr>
            <w:tcW w:type="dxa" w:w="14790"/>
            <w:shd w:fill="0F958E"/>
            <w:tcMar>
              <w:top w:w="0" w:type="dxa"/>
              <w:start w:w="140" w:type="dxa"/>
              <w:bottom w:w="0" w:type="dxa"/>
              <w:end w:w="14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0F958E"/>
                <w:sz w:val="2"/>
              </w:rPr>
              <w:t xml:space="preserve"> </w:t>
            </w:r>
          </w:p>
        </w:tc>
      </w:tr>
    </w:tbl>
    <w:p>
      <w:pPr>
        <w:spacing w:after="20" w:before="0" w:line="264" w:lineRule="auto"/>
      </w:pPr>
      <w:r>
        <w:rPr>
          <w:rFonts w:ascii="Aptos" w:hAnsi="Aptos"/>
          <w:b w:val="0"/>
          <w:color w:val="354D5E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11088"/>
      </w:tblGrid>
      <w:tr>
        <w:trPr>
          <w:cantSplit/>
        </w:trPr>
        <w:tc>
          <w:tcPr>
            <w:tcW w:type="dxa" w:w="7395"/>
            <w:shd w:fill="102B4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7395"/>
            <w:shd w:fill="102B45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BEHAVIOR</w:t>
            </w:r>
          </w:p>
        </w:tc>
      </w:tr>
      <w:tr>
        <w:trPr>
          <w:cantSplit/>
        </w:trPr>
        <w:tc>
          <w:tcPr>
            <w:tcW w:type="dxa" w:w="3600"/>
            <w:shd w:fill="F7FAFC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7"/>
              </w:rPr>
              <w:t>Reference data</w:t>
            </w:r>
          </w:p>
        </w:tc>
        <w:tc>
          <w:tcPr>
            <w:tcW w:type="dxa" w:w="11088"/>
            <w:shd w:fill="F7FAFC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7"/>
              </w:rPr>
              <w:t>Import and validate 2025-onward reject history by product. Calculate a quantity-weighted historical rate where the data supports it; approve the trigger separately.</w:t>
            </w:r>
          </w:p>
        </w:tc>
      </w:tr>
      <w:tr>
        <w:trPr>
          <w:cantSplit/>
        </w:trPr>
        <w:tc>
          <w:tcPr>
            <w:tcW w:type="dxa" w:w="3600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7"/>
              </w:rPr>
              <w:t>Mandatory source fields</w:t>
            </w:r>
          </w:p>
        </w:tc>
        <w:tc>
          <w:tcPr>
            <w:tcW w:type="dxa" w:w="11088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7"/>
              </w:rPr>
              <w:t>Product Code, Lot, Rejected Qty, Total Production Qty, date, source document/record ID, and relevant rejection category or line where needed.</w:t>
            </w:r>
          </w:p>
        </w:tc>
      </w:tr>
      <w:tr>
        <w:trPr>
          <w:cantSplit/>
        </w:trPr>
        <w:tc>
          <w:tcPr>
            <w:tcW w:type="dxa" w:w="3600"/>
            <w:shd w:fill="F7FAFC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7"/>
              </w:rPr>
              <w:t>Decision point</w:t>
            </w:r>
          </w:p>
        </w:tc>
        <w:tc>
          <w:tcPr>
            <w:tcW w:type="dxa" w:w="11088"/>
            <w:shd w:fill="F7FAFC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7"/>
              </w:rPr>
              <w:t>Evaluate on a valid Submit action, not an unfinished Draft Save. Reject % = Rejected Qty / Total Production Qty × 100.</w:t>
            </w:r>
          </w:p>
        </w:tc>
      </w:tr>
      <w:tr>
        <w:trPr>
          <w:cantSplit/>
        </w:trPr>
        <w:tc>
          <w:tcPr>
            <w:tcW w:type="dxa" w:w="3600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7"/>
              </w:rPr>
              <w:t>Threshold condition</w:t>
            </w:r>
          </w:p>
        </w:tc>
        <w:tc>
          <w:tcPr>
            <w:tcW w:type="dxa" w:w="11088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7"/>
              </w:rPr>
              <w:t>Above the approved product threshold → initiate the configured Workflow Approval. At or below → continue existing normal handling.</w:t>
            </w:r>
          </w:p>
        </w:tc>
      </w:tr>
      <w:tr>
        <w:trPr>
          <w:cantSplit/>
        </w:trPr>
        <w:tc>
          <w:tcPr>
            <w:tcW w:type="dxa" w:w="3600"/>
            <w:shd w:fill="F7FAFC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7"/>
              </w:rPr>
              <w:t>Record-level protection</w:t>
            </w:r>
          </w:p>
        </w:tc>
        <w:tc>
          <w:tcPr>
            <w:tcW w:type="dxa" w:w="11088"/>
            <w:shd w:fill="F7FAFC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7"/>
              </w:rPr>
              <w:t>One approval request per qualifying source version. Re-evaluate any approved material change and invalidate/renew approval where policy requires.</w:t>
            </w:r>
          </w:p>
        </w:tc>
      </w:tr>
      <w:tr>
        <w:trPr>
          <w:cantSplit/>
        </w:trPr>
        <w:tc>
          <w:tcPr>
            <w:tcW w:type="dxa" w:w="3600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7"/>
              </w:rPr>
              <w:t>Exceptions</w:t>
            </w:r>
          </w:p>
        </w:tc>
        <w:tc>
          <w:tcPr>
            <w:tcW w:type="dxa" w:w="11088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7"/>
              </w:rPr>
              <w:t>Missing/zero denominator, unknown product, no approved threshold, or inconsistent quantity: do not silently calculate or auto-route; flag for correction/configuration.</w:t>
            </w:r>
          </w:p>
        </w:tc>
      </w:tr>
      <w:tr>
        <w:trPr>
          <w:cantSplit/>
        </w:trPr>
        <w:tc>
          <w:tcPr>
            <w:tcW w:type="dxa" w:w="3600"/>
            <w:shd w:fill="F7FAFC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7"/>
              </w:rPr>
              <w:t>Approvers &amp; traceability</w:t>
            </w:r>
          </w:p>
        </w:tc>
        <w:tc>
          <w:tcPr>
            <w:tcW w:type="dxa" w:w="11088"/>
            <w:shd w:fill="F7FAFC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7"/>
              </w:rPr>
              <w:t>Use existing authorized Approval Matrix. Record notification, approver, decision, timestamp, source ID, rate and threshold/version in an audit trail.</w:t>
            </w:r>
          </w:p>
        </w:tc>
      </w:tr>
      <w:tr>
        <w:trPr>
          <w:cantSplit/>
        </w:trPr>
        <w:tc>
          <w:tcPr>
            <w:tcW w:type="dxa" w:w="3600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7"/>
              </w:rPr>
              <w:t>Stock and destruction</w:t>
            </w:r>
          </w:p>
        </w:tc>
        <w:tc>
          <w:tcPr>
            <w:tcW w:type="dxa" w:w="11088"/>
            <w:shd w:fill="FFFFFF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bottom w:val="single" w:sz="5" w:color="DCE5EC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354D5E"/>
                <w:sz w:val="17"/>
              </w:rPr>
              <w:t>No automatic disposition or stock movement from rate calculation. Destruction Request is separate and follows its own authorized workflow.</w:t>
            </w:r>
          </w:p>
        </w:tc>
      </w:tr>
    </w:tbl>
    <w:p>
      <w:pPr>
        <w:spacing w:after="0"/>
      </w:pPr>
    </w:p>
    <w:p>
      <w:pPr>
        <w:spacing w:after="0" w:before="120" w:line="264" w:lineRule="auto"/>
      </w:pPr>
      <w:r>
        <w:rPr>
          <w:rFonts w:ascii="Aptos" w:hAnsi="Aptos"/>
          <w:b w:val="0"/>
          <w:color w:val="567085"/>
          <w:sz w:val="17"/>
        </w:rPr>
        <w:t>Design note: if a Lot is recorded across several production entries, the cumulative Lot-level quantities should be considered under an approved aggregation rule to avoid bypassing the trigger by splitting records.</w:t>
      </w:r>
    </w:p>
    <w:p>
      <w:pPr>
        <w:pageBreakBefore/>
        <w:spacing w:after="80" w:before="0" w:line="264" w:lineRule="auto"/>
      </w:pPr>
      <w:r>
        <w:rPr>
          <w:rFonts w:ascii="Aptos" w:hAnsi="Aptos"/>
          <w:b/>
          <w:color w:val="0F958E"/>
          <w:sz w:val="18"/>
        </w:rPr>
        <w:t>05  /  RECOMMENDED NEXT STEPS</w:t>
      </w:r>
    </w:p>
    <w:p>
      <w:pPr>
        <w:spacing w:after="180" w:before="0" w:line="264" w:lineRule="auto"/>
      </w:pPr>
      <w:r>
        <w:rPr>
          <w:rFonts w:ascii="Aptos" w:hAnsi="Aptos"/>
          <w:b/>
          <w:color w:val="102B45"/>
          <w:sz w:val="46"/>
        </w:rPr>
        <w:t>Management decisions and controlled rollout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688"/>
      </w:tblGrid>
      <w:tr>
        <w:trPr>
          <w:cantSplit/>
        </w:trPr>
        <w:tc>
          <w:tcPr>
            <w:tcW w:type="dxa" w:w="14790"/>
            <w:shd w:fill="0F958E"/>
            <w:tcMar>
              <w:top w:w="0" w:type="dxa"/>
              <w:start w:w="140" w:type="dxa"/>
              <w:bottom w:w="0" w:type="dxa"/>
              <w:end w:w="140" w:type="dxa"/>
            </w:tcMar>
          </w:tcPr>
          <w:p>
            <w:pPr>
              <w:spacing w:after="0" w:before="0"/>
            </w:pPr>
            <w:r>
              <w:rPr>
                <w:rFonts w:ascii="Aptos" w:hAnsi="Aptos"/>
                <w:b w:val="0"/>
                <w:color w:val="0F958E"/>
                <w:sz w:val="2"/>
              </w:rPr>
              <w:t xml:space="preserve"> </w:t>
            </w:r>
          </w:p>
        </w:tc>
      </w:tr>
    </w:tbl>
    <w:p>
      <w:pPr>
        <w:spacing w:after="20" w:before="0" w:line="264" w:lineRule="auto"/>
      </w:pPr>
      <w:r>
        <w:rPr>
          <w:rFonts w:ascii="Aptos" w:hAnsi="Aptos"/>
          <w:b w:val="0"/>
          <w:color w:val="354D5E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95"/>
        <w:gridCol w:w="7395"/>
      </w:tblGrid>
      <w:tr>
        <w:trPr>
          <w:cantSplit/>
        </w:trPr>
        <w:tc>
          <w:tcPr>
            <w:tcW w:type="dxa" w:w="7395"/>
            <w:shd w:fill="EFF4F7"/>
            <w:tcMar>
              <w:top w:w="190" w:type="dxa"/>
              <w:start w:w="200" w:type="dxa"/>
              <w:bottom w:w="180" w:type="dxa"/>
              <w:end w:w="170" w:type="dxa"/>
            </w:tcMar>
          </w:tcPr>
          <w:p>
            <w:r>
              <w:rPr>
                <w:rFonts w:ascii="Aptos" w:hAnsi="Aptos"/>
                <w:b/>
                <w:color w:val="102B45"/>
                <w:sz w:val="22"/>
              </w:rPr>
              <w:t>DECISIONS REQUIRED</w:t>
            </w:r>
          </w:p>
          <w:p>
            <w:pPr>
              <w:spacing w:before="100"/>
            </w:pPr>
            <w:r>
              <w:rPr>
                <w:rFonts w:ascii="Aptos" w:hAnsi="Aptos"/>
                <w:b w:val="0"/>
                <w:color w:val="354D5E"/>
                <w:sz w:val="19"/>
              </w:rPr>
              <w:t>Approve the principle of conditional approval triggering; nominate the owner for historical thresholds; confirm which authorized roles and sequence apply; confirm the record that supplies Total Production Qty and Lot; and agree how Destruction Requests link back to approved rejections.</w:t>
            </w:r>
          </w:p>
        </w:tc>
        <w:tc>
          <w:tcPr>
            <w:tcW w:type="dxa" w:w="7395"/>
            <w:shd w:fill="E7F4F3"/>
            <w:tcMar>
              <w:top w:w="190" w:type="dxa"/>
              <w:start w:w="200" w:type="dxa"/>
              <w:bottom w:w="180" w:type="dxa"/>
              <w:end w:w="170" w:type="dxa"/>
            </w:tcMar>
          </w:tcPr>
          <w:p>
            <w:r>
              <w:rPr>
                <w:rFonts w:ascii="Aptos" w:hAnsi="Aptos"/>
                <w:b/>
                <w:color w:val="102B45"/>
                <w:sz w:val="22"/>
              </w:rPr>
              <w:t>RECOMMENDED DELIVERY</w:t>
            </w:r>
          </w:p>
          <w:p>
            <w:pPr>
              <w:spacing w:before="100"/>
            </w:pPr>
            <w:r>
              <w:rPr>
                <w:rFonts w:ascii="Aptos" w:hAnsi="Aptos"/>
                <w:b w:val="0"/>
                <w:color w:val="354D5E"/>
                <w:sz w:val="19"/>
              </w:rPr>
              <w:t>First map the FOCUS fields and historical data; then confirm approved baseline rules; implement the trigger and Approval Matrix connection via supported system mechanisms; finally conduct a controlled pilot using real historical scenarios before production release.</w:t>
            </w:r>
          </w:p>
        </w:tc>
      </w:tr>
    </w:tbl>
    <w:p>
      <w:pPr>
        <w:spacing w:after="0" w:before="0" w:line="264" w:lineRule="auto"/>
      </w:pPr>
      <w:r>
        <w:rPr>
          <w:rFonts w:ascii="Aptos" w:hAnsi="Aptos"/>
          <w:b w:val="0"/>
          <w:color w:val="354D5E"/>
          <w:sz w:val="4"/>
        </w:rPr>
      </w:r>
    </w:p>
    <w:p>
      <w:pPr>
        <w:spacing w:after="140" w:before="240" w:line="264" w:lineRule="auto"/>
      </w:pPr>
      <w:r>
        <w:rPr>
          <w:rFonts w:ascii="Aptos" w:hAnsi="Aptos"/>
          <w:b/>
          <w:color w:val="0F958E"/>
          <w:sz w:val="21"/>
        </w:rPr>
        <w:t>Proposed acceptance checkpoints</w:t>
      </w:r>
    </w:p>
    <w:p>
      <w:pPr>
        <w:spacing w:after="140"/>
        <w:ind w:left="288" w:hanging="187"/>
      </w:pPr>
      <w:r>
        <w:rPr>
          <w:rFonts w:ascii="Aptos" w:hAnsi="Aptos"/>
          <w:b/>
          <w:color w:val="0F958E"/>
          <w:sz w:val="21"/>
        </w:rPr>
        <w:t xml:space="preserve">•  </w:t>
      </w:r>
      <w:r>
        <w:rPr>
          <w:rFonts w:ascii="Aptos" w:hAnsi="Aptos"/>
          <w:b w:val="0"/>
          <w:color w:val="354D5E"/>
          <w:sz w:val="19"/>
        </w:rPr>
        <w:t>The same source item, Lot, rejected quantity and production quantity produce one reproducible reject percentage.</w:t>
      </w:r>
    </w:p>
    <w:p>
      <w:pPr>
        <w:spacing w:after="140"/>
        <w:ind w:left="288" w:hanging="187"/>
      </w:pPr>
      <w:r>
        <w:rPr>
          <w:rFonts w:ascii="Aptos" w:hAnsi="Aptos"/>
          <w:b/>
          <w:color w:val="0F958E"/>
          <w:sz w:val="21"/>
        </w:rPr>
        <w:t xml:space="preserve">•  </w:t>
      </w:r>
      <w:r>
        <w:rPr>
          <w:rFonts w:ascii="Aptos" w:hAnsi="Aptos"/>
          <w:b w:val="0"/>
          <w:color w:val="354D5E"/>
          <w:sz w:val="19"/>
        </w:rPr>
        <w:t>A record at 10.00% against an approved 5.44% trigger creates exactly one linked Pending Workflow Approval Request.</w:t>
      </w:r>
    </w:p>
    <w:p>
      <w:pPr>
        <w:spacing w:after="140"/>
        <w:ind w:left="288" w:hanging="187"/>
      </w:pPr>
      <w:r>
        <w:rPr>
          <w:rFonts w:ascii="Aptos" w:hAnsi="Aptos"/>
          <w:b/>
          <w:color w:val="0F958E"/>
          <w:sz w:val="21"/>
        </w:rPr>
        <w:t xml:space="preserve">•  </w:t>
      </w:r>
      <w:r>
        <w:rPr>
          <w:rFonts w:ascii="Aptos" w:hAnsi="Aptos"/>
          <w:b w:val="0"/>
          <w:color w:val="354D5E"/>
          <w:sz w:val="19"/>
        </w:rPr>
        <w:t>A record within its threshold is not routed through the special approval trigger.</w:t>
      </w:r>
    </w:p>
    <w:p>
      <w:pPr>
        <w:spacing w:after="140"/>
        <w:ind w:left="288" w:hanging="187"/>
      </w:pPr>
      <w:r>
        <w:rPr>
          <w:rFonts w:ascii="Aptos" w:hAnsi="Aptos"/>
          <w:b/>
          <w:color w:val="0F958E"/>
          <w:sz w:val="21"/>
        </w:rPr>
        <w:t xml:space="preserve">•  </w:t>
      </w:r>
      <w:r>
        <w:rPr>
          <w:rFonts w:ascii="Aptos" w:hAnsi="Aptos"/>
          <w:b w:val="0"/>
          <w:color w:val="354D5E"/>
          <w:sz w:val="19"/>
        </w:rPr>
        <w:t>Each assigned approval step issues a notification and advances according to the approved Approval Matrix.</w:t>
      </w:r>
    </w:p>
    <w:p>
      <w:pPr>
        <w:spacing w:after="140"/>
        <w:ind w:left="288" w:hanging="187"/>
      </w:pPr>
      <w:r>
        <w:rPr>
          <w:rFonts w:ascii="Aptos" w:hAnsi="Aptos"/>
          <w:b/>
          <w:color w:val="0F958E"/>
          <w:sz w:val="21"/>
        </w:rPr>
        <w:t xml:space="preserve">•  </w:t>
      </w:r>
      <w:r>
        <w:rPr>
          <w:rFonts w:ascii="Aptos" w:hAnsi="Aptos"/>
          <w:b w:val="0"/>
          <w:color w:val="354D5E"/>
          <w:sz w:val="19"/>
        </w:rPr>
        <w:t>Approved appears only after all mandatory approvals; a Destruction Request remains a separate authorized workflow.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"/>
        <w:gridCol w:w="14544"/>
      </w:tblGrid>
      <w:tr>
        <w:trPr>
          <w:cantSplit/>
        </w:trPr>
        <w:tc>
          <w:tcPr>
            <w:tcW w:type="dxa" w:w="7395"/>
            <w:shd w:fill="0F958E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7395"/>
            <w:shd w:fill="EFF4F7"/>
            <w:tcMar>
              <w:top w:w="140" w:type="dxa"/>
              <w:start w:w="210" w:type="dxa"/>
              <w:bottom w:w="140" w:type="dxa"/>
              <w:end w:w="190" w:type="dxa"/>
            </w:tcMar>
          </w:tcPr>
          <w:p>
            <w:pPr>
              <w:spacing w:after="80"/>
            </w:pPr>
            <w:r>
              <w:rPr>
                <w:rFonts w:ascii="Aptos" w:hAnsi="Aptos"/>
                <w:b/>
                <w:color w:val="102B45"/>
                <w:sz w:val="20"/>
              </w:rPr>
              <w:t>RECOMMENDED MANAGEMENT APPROVAL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354D5E"/>
                <w:sz w:val="20"/>
              </w:rPr>
              <w:t>Approve the workflow concept and authorize a detailed FOCUS data/integration assessment. Do not treat the 5.44% reference, the example approver sequence, or the technical integration route as final until they are formally confirmed.</w:t>
            </w:r>
          </w:p>
        </w:tc>
      </w:tr>
    </w:tbl>
    <w:p>
      <w:pPr>
        <w:spacing w:after="0" w:before="0" w:line="264" w:lineRule="auto"/>
      </w:pPr>
      <w:r>
        <w:rPr>
          <w:rFonts w:ascii="Aptos" w:hAnsi="Aptos"/>
          <w:b w:val="0"/>
          <w:color w:val="354D5E"/>
          <w:sz w:val="4"/>
        </w:rPr>
      </w:r>
    </w:p>
    <w:p>
      <w:pPr>
        <w:spacing w:after="0" w:before="180" w:line="264" w:lineRule="auto"/>
      </w:pPr>
      <w:r>
        <w:rPr>
          <w:rFonts w:ascii="Aptos" w:hAnsi="Aptos"/>
          <w:b w:val="0"/>
          <w:color w:val="567085"/>
          <w:sz w:val="17"/>
        </w:rPr>
        <w:t>Document basis: the attached “First open the screen of Rejection.docx” (four pages, five screenshots) and the supplied reject-rate example. Screenshots reflect visible FOCUS behavior only; all new conditional logic in this proposal is a future-state requirement.</w:t>
      </w:r>
    </w:p>
    <w:sectPr w:rsidR="00FC693F" w:rsidRPr="0006063C" w:rsidSect="00034616">
      <w:headerReference w:type="default" r:id="rId9"/>
      <w:footerReference w:type="default" r:id="rId10"/>
      <w:pgSz w:w="16834" w:h="11909"/>
      <w:pgMar w:top="979" w:right="1022" w:bottom="893" w:left="1022" w:header="432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67085"/>
        <w:sz w:val="14"/>
      </w:rPr>
      <w:t xml:space="preserve">CONTROLLED PROPOSAL  •  27 OCT 2026     |     </w:t>
    </w:r>
    <w:r>
      <w:rPr>
        <w:rFonts w:ascii="Aptos" w:hAnsi="Aptos"/>
        <w:b/>
        <w:color w:val="567085"/>
        <w:sz w:val="14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A668C"/>
        <w:sz w:val="16"/>
      </w:rPr>
      <w:t>FOCUS  /  QUALITY OPERATIONS  /  MANAGEMENT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354D5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2B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02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02B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Conditional Rejection Approval Workflow — Management Proposal</dc:title>
  <dc:subject>Historical Reject Data and Workflow Approval in FOCUS</dc:subject>
  <dc:creator>QC Compliance</dc:creator>
  <cp:keywords>FOCUS, Rejection, Workflow Approval, historical reject, management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