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/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087E83"/>
          <w:sz w:val="16"/>
          <w:rtl w:val="1"/>
        </w:rPr>
        <w:t>مقترح للإدارة  /  AUTOMATED APPROVALS</w:t>
      </w:r>
    </w:p>
    <w:p>
      <w:pPr>
        <w:spacing w:before="0" w:after="0" w:line="32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22B45"/>
          <w:sz w:val="45"/>
          <w:rtl w:val="1"/>
        </w:rPr>
        <w:t>نظام الموافقات التلقائية</w:t>
      </w:r>
    </w:p>
    <w:p>
      <w:pPr>
        <w:spacing w:before="0" w:after="240" w:line="33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22B45"/>
          <w:sz w:val="45"/>
          <w:rtl w:val="1"/>
        </w:rPr>
        <w:t>المعتمد على نسب رفض المنتجات</w:t>
      </w:r>
    </w:p>
    <w:p>
      <w:pPr>
        <w:spacing w:before="0" w:after="260" w:line="288" w:lineRule="auto"/>
        <w:jc w:val="right"/>
        <w:bidi w:val="0"/>
      </w:pPr>
      <w:r>
        <w:rPr>
          <w:rFonts w:ascii="DejaVu Sans" w:hAnsi="DejaVu Sans" w:eastAsia="DejaVu Sans" w:cs="DejaVu Sans"/>
          <w:b/>
          <w:color w:val="087E83"/>
          <w:sz w:val="24"/>
          <w:rtl w:val="0"/>
        </w:rPr>
        <w:t>Automatic Reject-Rate Approval Workflow</w:t>
      </w:r>
    </w:p>
    <w:p>
      <w:pPr>
        <w:spacing w:before="0" w:after="340" w:line="324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52687B"/>
          <w:sz w:val="22"/>
          <w:rtl w:val="1"/>
        </w:rPr>
        <w:t>مقترح لنظام مستقل مرتبط بالأنظمة الداخلية للشركة، يستخدم بيانات الرفض التاريخية من عام 2025 لتحديد متى يجب إنشاء طلب Workflow Approval بشكل آلي.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17"/>
      </w:tblGrid>
      <w:tr>
        <w:tc>
          <w:tcPr>
            <w:tcW w:type="dxa" w:w="9717"/>
            <w:shd w:fill="122B45"/>
            <w:tcMar>
              <w:top w:w="190" w:type="dxa"/>
              <w:start w:w="220" w:type="dxa"/>
              <w:bottom w:w="190" w:type="dxa"/>
              <w:end w:w="220" w:type="dxa"/>
            </w:tcMar>
          </w:tcPr>
          <w:p>
            <w:pPr>
              <w:spacing w:after="10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84D4D2"/>
                <w:sz w:val="20"/>
                <w:rtl w:val="1"/>
              </w:rPr>
              <w:t>القرار الإداري المقترح</w:t>
            </w:r>
          </w:p>
          <w:p>
            <w:pPr>
              <w:spacing w:after="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FFFFFF"/>
                <w:sz w:val="20"/>
                <w:rtl w:val="1"/>
              </w:rPr>
              <w:t>اعتماد مفهوم التفعيل الآلي للموافقات عند تجاوز حد الرفض المحدد لكل منتج، مع اعتماد الحدود ومصفوفة الموافقين قبل التشغيل الفعلي.</w:t>
            </w:r>
          </w:p>
        </w:tc>
      </w:tr>
    </w:tbl>
    <w:p>
      <w:pPr>
        <w:spacing w:before="0" w:after="40" w:line="324" w:lineRule="auto"/>
        <w:jc w:val="right"/>
        <w:bidi w:val="1"/>
      </w:pPr>
    </w:p>
    <w:p>
      <w:pPr>
        <w:spacing w:before="200" w:after="180"/>
        <w:jc w:val="right"/>
        <w:keepNext/>
        <w:bidi w:val="1"/>
      </w:pPr>
      <w:r>
        <w:rPr>
          <w:rFonts w:ascii="Noto Kufi Arabic" w:hAnsi="Noto Kufi Arabic" w:eastAsia="Noto Kufi Arabic" w:cs="Noto Kufi Arabic"/>
          <w:b/>
          <w:color w:val="122B45"/>
          <w:sz w:val="30"/>
          <w:rtl w:val="1"/>
        </w:rPr>
        <w:t>المثال الذي يوضح الفكرة</w:t>
      </w:r>
      <w:r>
        <w:rPr>
          <w:rFonts w:ascii="DejaVu Sans" w:hAnsi="DejaVu Sans" w:eastAsia="DejaVu Sans" w:cs="DejaVu Sans"/>
          <w:b/>
          <w:color w:val="087E83"/>
          <w:sz w:val="14"/>
          <w:rtl w:val="0"/>
        </w:rPr>
        <w:t xml:space="preserve">   USE CASE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39"/>
        <w:gridCol w:w="3239"/>
        <w:gridCol w:w="3239"/>
      </w:tblGrid>
      <w:tr>
        <w:tc>
          <w:tcPr>
            <w:tcW w:type="dxa" w:w="3239"/>
            <w:shd w:fill="FFF0F0"/>
            <w:tcMar>
              <w:top w:w="190" w:type="dxa"/>
              <w:start w:w="95" w:type="dxa"/>
              <w:bottom w:w="180" w:type="dxa"/>
              <w:end w:w="95" w:type="dxa"/>
            </w:tcMar>
          </w:tcPr>
          <w:p>
            <w:pPr>
              <w:spacing w:after="160"/>
              <w:jc w:val="center"/>
              <w:bidi w:val="0"/>
            </w:pPr>
            <w:r>
              <w:rPr>
                <w:rFonts w:ascii="DejaVu Sans" w:hAnsi="DejaVu Sans" w:eastAsia="DejaVu Sans" w:cs="DejaVu Sans"/>
                <w:b/>
                <w:color w:val="B54845"/>
                <w:sz w:val="40"/>
                <w:rtl w:val="0"/>
              </w:rPr>
              <w:t>10.00%</w:t>
            </w:r>
          </w:p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52687B"/>
                <w:sz w:val="17"/>
                <w:rtl w:val="1"/>
              </w:rPr>
              <w:t>نسبة الرفض المسجلة</w:t>
            </w:r>
          </w:p>
        </w:tc>
        <w:tc>
          <w:tcPr>
            <w:tcW w:type="dxa" w:w="3239"/>
            <w:shd w:fill="E9F6F3"/>
            <w:tcMar>
              <w:top w:w="190" w:type="dxa"/>
              <w:start w:w="95" w:type="dxa"/>
              <w:bottom w:w="180" w:type="dxa"/>
              <w:end w:w="95" w:type="dxa"/>
            </w:tcMar>
          </w:tcPr>
          <w:p>
            <w:pPr>
              <w:spacing w:after="160"/>
              <w:jc w:val="center"/>
              <w:bidi w:val="0"/>
            </w:pPr>
            <w:r>
              <w:rPr>
                <w:rFonts w:ascii="DejaVu Sans" w:hAnsi="DejaVu Sans" w:eastAsia="DejaVu Sans" w:cs="DejaVu Sans"/>
                <w:b/>
                <w:color w:val="087E83"/>
                <w:sz w:val="40"/>
                <w:rtl w:val="0"/>
              </w:rPr>
              <w:t>5.44%</w:t>
            </w:r>
          </w:p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52687B"/>
                <w:sz w:val="17"/>
                <w:rtl w:val="1"/>
              </w:rPr>
              <w:t>المرجع التاريخي 2025</w:t>
            </w:r>
          </w:p>
        </w:tc>
        <w:tc>
          <w:tcPr>
            <w:tcW w:type="dxa" w:w="3239"/>
            <w:shd w:fill="EDF3F8"/>
            <w:tcMar>
              <w:top w:w="190" w:type="dxa"/>
              <w:start w:w="95" w:type="dxa"/>
              <w:bottom w:w="180" w:type="dxa"/>
              <w:end w:w="95" w:type="dxa"/>
            </w:tcMar>
          </w:tcPr>
          <w:p>
            <w:pPr>
              <w:spacing w:after="160"/>
              <w:jc w:val="center"/>
              <w:bidi w:val="0"/>
            </w:pPr>
            <w:r>
              <w:rPr>
                <w:rFonts w:ascii="DejaVu Sans" w:hAnsi="DejaVu Sans" w:eastAsia="DejaVu Sans" w:cs="DejaVu Sans"/>
                <w:b/>
                <w:color w:val="122B45"/>
                <w:sz w:val="40"/>
                <w:rtl w:val="0"/>
              </w:rPr>
              <w:t>+4.56</w:t>
            </w:r>
          </w:p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52687B"/>
                <w:sz w:val="17"/>
                <w:rtl w:val="1"/>
              </w:rPr>
              <w:t>فرق بالنقاط المئوية</w:t>
            </w:r>
          </w:p>
        </w:tc>
      </w:tr>
    </w:tbl>
    <w:p>
      <w:pPr>
        <w:spacing w:before="0" w:after="40" w:line="324" w:lineRule="auto"/>
        <w:jc w:val="right"/>
        <w:bidi w:val="1"/>
      </w:pPr>
    </w:p>
    <w:p>
      <w:pPr>
        <w:spacing w:before="200" w:after="180"/>
        <w:jc w:val="right"/>
        <w:keepNext/>
        <w:bidi w:val="1"/>
      </w:pPr>
      <w:r>
        <w:rPr>
          <w:rFonts w:ascii="Noto Kufi Arabic" w:hAnsi="Noto Kufi Arabic" w:eastAsia="Noto Kufi Arabic" w:cs="Noto Kufi Arabic"/>
          <w:b/>
          <w:color w:val="122B45"/>
          <w:sz w:val="30"/>
          <w:rtl w:val="1"/>
        </w:rPr>
        <w:t>الفكرة التشغيلية</w:t>
      </w:r>
      <w:r>
        <w:rPr>
          <w:rFonts w:ascii="DejaVu Sans" w:hAnsi="DejaVu Sans" w:eastAsia="DejaVu Sans" w:cs="DejaVu Sans"/>
          <w:b/>
          <w:color w:val="087E83"/>
          <w:sz w:val="14"/>
          <w:rtl w:val="0"/>
        </w:rPr>
        <w:t xml:space="preserve">   ONE CLEAR RULE</w:t>
      </w:r>
    </w:p>
    <w:p>
      <w:pPr>
        <w:spacing w:before="0" w:after="180" w:line="324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22B45"/>
          <w:sz w:val="20"/>
          <w:rtl w:val="1"/>
        </w:rPr>
        <w:t>عند تسجيل Daily Reject، يحسب النظام النسبة ويقارنها بحد التفعيل المعتمد للمنتج. عند تجاوزه، ينشئ طلب موافقات آليًا ويربطه بالسجل، ويمنع الإغلاق حتى اكتمال الاعتمادات المطلوبة.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0"/>
        <w:gridCol w:w="4810"/>
      </w:tblGrid>
      <w:tr>
        <w:tc>
          <w:tcPr>
            <w:tcW w:type="dxa" w:w="4858"/>
            <w:shd w:fill="EDF3F8"/>
            <w:tcMar>
              <w:top w:w="160" w:type="dxa"/>
              <w:start w:w="180" w:type="dxa"/>
              <w:bottom w:w="165" w:type="dxa"/>
              <w:end w:w="180" w:type="dxa"/>
            </w:tcMar>
          </w:tcPr>
          <w:p>
            <w:pPr>
              <w:spacing w:after="14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087E83"/>
                <w:sz w:val="20"/>
                <w:rtl w:val="1"/>
              </w:rPr>
              <w:t>ما الذي سيتغير؟</w:t>
            </w:r>
          </w:p>
          <w:p>
            <w:pPr>
              <w:spacing w:after="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22B45"/>
                <w:sz w:val="18"/>
                <w:rtl w:val="1"/>
              </w:rPr>
              <w:t>طلب الموافقات يصبح آليًا بناءً على نسبة رفض المنتج، بدون إنشاء يدوي لمسار اعتماد جديد.</w:t>
            </w:r>
          </w:p>
        </w:tc>
        <w:tc>
          <w:tcPr>
            <w:tcW w:type="dxa" w:w="4858"/>
            <w:shd w:fill="E9F6F3"/>
            <w:tcMar>
              <w:top w:w="160" w:type="dxa"/>
              <w:start w:w="180" w:type="dxa"/>
              <w:bottom w:w="165" w:type="dxa"/>
              <w:end w:w="180" w:type="dxa"/>
            </w:tcMar>
          </w:tcPr>
          <w:p>
            <w:pPr>
              <w:spacing w:after="14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087E83"/>
                <w:sz w:val="20"/>
                <w:rtl w:val="1"/>
              </w:rPr>
              <w:t>ما الذي لن يتغير؟</w:t>
            </w:r>
          </w:p>
          <w:p>
            <w:pPr>
              <w:spacing w:after="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22B45"/>
                <w:sz w:val="18"/>
                <w:rtl w:val="1"/>
              </w:rPr>
              <w:t>صلاحيات الاعتماد والقرارات النهائية تظل وفق مصفوفة الشركة؛ ولا ينشأ NCR أو CAPA تلقائيًا.</w:t>
            </w:r>
          </w:p>
        </w:tc>
      </w:tr>
    </w:tbl>
    <w:p>
      <w:pPr>
        <w:spacing w:before="220" w:after="0" w:line="324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6B7F90"/>
          <w:sz w:val="17"/>
          <w:rtl w:val="1"/>
        </w:rPr>
        <w:t>النطاق: هذا المقترح خاص بنظام الشركة المقصود ولا يفترض أي تعديل أو ربط مع QC Universe.</w:t>
      </w:r>
    </w:p>
    <w:p>
      <w:pPr>
        <w:spacing w:before="0" w:after="140" w:line="324" w:lineRule="auto"/>
        <w:jc w:val="right"/>
        <w:bidi w:val="1"/>
      </w:pPr>
    </w:p>
    <w:p>
      <w:pPr>
        <w:spacing w:before="40" w:after="120"/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087E83"/>
          <w:sz w:val="16"/>
          <w:rtl w:val="1"/>
        </w:rPr>
        <w:t>02  /  EXAMPLE &amp; DECISION LOGIC</w:t>
      </w:r>
    </w:p>
    <w:p>
      <w:pPr>
        <w:spacing w:before="200" w:after="180"/>
        <w:jc w:val="right"/>
        <w:keepNext/>
        <w:bidi w:val="1"/>
      </w:pPr>
      <w:r>
        <w:rPr>
          <w:rFonts w:ascii="Noto Kufi Arabic" w:hAnsi="Noto Kufi Arabic" w:eastAsia="Noto Kufi Arabic" w:cs="Noto Kufi Arabic"/>
          <w:b/>
          <w:color w:val="122B45"/>
          <w:sz w:val="30"/>
          <w:rtl w:val="1"/>
        </w:rPr>
        <w:t>كيف سيعمل على حالة فعلية؟</w:t>
      </w:r>
      <w:r>
        <w:rPr>
          <w:rFonts w:ascii="DejaVu Sans" w:hAnsi="DejaVu Sans" w:eastAsia="DejaVu Sans" w:cs="DejaVu Sans"/>
          <w:b/>
          <w:color w:val="087E83"/>
          <w:sz w:val="14"/>
          <w:rtl w:val="0"/>
        </w:rPr>
        <w:t xml:space="preserve">   PRODUCT EXAMPLE</w:t>
      </w:r>
    </w:p>
    <w:p>
      <w:pPr>
        <w:spacing w:before="0" w:after="200" w:line="324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52687B"/>
          <w:sz w:val="18"/>
          <w:rtl w:val="1"/>
        </w:rPr>
        <w:t>البيانات التالية مثال توضيحي لطريقة التفعيل، وليست معاملة تمت معالجتها بالفعل في النظام.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29"/>
        <w:gridCol w:w="2429"/>
        <w:gridCol w:w="2429"/>
        <w:gridCol w:w="2429"/>
      </w:tblGrid>
      <w:tr>
        <w:tc>
          <w:tcPr>
            <w:tcW w:type="dxa" w:w="2429"/>
            <w:shd w:fill="F3F7FA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52687B"/>
                <w:sz w:val="18"/>
                <w:rtl w:val="1"/>
              </w:rPr>
              <w:t>كود المنتج</w:t>
            </w:r>
          </w:p>
        </w:tc>
        <w:tc>
          <w:tcPr>
            <w:tcW w:type="dxa" w:w="2429"/>
            <w:shd w:fill="EDF3F8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</w:tcPr>
          <w:p>
            <w:pPr>
              <w:spacing w:after="0" w:line="300" w:lineRule="auto"/>
              <w:jc w:val="center"/>
              <w:bidi w:val="0"/>
            </w:pPr>
            <w:r>
              <w:rPr>
                <w:rFonts w:ascii="DejaVu Sans" w:hAnsi="DejaVu Sans" w:eastAsia="DejaVu Sans" w:cs="DejaVu Sans"/>
                <w:b/>
                <w:color w:val="122B45"/>
                <w:sz w:val="18"/>
                <w:rtl w:val="0"/>
              </w:rPr>
              <w:t>BU-340-1000 Mask</w:t>
            </w:r>
          </w:p>
        </w:tc>
        <w:tc>
          <w:tcPr>
            <w:tcW w:type="dxa" w:w="2429"/>
            <w:shd w:fill="F3F7FA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52687B"/>
                <w:sz w:val="18"/>
                <w:rtl w:val="1"/>
              </w:rPr>
              <w:t>رقم التشغيلة (Lot)</w:t>
            </w:r>
          </w:p>
        </w:tc>
        <w:tc>
          <w:tcPr>
            <w:tcW w:type="dxa" w:w="2429"/>
            <w:shd w:fill="EDF3F8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</w:tcPr>
          <w:p>
            <w:pPr>
              <w:spacing w:after="0" w:line="300" w:lineRule="auto"/>
              <w:jc w:val="center"/>
              <w:bidi w:val="0"/>
            </w:pPr>
            <w:r>
              <w:rPr>
                <w:rFonts w:ascii="DejaVu Sans" w:hAnsi="DejaVu Sans" w:eastAsia="DejaVu Sans" w:cs="DejaVu Sans"/>
                <w:b/>
                <w:color w:val="122B45"/>
                <w:sz w:val="18"/>
                <w:rtl w:val="0"/>
              </w:rPr>
              <w:t>20181107</w:t>
            </w:r>
          </w:p>
        </w:tc>
      </w:tr>
      <w:tr>
        <w:tc>
          <w:tcPr>
            <w:tcW w:type="dxa" w:w="2429"/>
            <w:shd w:fill="F3F7FA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52687B"/>
                <w:sz w:val="18"/>
                <w:rtl w:val="1"/>
              </w:rPr>
              <w:t>كمية الإنتاج</w:t>
            </w:r>
          </w:p>
        </w:tc>
        <w:tc>
          <w:tcPr>
            <w:tcW w:type="dxa" w:w="2429"/>
            <w:shd w:fill="EDF3F8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</w:tcPr>
          <w:p>
            <w:pPr>
              <w:spacing w:after="0" w:line="300" w:lineRule="auto"/>
              <w:jc w:val="center"/>
              <w:bidi w:val="0"/>
            </w:pPr>
            <w:r>
              <w:rPr>
                <w:rFonts w:ascii="DejaVu Sans" w:hAnsi="DejaVu Sans" w:eastAsia="DejaVu Sans" w:cs="DejaVu Sans"/>
                <w:b/>
                <w:color w:val="122B45"/>
                <w:sz w:val="18"/>
                <w:rtl w:val="0"/>
              </w:rPr>
              <w:t>1,000</w:t>
            </w:r>
          </w:p>
        </w:tc>
        <w:tc>
          <w:tcPr>
            <w:tcW w:type="dxa" w:w="2429"/>
            <w:shd w:fill="F3F7FA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52687B"/>
                <w:sz w:val="18"/>
                <w:rtl w:val="1"/>
              </w:rPr>
              <w:t>كمية الرفض</w:t>
            </w:r>
          </w:p>
        </w:tc>
        <w:tc>
          <w:tcPr>
            <w:tcW w:type="dxa" w:w="2429"/>
            <w:shd w:fill="EDF3F8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</w:tcPr>
          <w:p>
            <w:pPr>
              <w:spacing w:after="0" w:line="300" w:lineRule="auto"/>
              <w:jc w:val="center"/>
              <w:bidi w:val="0"/>
            </w:pPr>
            <w:r>
              <w:rPr>
                <w:rFonts w:ascii="DejaVu Sans" w:hAnsi="DejaVu Sans" w:eastAsia="DejaVu Sans" w:cs="DejaVu Sans"/>
                <w:b/>
                <w:color w:val="122B45"/>
                <w:sz w:val="18"/>
                <w:rtl w:val="0"/>
              </w:rPr>
              <w:t>100</w:t>
            </w:r>
          </w:p>
        </w:tc>
      </w:tr>
    </w:tbl>
    <w:p>
      <w:pPr>
        <w:spacing w:before="0" w:after="60" w:line="324" w:lineRule="auto"/>
        <w:jc w:val="right"/>
        <w:bidi w:val="1"/>
      </w:pPr>
    </w:p>
    <w:p>
      <w:r>
        <w:drawing>
          <wp:inline xmlns:a="http://schemas.openxmlformats.org/drawingml/2006/main" xmlns:pic="http://schemas.openxmlformats.org/drawingml/2006/picture">
            <wp:extent cx="5989320" cy="1357579"/>
            <wp:docPr id="1" name="Picture 1" descr="مقارنة بصرية بين نسبة الرفض الحالية 10 بالمئة ومعدل 2025 التاريخي 5.44 بالمئ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357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24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52687B"/>
          <w:sz w:val="18"/>
          <w:rtl w:val="1"/>
        </w:rPr>
        <w:t>النتيجة: نسبة الرفض الحالية 10%، أعلى من المرجع بمقدار 4.56 نقطة مئوية (زيادة نسبية قدرها 83.82%).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17"/>
      </w:tblGrid>
      <w:tr>
        <w:tc>
          <w:tcPr>
            <w:tcW w:type="dxa" w:w="9717"/>
            <w:shd w:fill="E9F6F3"/>
            <w:tcMar>
              <w:top w:w="190" w:type="dxa"/>
              <w:start w:w="220" w:type="dxa"/>
              <w:bottom w:w="190" w:type="dxa"/>
              <w:end w:w="220" w:type="dxa"/>
            </w:tcMar>
          </w:tcPr>
          <w:p>
            <w:pPr>
              <w:spacing w:after="10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087E83"/>
                <w:sz w:val="20"/>
                <w:rtl w:val="1"/>
              </w:rPr>
              <w:t>نتيجة المثال</w:t>
            </w:r>
          </w:p>
          <w:p>
            <w:pPr>
              <w:spacing w:after="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22B45"/>
                <w:sz w:val="20"/>
                <w:rtl w:val="1"/>
              </w:rPr>
              <w:t>إذا اعتُمدت نسبة 5.44% بوصفها حد تفعيل الموافقات لهذا المنتج، فإن تسجيل نسبة 10% يُنشئ Workflow Approval Request تلقائيًا.</w:t>
            </w:r>
          </w:p>
        </w:tc>
      </w:tr>
    </w:tbl>
    <w:p>
      <w:pPr>
        <w:spacing w:before="0" w:after="40" w:line="324" w:lineRule="auto"/>
        <w:jc w:val="right"/>
        <w:bidi w:val="1"/>
      </w:pPr>
    </w:p>
    <w:p>
      <w:pPr>
        <w:spacing w:before="200" w:after="180"/>
        <w:jc w:val="right"/>
        <w:keepNext/>
        <w:bidi w:val="1"/>
      </w:pPr>
      <w:r>
        <w:rPr>
          <w:rFonts w:ascii="Noto Kufi Arabic" w:hAnsi="Noto Kufi Arabic" w:eastAsia="Noto Kufi Arabic" w:cs="Noto Kufi Arabic"/>
          <w:b/>
          <w:color w:val="122B45"/>
          <w:sz w:val="30"/>
          <w:rtl w:val="1"/>
        </w:rPr>
        <w:t>تدفق اتخاذ القرار</w:t>
      </w:r>
      <w:r>
        <w:rPr>
          <w:rFonts w:ascii="DejaVu Sans" w:hAnsi="DejaVu Sans" w:eastAsia="DejaVu Sans" w:cs="DejaVu Sans"/>
          <w:b/>
          <w:color w:val="087E83"/>
          <w:sz w:val="14"/>
          <w:rtl w:val="0"/>
        </w:rPr>
        <w:t xml:space="preserve">   AUTOMATED ROUTING</w:t>
      </w:r>
    </w:p>
    <w:p>
      <w:r>
        <w:drawing>
          <wp:inline xmlns:a="http://schemas.openxmlformats.org/drawingml/2006/main" xmlns:pic="http://schemas.openxmlformats.org/drawingml/2006/picture">
            <wp:extent cx="5989320" cy="2076298"/>
            <wp:docPr id="2" name="Picture 2" descr="مخطط تفعيل طلب الموافقات تلقائيا إذا تجاوزت نسبة الرفض حد المنتج المعتم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076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 w:line="324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52687B"/>
          <w:sz w:val="18"/>
          <w:rtl w:val="1"/>
        </w:rPr>
        <w:t>ملاحظة: المتوسط التاريخي لا يصبح حدًا معتمدًا تلقائيًا. ينبغي اعتماد قيمة حد التفعيل لكل منتج من المسؤول المخوّل قبل تطبيق القاعدة.</w:t>
      </w:r>
    </w:p>
    <w:p>
      <w:pPr>
        <w:spacing w:before="0" w:after="140" w:line="324" w:lineRule="auto"/>
        <w:jc w:val="right"/>
        <w:bidi w:val="1"/>
      </w:pPr>
    </w:p>
    <w:p>
      <w:pPr>
        <w:spacing w:before="40" w:after="120"/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087E83"/>
          <w:sz w:val="16"/>
          <w:rtl w:val="1"/>
        </w:rPr>
        <w:t>03  /  APPROVAL WORKFLOW DESIGN</w:t>
      </w:r>
    </w:p>
    <w:p>
      <w:pPr>
        <w:spacing w:before="200" w:after="180"/>
        <w:jc w:val="right"/>
        <w:keepNext/>
        <w:bidi w:val="1"/>
      </w:pPr>
      <w:r>
        <w:rPr>
          <w:rFonts w:ascii="Noto Kufi Arabic" w:hAnsi="Noto Kufi Arabic" w:eastAsia="Noto Kufi Arabic" w:cs="Noto Kufi Arabic"/>
          <w:b/>
          <w:color w:val="122B45"/>
          <w:sz w:val="30"/>
          <w:rtl w:val="1"/>
        </w:rPr>
        <w:t>مسار الموافقات المطلوب</w:t>
      </w:r>
      <w:r>
        <w:rPr>
          <w:rFonts w:ascii="DejaVu Sans" w:hAnsi="DejaVu Sans" w:eastAsia="DejaVu Sans" w:cs="DejaVu Sans"/>
          <w:b/>
          <w:color w:val="087E83"/>
          <w:sz w:val="14"/>
          <w:rtl w:val="0"/>
        </w:rPr>
        <w:t xml:space="preserve">   APPROVAL REQUEST LIFECYCLE</w:t>
      </w:r>
    </w:p>
    <w:p>
      <w:pPr>
        <w:spacing w:before="0" w:after="240" w:line="324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22B45"/>
          <w:sz w:val="20"/>
          <w:rtl w:val="1"/>
        </w:rPr>
        <w:t>الهدف ليس فتح مراجعة أو تصعيد؛ الهدف هو إنشاء طلب موافقات إلكتروني مكتمل الشروط بمجرد تحقق قاعدة النسبة.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2232"/>
        <w:gridCol w:w="6552"/>
      </w:tblGrid>
      <w:tr>
        <w:tc>
          <w:tcPr>
            <w:tcW w:type="dxa" w:w="3239"/>
            <w:shd w:fill="E9F6F3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FFFFFF" w:sz="14"/>
            </w:tcBorders>
          </w:tcPr>
          <w:p>
            <w:pPr>
              <w:spacing w:after="0" w:line="300" w:lineRule="auto"/>
              <w:jc w:val="center"/>
              <w:bidi w:val="0"/>
            </w:pPr>
            <w:r>
              <w:rPr>
                <w:rFonts w:ascii="DejaVu Sans" w:hAnsi="DejaVu Sans" w:eastAsia="DejaVu Sans" w:cs="DejaVu Sans"/>
                <w:b/>
                <w:color w:val="087E83"/>
                <w:sz w:val="24"/>
                <w:rtl w:val="0"/>
              </w:rPr>
              <w:t>01</w:t>
            </w:r>
          </w:p>
        </w:tc>
        <w:tc>
          <w:tcPr>
            <w:tcW w:type="dxa" w:w="3239"/>
            <w:shd w:fill="F3F7FA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FFFFFF" w:sz="14"/>
            </w:tcBorders>
          </w:tcPr>
          <w:p>
            <w:pPr>
              <w:spacing w:after="0" w:line="300" w:lineRule="auto"/>
              <w:jc w:val="left"/>
              <w:bidi w:val="0"/>
            </w:pPr>
            <w:r>
              <w:rPr>
                <w:rFonts w:ascii="DejaVu Sans" w:hAnsi="DejaVu Sans" w:eastAsia="DejaVu Sans" w:cs="DejaVu Sans"/>
                <w:b/>
                <w:color w:val="122B45"/>
                <w:sz w:val="18"/>
                <w:rtl w:val="0"/>
              </w:rPr>
              <w:t>Submit</w:t>
            </w:r>
          </w:p>
        </w:tc>
        <w:tc>
          <w:tcPr>
            <w:tcW w:type="dxa" w:w="3239"/>
            <w:shd w:fill="F3F7FA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FFFFFF" w:sz="14"/>
            </w:tcBorders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22B45"/>
                <w:sz w:val="18"/>
                <w:rtl w:val="1"/>
              </w:rPr>
              <w:t>إرسال سجل الرفض اليومي بعد التحقق من إجمالي الإنتاج وكمية الرفض.</w:t>
            </w:r>
          </w:p>
        </w:tc>
      </w:tr>
      <w:tr>
        <w:tc>
          <w:tcPr>
            <w:tcW w:type="dxa" w:w="3239"/>
            <w:shd w:fill="E9F6F3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FFFFFF" w:sz="14"/>
            </w:tcBorders>
          </w:tcPr>
          <w:p>
            <w:pPr>
              <w:spacing w:after="0" w:line="300" w:lineRule="auto"/>
              <w:jc w:val="center"/>
              <w:bidi w:val="0"/>
            </w:pPr>
            <w:r>
              <w:rPr>
                <w:rFonts w:ascii="DejaVu Sans" w:hAnsi="DejaVu Sans" w:eastAsia="DejaVu Sans" w:cs="DejaVu Sans"/>
                <w:b/>
                <w:color w:val="087E83"/>
                <w:sz w:val="24"/>
                <w:rtl w:val="0"/>
              </w:rPr>
              <w:t>02</w:t>
            </w:r>
          </w:p>
        </w:tc>
        <w:tc>
          <w:tcPr>
            <w:tcW w:type="dxa" w:w="3239"/>
            <w:shd w:fill="F3F7FA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FFFFFF" w:sz="14"/>
            </w:tcBorders>
          </w:tcPr>
          <w:p>
            <w:pPr>
              <w:spacing w:after="0" w:line="300" w:lineRule="auto"/>
              <w:jc w:val="left"/>
              <w:bidi w:val="0"/>
            </w:pPr>
            <w:r>
              <w:rPr>
                <w:rFonts w:ascii="DejaVu Sans" w:hAnsi="DejaVu Sans" w:eastAsia="DejaVu Sans" w:cs="DejaVu Sans"/>
                <w:b/>
                <w:color w:val="122B45"/>
                <w:sz w:val="18"/>
                <w:rtl w:val="0"/>
              </w:rPr>
              <w:t>Trigger</w:t>
            </w:r>
          </w:p>
        </w:tc>
        <w:tc>
          <w:tcPr>
            <w:tcW w:type="dxa" w:w="3239"/>
            <w:shd w:fill="F3F7FA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FFFFFF" w:sz="14"/>
            </w:tcBorders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22B45"/>
                <w:sz w:val="18"/>
                <w:rtl w:val="1"/>
              </w:rPr>
              <w:t>التحقق آليًا من أن نسبة الرفض أكبر من حد التفعيل المعتمد للمنتج.</w:t>
            </w:r>
          </w:p>
        </w:tc>
      </w:tr>
      <w:tr>
        <w:tc>
          <w:tcPr>
            <w:tcW w:type="dxa" w:w="3239"/>
            <w:shd w:fill="E9F6F3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FFFFFF" w:sz="14"/>
            </w:tcBorders>
          </w:tcPr>
          <w:p>
            <w:pPr>
              <w:spacing w:after="0" w:line="300" w:lineRule="auto"/>
              <w:jc w:val="center"/>
              <w:bidi w:val="0"/>
            </w:pPr>
            <w:r>
              <w:rPr>
                <w:rFonts w:ascii="DejaVu Sans" w:hAnsi="DejaVu Sans" w:eastAsia="DejaVu Sans" w:cs="DejaVu Sans"/>
                <w:b/>
                <w:color w:val="087E83"/>
                <w:sz w:val="24"/>
                <w:rtl w:val="0"/>
              </w:rPr>
              <w:t>03</w:t>
            </w:r>
          </w:p>
        </w:tc>
        <w:tc>
          <w:tcPr>
            <w:tcW w:type="dxa" w:w="3239"/>
            <w:shd w:fill="F3F7FA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FFFFFF" w:sz="14"/>
            </w:tcBorders>
          </w:tcPr>
          <w:p>
            <w:pPr>
              <w:spacing w:after="0" w:line="300" w:lineRule="auto"/>
              <w:jc w:val="left"/>
              <w:bidi w:val="0"/>
            </w:pPr>
            <w:r>
              <w:rPr>
                <w:rFonts w:ascii="DejaVu Sans" w:hAnsi="DejaVu Sans" w:eastAsia="DejaVu Sans" w:cs="DejaVu Sans"/>
                <w:b/>
                <w:color w:val="122B45"/>
                <w:sz w:val="18"/>
                <w:rtl w:val="0"/>
              </w:rPr>
              <w:t>Create Approval</w:t>
            </w:r>
          </w:p>
        </w:tc>
        <w:tc>
          <w:tcPr>
            <w:tcW w:type="dxa" w:w="3239"/>
            <w:shd w:fill="F3F7FA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FFFFFF" w:sz="14"/>
            </w:tcBorders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22B45"/>
                <w:sz w:val="18"/>
                <w:rtl w:val="1"/>
              </w:rPr>
              <w:t>إنشاء رقم Workflow Approval وربطه بالمنتج والـ Lot وسجل الرفض.</w:t>
            </w:r>
          </w:p>
        </w:tc>
      </w:tr>
      <w:tr>
        <w:tc>
          <w:tcPr>
            <w:tcW w:type="dxa" w:w="3239"/>
            <w:shd w:fill="E9F6F3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FFFFFF" w:sz="14"/>
            </w:tcBorders>
          </w:tcPr>
          <w:p>
            <w:pPr>
              <w:spacing w:after="0" w:line="300" w:lineRule="auto"/>
              <w:jc w:val="center"/>
              <w:bidi w:val="0"/>
            </w:pPr>
            <w:r>
              <w:rPr>
                <w:rFonts w:ascii="DejaVu Sans" w:hAnsi="DejaVu Sans" w:eastAsia="DejaVu Sans" w:cs="DejaVu Sans"/>
                <w:b/>
                <w:color w:val="087E83"/>
                <w:sz w:val="24"/>
                <w:rtl w:val="0"/>
              </w:rPr>
              <w:t>04</w:t>
            </w:r>
          </w:p>
        </w:tc>
        <w:tc>
          <w:tcPr>
            <w:tcW w:type="dxa" w:w="3239"/>
            <w:shd w:fill="F3F7FA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FFFFFF" w:sz="14"/>
            </w:tcBorders>
          </w:tcPr>
          <w:p>
            <w:pPr>
              <w:spacing w:after="0" w:line="300" w:lineRule="auto"/>
              <w:jc w:val="left"/>
              <w:bidi w:val="0"/>
            </w:pPr>
            <w:r>
              <w:rPr>
                <w:rFonts w:ascii="DejaVu Sans" w:hAnsi="DejaVu Sans" w:eastAsia="DejaVu Sans" w:cs="DejaVu Sans"/>
                <w:b/>
                <w:color w:val="122B45"/>
                <w:sz w:val="18"/>
                <w:rtl w:val="0"/>
              </w:rPr>
              <w:t>Route &amp; Approve</w:t>
            </w:r>
          </w:p>
        </w:tc>
        <w:tc>
          <w:tcPr>
            <w:tcW w:type="dxa" w:w="3239"/>
            <w:shd w:fill="F3F7FA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FFFFFF" w:sz="14"/>
            </w:tcBorders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22B45"/>
                <w:sz w:val="18"/>
                <w:rtl w:val="1"/>
              </w:rPr>
              <w:t>توجيه الطلب تلقائيًا للموافقين المحددين بمصفوفة الشركة بالتسلسل أو بالتوازي.</w:t>
            </w:r>
          </w:p>
        </w:tc>
      </w:tr>
      <w:tr>
        <w:tc>
          <w:tcPr>
            <w:tcW w:type="dxa" w:w="3239"/>
            <w:shd w:fill="E9F6F3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FFFFFF" w:sz="14"/>
            </w:tcBorders>
          </w:tcPr>
          <w:p>
            <w:pPr>
              <w:spacing w:after="0" w:line="300" w:lineRule="auto"/>
              <w:jc w:val="center"/>
              <w:bidi w:val="0"/>
            </w:pPr>
            <w:r>
              <w:rPr>
                <w:rFonts w:ascii="DejaVu Sans" w:hAnsi="DejaVu Sans" w:eastAsia="DejaVu Sans" w:cs="DejaVu Sans"/>
                <w:b/>
                <w:color w:val="087E83"/>
                <w:sz w:val="24"/>
                <w:rtl w:val="0"/>
              </w:rPr>
              <w:t>05</w:t>
            </w:r>
          </w:p>
        </w:tc>
        <w:tc>
          <w:tcPr>
            <w:tcW w:type="dxa" w:w="3239"/>
            <w:shd w:fill="F3F7FA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FFFFFF" w:sz="14"/>
            </w:tcBorders>
          </w:tcPr>
          <w:p>
            <w:pPr>
              <w:spacing w:after="0" w:line="300" w:lineRule="auto"/>
              <w:jc w:val="left"/>
              <w:bidi w:val="0"/>
            </w:pPr>
            <w:r>
              <w:rPr>
                <w:rFonts w:ascii="DejaVu Sans" w:hAnsi="DejaVu Sans" w:eastAsia="DejaVu Sans" w:cs="DejaVu Sans"/>
                <w:b/>
                <w:color w:val="122B45"/>
                <w:sz w:val="18"/>
                <w:rtl w:val="0"/>
              </w:rPr>
              <w:t>Close</w:t>
            </w:r>
          </w:p>
        </w:tc>
        <w:tc>
          <w:tcPr>
            <w:tcW w:type="dxa" w:w="3239"/>
            <w:shd w:fill="F3F7FA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FFFFFF" w:sz="14"/>
            </w:tcBorders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22B45"/>
                <w:sz w:val="18"/>
                <w:rtl w:val="1"/>
              </w:rPr>
              <w:t>إتاحة إغلاق السجل بعد اكتمال الموافقات الإلزامية، مع توثيق كافة القرارات.</w:t>
            </w:r>
          </w:p>
        </w:tc>
      </w:tr>
    </w:tbl>
    <w:p>
      <w:pPr>
        <w:spacing w:before="0" w:after="80" w:line="324" w:lineRule="auto"/>
        <w:jc w:val="right"/>
        <w:bidi w:val="1"/>
      </w:pPr>
    </w:p>
    <w:p>
      <w:pPr>
        <w:spacing w:before="200" w:after="180"/>
        <w:jc w:val="right"/>
        <w:keepNext/>
        <w:bidi w:val="1"/>
      </w:pPr>
      <w:r>
        <w:rPr>
          <w:rFonts w:ascii="Noto Kufi Arabic" w:hAnsi="Noto Kufi Arabic" w:eastAsia="Noto Kufi Arabic" w:cs="Noto Kufi Arabic"/>
          <w:b/>
          <w:color w:val="122B45"/>
          <w:sz w:val="30"/>
          <w:rtl w:val="1"/>
        </w:rPr>
        <w:t>مصفوفة توجيه الموافقات</w:t>
      </w:r>
      <w:r>
        <w:rPr>
          <w:rFonts w:ascii="DejaVu Sans" w:hAnsi="DejaVu Sans" w:eastAsia="DejaVu Sans" w:cs="DejaVu Sans"/>
          <w:b/>
          <w:color w:val="087E83"/>
          <w:sz w:val="14"/>
          <w:rtl w:val="0"/>
        </w:rPr>
        <w:t xml:space="preserve">   CONFIGURABLE APPROVAL MATRIX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39"/>
        <w:gridCol w:w="3239"/>
        <w:gridCol w:w="3239"/>
      </w:tblGrid>
      <w:tr>
        <w:trPr>
          <w:tblHeader/>
        </w:trPr>
        <w:tc>
          <w:tcPr>
            <w:tcW w:type="dxa" w:w="3239"/>
            <w:shd w:fill="122B45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9"/>
                <w:rtl w:val="1"/>
              </w:rPr>
              <w:t>الشرط</w:t>
            </w:r>
          </w:p>
        </w:tc>
        <w:tc>
          <w:tcPr>
            <w:tcW w:type="dxa" w:w="3239"/>
            <w:shd w:fill="122B45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9"/>
                <w:rtl w:val="1"/>
              </w:rPr>
              <w:t>تصرف النظام</w:t>
            </w:r>
          </w:p>
        </w:tc>
        <w:tc>
          <w:tcPr>
            <w:tcW w:type="dxa" w:w="3239"/>
            <w:shd w:fill="122B45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9"/>
                <w:rtl w:val="1"/>
              </w:rPr>
              <w:t>الاعتماد</w:t>
            </w:r>
          </w:p>
        </w:tc>
      </w:tr>
      <w:tr>
        <w:tc>
          <w:tcPr>
            <w:tcW w:type="dxa" w:w="3239"/>
            <w:shd w:fill="F3F7FA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DFE8EF" w:sz="5"/>
            </w:tcBorders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22B45"/>
                <w:sz w:val="17"/>
                <w:rtl w:val="1"/>
              </w:rPr>
              <w:t>النسبة ضمن الحد</w:t>
            </w:r>
          </w:p>
        </w:tc>
        <w:tc>
          <w:tcPr>
            <w:tcW w:type="dxa" w:w="3239"/>
            <w:shd w:fill="F3F7FA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DFE8EF" w:sz="5"/>
            </w:tcBorders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22B45"/>
                <w:sz w:val="17"/>
                <w:rtl w:val="1"/>
              </w:rPr>
              <w:t>مسار Daily Reject العادي</w:t>
            </w:r>
          </w:p>
        </w:tc>
        <w:tc>
          <w:tcPr>
            <w:tcW w:type="dxa" w:w="3239"/>
            <w:shd w:fill="F3F7FA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DFE8EF" w:sz="5"/>
            </w:tcBorders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22B45"/>
                <w:sz w:val="17"/>
                <w:rtl w:val="1"/>
              </w:rPr>
              <w:t>حسب الإجراء اليومي الحالي</w:t>
            </w:r>
          </w:p>
        </w:tc>
      </w:tr>
      <w:tr>
        <w:tc>
          <w:tcPr>
            <w:tcW w:type="dxa" w:w="3239"/>
            <w:shd w:fill="FFFFFF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DFE8EF" w:sz="5"/>
            </w:tcBorders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22B45"/>
                <w:sz w:val="17"/>
                <w:rtl w:val="1"/>
              </w:rPr>
              <w:t>النسبة أعلى من الحد</w:t>
            </w:r>
          </w:p>
        </w:tc>
        <w:tc>
          <w:tcPr>
            <w:tcW w:type="dxa" w:w="3239"/>
            <w:shd w:fill="FFFFFF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DFE8EF" w:sz="5"/>
            </w:tcBorders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22B45"/>
                <w:sz w:val="17"/>
                <w:rtl w:val="1"/>
              </w:rPr>
              <w:t>إنشاء طلب Workflow Approval</w:t>
            </w:r>
          </w:p>
        </w:tc>
        <w:tc>
          <w:tcPr>
            <w:tcW w:type="dxa" w:w="3239"/>
            <w:shd w:fill="FFFFFF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DFE8EF" w:sz="5"/>
            </w:tcBorders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22B45"/>
                <w:sz w:val="17"/>
                <w:rtl w:val="1"/>
              </w:rPr>
              <w:t>الأشخاص المحددون حسب مصفوفة الموافقات</w:t>
            </w:r>
          </w:p>
        </w:tc>
      </w:tr>
      <w:tr>
        <w:tc>
          <w:tcPr>
            <w:tcW w:type="dxa" w:w="3239"/>
            <w:shd w:fill="F3F7FA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DFE8EF" w:sz="5"/>
            </w:tcBorders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22B45"/>
                <w:sz w:val="17"/>
                <w:rtl w:val="1"/>
              </w:rPr>
              <w:t>حد المنتج غير متاح/غير معتمد</w:t>
            </w:r>
          </w:p>
        </w:tc>
        <w:tc>
          <w:tcPr>
            <w:tcW w:type="dxa" w:w="3239"/>
            <w:shd w:fill="F3F7FA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DFE8EF" w:sz="5"/>
            </w:tcBorders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22B45"/>
                <w:sz w:val="17"/>
                <w:rtl w:val="1"/>
              </w:rPr>
              <w:t>تطبيق مسار استثناء مضبوط</w:t>
            </w:r>
          </w:p>
        </w:tc>
        <w:tc>
          <w:tcPr>
            <w:tcW w:type="dxa" w:w="3239"/>
            <w:shd w:fill="F3F7FA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DFE8EF" w:sz="5"/>
            </w:tcBorders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22B45"/>
                <w:sz w:val="17"/>
                <w:rtl w:val="1"/>
              </w:rPr>
              <w:t>المسؤول المحدد في سياسة البيانات</w:t>
            </w:r>
          </w:p>
        </w:tc>
      </w:tr>
    </w:tbl>
    <w:p>
      <w:pPr>
        <w:spacing w:before="0" w:after="60" w:line="324" w:lineRule="auto"/>
        <w:jc w:val="right"/>
        <w:bidi w:val="1"/>
      </w:pPr>
    </w:p>
    <w:p>
      <w:pPr>
        <w:spacing w:before="100" w:after="100" w:line="32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22B45"/>
          <w:sz w:val="21"/>
          <w:rtl w:val="1"/>
        </w:rPr>
        <w:t>حالات الطلب داخل النظام</w:t>
      </w:r>
    </w:p>
    <w:p>
      <w:pPr>
        <w:spacing w:before="0" w:after="160" w:line="324" w:lineRule="auto"/>
        <w:jc w:val="center"/>
        <w:bidi w:val="0"/>
      </w:pPr>
      <w:r>
        <w:rPr>
          <w:rFonts w:ascii="DejaVu Sans" w:hAnsi="DejaVu Sans" w:eastAsia="DejaVu Sans" w:cs="DejaVu Sans"/>
          <w:b/>
          <w:color w:val="087E83"/>
          <w:sz w:val="18"/>
          <w:rtl w:val="0"/>
        </w:rPr>
        <w:t>Draft  →  Pending Approval  →  Approved  →  Closed</w:t>
      </w:r>
    </w:p>
    <w:p>
      <w:pPr>
        <w:spacing w:before="0" w:after="80" w:line="324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52687B"/>
          <w:sz w:val="18"/>
          <w:rtl w:val="1"/>
        </w:rPr>
        <w:t>رفض طلب الاعتماد يعني إرجاع السجل للتصحيح أو القرار وفق الإعدادات، وليس تحويل المنتج تلقائيًا إلى NCR أو إصدار Reject رسمي.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17"/>
      </w:tblGrid>
      <w:tr>
        <w:tc>
          <w:tcPr>
            <w:tcW w:type="dxa" w:w="9717"/>
            <w:shd w:fill="F3F7FA"/>
            <w:tcMar>
              <w:top w:w="190" w:type="dxa"/>
              <w:start w:w="220" w:type="dxa"/>
              <w:bottom w:w="190" w:type="dxa"/>
              <w:end w:w="220" w:type="dxa"/>
            </w:tcMar>
          </w:tcPr>
          <w:p>
            <w:pPr>
              <w:spacing w:after="10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087E83"/>
                <w:sz w:val="20"/>
                <w:rtl w:val="1"/>
              </w:rPr>
              <w:t>قاعدة تحكم أساسية</w:t>
            </w:r>
          </w:p>
          <w:p>
            <w:pPr>
              <w:spacing w:after="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22B45"/>
                <w:sz w:val="20"/>
                <w:rtl w:val="1"/>
              </w:rPr>
              <w:t>لا يسمح النظام بإغلاق السجل أو تجاوز الاعتماد المطلوب، ويعيد تقييم الموافقات إذا تغيرت كمية الإنتاج أو الرفض بعد إرسال الطلب.</w:t>
            </w:r>
          </w:p>
        </w:tc>
      </w:tr>
    </w:tbl>
    <w:p>
      <w:pPr>
        <w:spacing w:before="0" w:after="40" w:line="324" w:lineRule="auto"/>
        <w:jc w:val="right"/>
        <w:bidi w:val="1"/>
      </w:pPr>
    </w:p>
    <w:p>
      <w:pPr>
        <w:spacing w:before="0" w:after="140" w:line="324" w:lineRule="auto"/>
        <w:jc w:val="right"/>
        <w:bidi w:val="1"/>
      </w:pPr>
    </w:p>
    <w:p>
      <w:pPr>
        <w:spacing w:before="40" w:after="120"/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087E83"/>
          <w:sz w:val="16"/>
          <w:rtl w:val="1"/>
        </w:rPr>
        <w:t>04  /  DATA &amp; CONTROL DESIGN</w:t>
      </w:r>
    </w:p>
    <w:p>
      <w:pPr>
        <w:spacing w:before="200" w:after="180"/>
        <w:jc w:val="right"/>
        <w:keepNext/>
        <w:bidi w:val="1"/>
      </w:pPr>
      <w:r>
        <w:rPr>
          <w:rFonts w:ascii="Noto Kufi Arabic" w:hAnsi="Noto Kufi Arabic" w:eastAsia="Noto Kufi Arabic" w:cs="Noto Kufi Arabic"/>
          <w:b/>
          <w:color w:val="122B45"/>
          <w:sz w:val="30"/>
          <w:rtl w:val="1"/>
        </w:rPr>
        <w:t>الربط مع بيانات 2025</w:t>
      </w:r>
      <w:r>
        <w:rPr>
          <w:rFonts w:ascii="DejaVu Sans" w:hAnsi="DejaVu Sans" w:eastAsia="DejaVu Sans" w:cs="DejaVu Sans"/>
          <w:b/>
          <w:color w:val="087E83"/>
          <w:sz w:val="14"/>
          <w:rtl w:val="0"/>
        </w:rPr>
        <w:t xml:space="preserve">   HISTORICAL DATA CONNECTION</w:t>
      </w:r>
    </w:p>
    <w:p>
      <w:pPr>
        <w:spacing w:before="0" w:after="200" w:line="324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22B45"/>
          <w:sz w:val="20"/>
          <w:rtl w:val="1"/>
        </w:rPr>
        <w:t>يلزم تجهيز مصدر بيانات معتمد لعام 2025، ثم حساب مرجع تاريخي لكل Product Code وربطه بحد تفعيل (Approval Trigger) يوافق عليه صاحب الصلاحية.</w:t>
      </w:r>
    </w:p>
    <w:p>
      <w:r>
        <w:drawing>
          <wp:inline xmlns:a="http://schemas.openxmlformats.org/drawingml/2006/main" xmlns:pic="http://schemas.openxmlformats.org/drawingml/2006/picture">
            <wp:extent cx="5989320" cy="918362"/>
            <wp:docPr id="3" name="Picture 3" descr="مخطط تدفق بيانات 2025 إلى محرك القواعد ثم إلى الموافقات وسجل القرارات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918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24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52687B"/>
          <w:sz w:val="18"/>
          <w:rtl w:val="1"/>
        </w:rPr>
        <w:t>معلومة مهمة: يمكن جلب البيانات من ملف Excel/CSV أو قاعدة بيانات أو API وفق إمكانات النظام الداخلي؛ طريقة التكامل تُحدد بعد الاطلاع على البنية الحالية.</w:t>
      </w:r>
    </w:p>
    <w:p>
      <w:pPr>
        <w:spacing w:before="200" w:after="180"/>
        <w:jc w:val="right"/>
        <w:keepNext/>
        <w:bidi w:val="1"/>
      </w:pPr>
      <w:r>
        <w:rPr>
          <w:rFonts w:ascii="Noto Kufi Arabic" w:hAnsi="Noto Kufi Arabic" w:eastAsia="Noto Kufi Arabic" w:cs="Noto Kufi Arabic"/>
          <w:b/>
          <w:color w:val="122B45"/>
          <w:sz w:val="30"/>
          <w:rtl w:val="1"/>
        </w:rPr>
        <w:t>الحقول المطلوبة</w:t>
      </w:r>
      <w:r>
        <w:rPr>
          <w:rFonts w:ascii="DejaVu Sans" w:hAnsi="DejaVu Sans" w:eastAsia="DejaVu Sans" w:cs="DejaVu Sans"/>
          <w:b/>
          <w:color w:val="087E83"/>
          <w:sz w:val="14"/>
          <w:rtl w:val="0"/>
        </w:rPr>
        <w:t xml:space="preserve">   MINIMUM DATA FIELDS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58"/>
        <w:gridCol w:w="4858"/>
      </w:tblGrid>
      <w:tr>
        <w:trPr>
          <w:tblHeader/>
        </w:trPr>
        <w:tc>
          <w:tcPr>
            <w:tcW w:type="dxa" w:w="4858"/>
            <w:shd w:fill="122B45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9"/>
                <w:rtl w:val="1"/>
              </w:rPr>
              <w:t>بيانات الرفض اليومية</w:t>
            </w:r>
          </w:p>
        </w:tc>
        <w:tc>
          <w:tcPr>
            <w:tcW w:type="dxa" w:w="4858"/>
            <w:shd w:fill="122B45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9"/>
                <w:rtl w:val="1"/>
              </w:rPr>
              <w:t>بيانات القواعد والموافقات</w:t>
            </w:r>
          </w:p>
        </w:tc>
      </w:tr>
      <w:tr>
        <w:tc>
          <w:tcPr>
            <w:tcW w:type="dxa" w:w="4858"/>
            <w:shd w:fill="F3F7FA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DFE8EF" w:sz="4"/>
            </w:tcBorders>
          </w:tcPr>
          <w:p>
            <w:pPr>
              <w:spacing w:after="0" w:line="300" w:lineRule="auto"/>
              <w:jc w:val="left"/>
              <w:bidi w:val="0"/>
            </w:pPr>
            <w:r>
              <w:rPr>
                <w:rFonts w:ascii="DejaVu Sans" w:hAnsi="DejaVu Sans" w:eastAsia="DejaVu Sans" w:cs="DejaVu Sans"/>
                <w:b w:val="0"/>
                <w:color w:val="122B45"/>
                <w:sz w:val="17"/>
                <w:rtl w:val="0"/>
              </w:rPr>
              <w:t>Product Code + Description</w:t>
            </w:r>
          </w:p>
        </w:tc>
        <w:tc>
          <w:tcPr>
            <w:tcW w:type="dxa" w:w="4858"/>
            <w:shd w:fill="F3F7FA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DFE8EF" w:sz="4"/>
            </w:tcBorders>
          </w:tcPr>
          <w:p>
            <w:pPr>
              <w:spacing w:after="0" w:line="300" w:lineRule="auto"/>
              <w:jc w:val="left"/>
              <w:bidi w:val="0"/>
            </w:pPr>
            <w:r>
              <w:rPr>
                <w:rFonts w:ascii="DejaVu Sans" w:hAnsi="DejaVu Sans" w:eastAsia="DejaVu Sans" w:cs="DejaVu Sans"/>
                <w:b w:val="0"/>
                <w:color w:val="122B45"/>
                <w:sz w:val="17"/>
                <w:rtl w:val="0"/>
              </w:rPr>
              <w:t>Approved Trigger % + Effective Date</w:t>
            </w:r>
          </w:p>
        </w:tc>
      </w:tr>
      <w:tr>
        <w:tc>
          <w:tcPr>
            <w:tcW w:type="dxa" w:w="4858"/>
            <w:shd w:fill="FFFFFF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DFE8EF" w:sz="4"/>
            </w:tcBorders>
          </w:tcPr>
          <w:p>
            <w:pPr>
              <w:spacing w:after="0" w:line="300" w:lineRule="auto"/>
              <w:jc w:val="left"/>
              <w:bidi w:val="0"/>
            </w:pPr>
            <w:r>
              <w:rPr>
                <w:rFonts w:ascii="DejaVu Sans" w:hAnsi="DejaVu Sans" w:eastAsia="DejaVu Sans" w:cs="DejaVu Sans"/>
                <w:b w:val="0"/>
                <w:color w:val="122B45"/>
                <w:sz w:val="17"/>
                <w:rtl w:val="0"/>
              </w:rPr>
              <w:t>Lot / Batch + Production Date</w:t>
            </w:r>
          </w:p>
        </w:tc>
        <w:tc>
          <w:tcPr>
            <w:tcW w:type="dxa" w:w="4858"/>
            <w:shd w:fill="FFFFFF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DFE8EF" w:sz="4"/>
            </w:tcBorders>
          </w:tcPr>
          <w:p>
            <w:pPr>
              <w:spacing w:after="0" w:line="300" w:lineRule="auto"/>
              <w:jc w:val="left"/>
              <w:bidi w:val="0"/>
            </w:pPr>
            <w:r>
              <w:rPr>
                <w:rFonts w:ascii="DejaVu Sans" w:hAnsi="DejaVu Sans" w:eastAsia="DejaVu Sans" w:cs="DejaVu Sans"/>
                <w:b w:val="0"/>
                <w:color w:val="122B45"/>
                <w:sz w:val="17"/>
                <w:rtl w:val="0"/>
              </w:rPr>
              <w:t>Baseline Source &amp; Period (2025)</w:t>
            </w:r>
          </w:p>
        </w:tc>
      </w:tr>
      <w:tr>
        <w:tc>
          <w:tcPr>
            <w:tcW w:type="dxa" w:w="4858"/>
            <w:shd w:fill="F3F7FA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DFE8EF" w:sz="4"/>
            </w:tcBorders>
          </w:tcPr>
          <w:p>
            <w:pPr>
              <w:spacing w:after="0" w:line="300" w:lineRule="auto"/>
              <w:jc w:val="left"/>
              <w:bidi w:val="0"/>
            </w:pPr>
            <w:r>
              <w:rPr>
                <w:rFonts w:ascii="DejaVu Sans" w:hAnsi="DejaVu Sans" w:eastAsia="DejaVu Sans" w:cs="DejaVu Sans"/>
                <w:b w:val="0"/>
                <w:color w:val="122B45"/>
                <w:sz w:val="17"/>
                <w:rtl w:val="0"/>
              </w:rPr>
              <w:t>Total Produced Qty</w:t>
            </w:r>
          </w:p>
        </w:tc>
        <w:tc>
          <w:tcPr>
            <w:tcW w:type="dxa" w:w="4858"/>
            <w:shd w:fill="F3F7FA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DFE8EF" w:sz="4"/>
            </w:tcBorders>
          </w:tcPr>
          <w:p>
            <w:pPr>
              <w:spacing w:after="0" w:line="300" w:lineRule="auto"/>
              <w:jc w:val="left"/>
              <w:bidi w:val="0"/>
            </w:pPr>
            <w:r>
              <w:rPr>
                <w:rFonts w:ascii="DejaVu Sans" w:hAnsi="DejaVu Sans" w:eastAsia="DejaVu Sans" w:cs="DejaVu Sans"/>
                <w:b w:val="0"/>
                <w:color w:val="122B45"/>
                <w:sz w:val="17"/>
                <w:rtl w:val="0"/>
              </w:rPr>
              <w:t>Approval Matrix / Approver Roles</w:t>
            </w:r>
          </w:p>
        </w:tc>
      </w:tr>
      <w:tr>
        <w:tc>
          <w:tcPr>
            <w:tcW w:type="dxa" w:w="4858"/>
            <w:shd w:fill="FFFFFF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DFE8EF" w:sz="4"/>
            </w:tcBorders>
          </w:tcPr>
          <w:p>
            <w:pPr>
              <w:spacing w:after="0" w:line="300" w:lineRule="auto"/>
              <w:jc w:val="left"/>
              <w:bidi w:val="0"/>
            </w:pPr>
            <w:r>
              <w:rPr>
                <w:rFonts w:ascii="DejaVu Sans" w:hAnsi="DejaVu Sans" w:eastAsia="DejaVu Sans" w:cs="DejaVu Sans"/>
                <w:b w:val="0"/>
                <w:color w:val="122B45"/>
                <w:sz w:val="17"/>
                <w:rtl w:val="0"/>
              </w:rPr>
              <w:t>Rejected Qty + Reject Reason</w:t>
            </w:r>
          </w:p>
        </w:tc>
        <w:tc>
          <w:tcPr>
            <w:tcW w:type="dxa" w:w="4858"/>
            <w:shd w:fill="FFFFFF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DFE8EF" w:sz="4"/>
            </w:tcBorders>
          </w:tcPr>
          <w:p>
            <w:pPr>
              <w:spacing w:after="0" w:line="300" w:lineRule="auto"/>
              <w:jc w:val="left"/>
              <w:bidi w:val="0"/>
            </w:pPr>
            <w:r>
              <w:rPr>
                <w:rFonts w:ascii="DejaVu Sans" w:hAnsi="DejaVu Sans" w:eastAsia="DejaVu Sans" w:cs="DejaVu Sans"/>
                <w:b w:val="0"/>
                <w:color w:val="122B45"/>
                <w:sz w:val="17"/>
                <w:rtl w:val="0"/>
              </w:rPr>
              <w:t>Workflow ID + Approval Status</w:t>
            </w:r>
          </w:p>
        </w:tc>
      </w:tr>
      <w:tr>
        <w:tc>
          <w:tcPr>
            <w:tcW w:type="dxa" w:w="4858"/>
            <w:shd w:fill="F3F7FA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DFE8EF" w:sz="4"/>
            </w:tcBorders>
          </w:tcPr>
          <w:p>
            <w:pPr>
              <w:spacing w:after="0" w:line="300" w:lineRule="auto"/>
              <w:jc w:val="left"/>
              <w:bidi w:val="0"/>
            </w:pPr>
            <w:r>
              <w:rPr>
                <w:rFonts w:ascii="DejaVu Sans" w:hAnsi="DejaVu Sans" w:eastAsia="DejaVu Sans" w:cs="DejaVu Sans"/>
                <w:b w:val="0"/>
                <w:color w:val="122B45"/>
                <w:sz w:val="17"/>
                <w:rtl w:val="0"/>
              </w:rPr>
              <w:t>Source Record ID + Process / Line</w:t>
            </w:r>
          </w:p>
        </w:tc>
        <w:tc>
          <w:tcPr>
            <w:tcW w:type="dxa" w:w="4858"/>
            <w:shd w:fill="F3F7FA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DFE8EF" w:sz="4"/>
            </w:tcBorders>
          </w:tcPr>
          <w:p>
            <w:pPr>
              <w:spacing w:after="0" w:line="300" w:lineRule="auto"/>
              <w:jc w:val="left"/>
              <w:bidi w:val="0"/>
            </w:pPr>
            <w:r>
              <w:rPr>
                <w:rFonts w:ascii="DejaVu Sans" w:hAnsi="DejaVu Sans" w:eastAsia="DejaVu Sans" w:cs="DejaVu Sans"/>
                <w:b w:val="0"/>
                <w:color w:val="122B45"/>
                <w:sz w:val="17"/>
                <w:rtl w:val="0"/>
              </w:rPr>
              <w:t>Version + Audit Log</w:t>
            </w:r>
          </w:p>
        </w:tc>
      </w:tr>
    </w:tbl>
    <w:p>
      <w:pPr>
        <w:spacing w:before="0" w:after="120" w:line="324" w:lineRule="auto"/>
        <w:jc w:val="right"/>
        <w:bidi w:val="1"/>
      </w:pPr>
    </w:p>
    <w:p>
      <w:pPr>
        <w:spacing w:before="100" w:after="100" w:line="32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22B45"/>
          <w:sz w:val="21"/>
          <w:rtl w:val="1"/>
        </w:rPr>
        <w:t>قاعدة احتساب المرجع التاريخي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17"/>
      </w:tblGrid>
      <w:tr>
        <w:tc>
          <w:tcPr>
            <w:tcW w:type="dxa" w:w="9717"/>
            <w:shd w:fill="E9F6F3"/>
            <w:tcMar>
              <w:top w:w="190" w:type="dxa"/>
              <w:start w:w="220" w:type="dxa"/>
              <w:bottom w:w="190" w:type="dxa"/>
              <w:end w:w="220" w:type="dxa"/>
            </w:tcMar>
          </w:tcPr>
          <w:p>
            <w:pPr>
              <w:spacing w:after="10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087E83"/>
                <w:sz w:val="20"/>
                <w:rtl w:val="1"/>
              </w:rPr>
              <w:t>Weighted Historical Reject Rate</w:t>
            </w:r>
          </w:p>
          <w:p>
            <w:pPr>
              <w:spacing w:after="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22B45"/>
                <w:sz w:val="20"/>
                <w:rtl w:val="1"/>
              </w:rPr>
              <w:t>إجمالي الكميات المرفوضة لنفس المنتج خلال فترة المرجع ÷ إجمالي الكميات المنتجة لنفس المنتج خلال الفترة × 100. لا يُستخدم المتوسط الحسابي المباشر لنسب سجلات متفاوتة الإنتاج.</w:t>
            </w:r>
          </w:p>
        </w:tc>
      </w:tr>
    </w:tbl>
    <w:p>
      <w:pPr>
        <w:spacing w:before="0" w:after="40" w:line="324" w:lineRule="auto"/>
        <w:jc w:val="right"/>
        <w:bidi w:val="1"/>
      </w:pPr>
    </w:p>
    <w:p>
      <w:pPr>
        <w:spacing w:before="100" w:after="100" w:line="32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22B45"/>
          <w:sz w:val="21"/>
          <w:rtl w:val="1"/>
        </w:rPr>
        <w:t>ضوابط جودة البيانات والأتمتة</w:t>
      </w:r>
    </w:p>
    <w:p>
      <w:pPr>
        <w:spacing w:after="100" w:line="31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87E83"/>
          <w:sz w:val="20"/>
          <w:rtl w:val="1"/>
        </w:rPr>
        <w:t xml:space="preserve">•  </w:t>
      </w:r>
      <w:r>
        <w:rPr>
          <w:rFonts w:ascii="Noto Sans Arabic" w:hAnsi="Noto Sans Arabic" w:eastAsia="Noto Sans Arabic" w:cs="Noto Sans Arabic"/>
          <w:b/>
          <w:color w:val="122B45"/>
          <w:sz w:val="19"/>
          <w:rtl w:val="1"/>
        </w:rPr>
        <w:t>منع السجلات المكررة:</w:t>
      </w:r>
      <w:r>
        <w:rPr>
          <w:rFonts w:ascii="Noto Sans Arabic" w:hAnsi="Noto Sans Arabic" w:eastAsia="Noto Sans Arabic" w:cs="Noto Sans Arabic"/>
          <w:b w:val="0"/>
          <w:color w:val="52687B"/>
          <w:sz w:val="19"/>
          <w:rtl w:val="1"/>
        </w:rPr>
        <w:t xml:space="preserve">  ربط Unique Record ID لمنع تكرار احتساب نفس الرفض أو إنشاء طلب اعتماد مكرر.</w:t>
      </w:r>
    </w:p>
    <w:p>
      <w:pPr>
        <w:spacing w:after="100" w:line="31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87E83"/>
          <w:sz w:val="20"/>
          <w:rtl w:val="1"/>
        </w:rPr>
        <w:t xml:space="preserve">•  </w:t>
      </w:r>
      <w:r>
        <w:rPr>
          <w:rFonts w:ascii="Noto Sans Arabic" w:hAnsi="Noto Sans Arabic" w:eastAsia="Noto Sans Arabic" w:cs="Noto Sans Arabic"/>
          <w:b/>
          <w:color w:val="122B45"/>
          <w:sz w:val="19"/>
          <w:rtl w:val="1"/>
        </w:rPr>
        <w:t>التحقق من المدخلات:</w:t>
      </w:r>
      <w:r>
        <w:rPr>
          <w:rFonts w:ascii="Noto Sans Arabic" w:hAnsi="Noto Sans Arabic" w:eastAsia="Noto Sans Arabic" w:cs="Noto Sans Arabic"/>
          <w:b w:val="0"/>
          <w:color w:val="52687B"/>
          <w:sz w:val="19"/>
          <w:rtl w:val="1"/>
        </w:rPr>
        <w:t xml:space="preserve">  يجب أن تكون كمية الإنتاج أكبر من صفر، وكمية الرفض بين صفر وإجمالي الإنتاج.</w:t>
      </w:r>
    </w:p>
    <w:p>
      <w:pPr>
        <w:spacing w:after="100" w:line="31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87E83"/>
          <w:sz w:val="20"/>
          <w:rtl w:val="1"/>
        </w:rPr>
        <w:t xml:space="preserve">•  </w:t>
      </w:r>
      <w:r>
        <w:rPr>
          <w:rFonts w:ascii="Noto Sans Arabic" w:hAnsi="Noto Sans Arabic" w:eastAsia="Noto Sans Arabic" w:cs="Noto Sans Arabic"/>
          <w:b/>
          <w:color w:val="122B45"/>
          <w:sz w:val="19"/>
          <w:rtl w:val="1"/>
        </w:rPr>
        <w:t>تتبع الدفعات:</w:t>
      </w:r>
      <w:r>
        <w:rPr>
          <w:rFonts w:ascii="Noto Sans Arabic" w:hAnsi="Noto Sans Arabic" w:eastAsia="Noto Sans Arabic" w:cs="Noto Sans Arabic"/>
          <w:b w:val="0"/>
          <w:color w:val="52687B"/>
          <w:sz w:val="19"/>
          <w:rtl w:val="1"/>
        </w:rPr>
        <w:t xml:space="preserve">  جمع الرفض حسب المنتج والـ Lot إذا كانت سياسة الشركة تتطلب حدًا تراكميًا.</w:t>
      </w:r>
    </w:p>
    <w:p>
      <w:pPr>
        <w:spacing w:after="100" w:line="31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87E83"/>
          <w:sz w:val="20"/>
          <w:rtl w:val="1"/>
        </w:rPr>
        <w:t xml:space="preserve">•  </w:t>
      </w:r>
      <w:r>
        <w:rPr>
          <w:rFonts w:ascii="Noto Sans Arabic" w:hAnsi="Noto Sans Arabic" w:eastAsia="Noto Sans Arabic" w:cs="Noto Sans Arabic"/>
          <w:b/>
          <w:color w:val="122B45"/>
          <w:sz w:val="19"/>
          <w:rtl w:val="1"/>
        </w:rPr>
        <w:t>حماية القواعد:</w:t>
      </w:r>
      <w:r>
        <w:rPr>
          <w:rFonts w:ascii="Noto Sans Arabic" w:hAnsi="Noto Sans Arabic" w:eastAsia="Noto Sans Arabic" w:cs="Noto Sans Arabic"/>
          <w:b w:val="0"/>
          <w:color w:val="52687B"/>
          <w:sz w:val="19"/>
          <w:rtl w:val="1"/>
        </w:rPr>
        <w:t xml:space="preserve">  صلاحية تعديل الحدود ومصفوفة الموافقين محددة، مع حفظ تاريخ التغيير والإصدار.</w:t>
      </w:r>
    </w:p>
    <w:p>
      <w:pPr>
        <w:spacing w:before="0" w:after="140" w:line="324" w:lineRule="auto"/>
        <w:jc w:val="right"/>
        <w:bidi w:val="1"/>
      </w:pPr>
    </w:p>
    <w:p>
      <w:pPr>
        <w:spacing w:before="40" w:after="120"/>
        <w:jc w:val="right"/>
        <w:keepNext/>
        <w:bidi w:val="1"/>
      </w:pPr>
      <w:r>
        <w:rPr>
          <w:rFonts w:ascii="Noto Sans Arabic" w:hAnsi="Noto Sans Arabic" w:eastAsia="Noto Sans Arabic" w:cs="Noto Sans Arabic"/>
          <w:b/>
          <w:color w:val="087E83"/>
          <w:sz w:val="16"/>
          <w:rtl w:val="1"/>
        </w:rPr>
        <w:t>05  /  DELIVERY &amp; MANAGEMENT DECISIONS</w:t>
      </w:r>
    </w:p>
    <w:p>
      <w:pPr>
        <w:spacing w:before="200" w:after="180"/>
        <w:jc w:val="right"/>
        <w:keepNext/>
        <w:bidi w:val="1"/>
      </w:pPr>
      <w:r>
        <w:rPr>
          <w:rFonts w:ascii="Noto Kufi Arabic" w:hAnsi="Noto Kufi Arabic" w:eastAsia="Noto Kufi Arabic" w:cs="Noto Kufi Arabic"/>
          <w:b/>
          <w:color w:val="122B45"/>
          <w:sz w:val="30"/>
          <w:rtl w:val="1"/>
        </w:rPr>
        <w:t>ماذا يحتاج المشروع قبل التنفيذ؟</w:t>
      </w:r>
      <w:r>
        <w:rPr>
          <w:rFonts w:ascii="DejaVu Sans" w:hAnsi="DejaVu Sans" w:eastAsia="DejaVu Sans" w:cs="DejaVu Sans"/>
          <w:b/>
          <w:color w:val="087E83"/>
          <w:sz w:val="14"/>
          <w:rtl w:val="0"/>
        </w:rPr>
        <w:t xml:space="preserve">   IMPLEMENTATION ROADMAP</w:t>
      </w:r>
    </w:p>
    <w:p>
      <w:pPr>
        <w:spacing w:before="0" w:after="200" w:line="324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52687B"/>
          <w:sz w:val="19"/>
          <w:rtl w:val="1"/>
        </w:rPr>
        <w:t>مراحل مقترحة لتنفيذ الحل في النظام الداخلي للشركة. لا يوجد ربط تقني أو تنفيذ قائم ضمن هذا المقترح.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93"/>
        <w:gridCol w:w="2160"/>
        <w:gridCol w:w="6480"/>
      </w:tblGrid>
      <w:tr>
        <w:tc>
          <w:tcPr>
            <w:tcW w:type="dxa" w:w="893"/>
            <w:shd w:fill="E9F6F3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FFFFFF" w:sz="12"/>
            </w:tcBorders>
          </w:tcPr>
          <w:p>
            <w:pPr>
              <w:spacing w:after="0" w:line="300" w:lineRule="auto"/>
              <w:jc w:val="center"/>
              <w:bidi w:val="0"/>
            </w:pPr>
            <w:r>
              <w:rPr>
                <w:rFonts w:ascii="DejaVu Sans" w:hAnsi="DejaVu Sans" w:eastAsia="DejaVu Sans" w:cs="DejaVu Sans"/>
                <w:b/>
                <w:color w:val="087E83"/>
                <w:sz w:val="26"/>
                <w:rtl w:val="0"/>
              </w:rPr>
              <w:t>01</w:t>
            </w:r>
          </w:p>
        </w:tc>
        <w:tc>
          <w:tcPr>
            <w:tcW w:type="dxa" w:w="2160"/>
            <w:shd w:fill="F3F7FA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FFFFFF" w:sz="12"/>
            </w:tcBorders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22B45"/>
                <w:sz w:val="19"/>
                <w:rtl w:val="1"/>
              </w:rPr>
              <w:t>تهيئة البيانات</w:t>
            </w:r>
          </w:p>
        </w:tc>
        <w:tc>
          <w:tcPr>
            <w:tcW w:type="dxa" w:w="6480"/>
            <w:shd w:fill="F3F7FA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FFFFFF" w:sz="12"/>
            </w:tcBorders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22B45"/>
                <w:sz w:val="18"/>
                <w:rtl w:val="1"/>
              </w:rPr>
              <w:t>تنظيف سجلات 2025 والتحقق من الأكواد والإنتاج والرفض والدفعات.</w:t>
            </w:r>
          </w:p>
        </w:tc>
      </w:tr>
      <w:tr>
        <w:tc>
          <w:tcPr>
            <w:tcW w:type="dxa" w:w="893"/>
            <w:shd w:fill="E9F6F3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FFFFFF" w:sz="12"/>
            </w:tcBorders>
          </w:tcPr>
          <w:p>
            <w:pPr>
              <w:spacing w:after="0" w:line="300" w:lineRule="auto"/>
              <w:jc w:val="center"/>
              <w:bidi w:val="0"/>
            </w:pPr>
            <w:r>
              <w:rPr>
                <w:rFonts w:ascii="DejaVu Sans" w:hAnsi="DejaVu Sans" w:eastAsia="DejaVu Sans" w:cs="DejaVu Sans"/>
                <w:b/>
                <w:color w:val="087E83"/>
                <w:sz w:val="26"/>
                <w:rtl w:val="0"/>
              </w:rPr>
              <w:t>02</w:t>
            </w:r>
          </w:p>
        </w:tc>
        <w:tc>
          <w:tcPr>
            <w:tcW w:type="dxa" w:w="2160"/>
            <w:shd w:fill="F3F7FA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FFFFFF" w:sz="12"/>
            </w:tcBorders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22B45"/>
                <w:sz w:val="19"/>
                <w:rtl w:val="1"/>
              </w:rPr>
              <w:t>اعتماد قواعد الموافقات</w:t>
            </w:r>
          </w:p>
        </w:tc>
        <w:tc>
          <w:tcPr>
            <w:tcW w:type="dxa" w:w="6480"/>
            <w:shd w:fill="F3F7FA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FFFFFF" w:sz="12"/>
            </w:tcBorders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22B45"/>
                <w:sz w:val="18"/>
                <w:rtl w:val="1"/>
              </w:rPr>
              <w:t>إقرار حدود المنتج ومصفوفة الموافقين والاستثناءات والصلاحيات.</w:t>
            </w:r>
          </w:p>
        </w:tc>
      </w:tr>
      <w:tr>
        <w:tc>
          <w:tcPr>
            <w:tcW w:type="dxa" w:w="893"/>
            <w:shd w:fill="E9F6F3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FFFFFF" w:sz="12"/>
            </w:tcBorders>
          </w:tcPr>
          <w:p>
            <w:pPr>
              <w:spacing w:after="0" w:line="300" w:lineRule="auto"/>
              <w:jc w:val="center"/>
              <w:bidi w:val="0"/>
            </w:pPr>
            <w:r>
              <w:rPr>
                <w:rFonts w:ascii="DejaVu Sans" w:hAnsi="DejaVu Sans" w:eastAsia="DejaVu Sans" w:cs="DejaVu Sans"/>
                <w:b/>
                <w:color w:val="087E83"/>
                <w:sz w:val="26"/>
                <w:rtl w:val="0"/>
              </w:rPr>
              <w:t>03</w:t>
            </w:r>
          </w:p>
        </w:tc>
        <w:tc>
          <w:tcPr>
            <w:tcW w:type="dxa" w:w="2160"/>
            <w:shd w:fill="F3F7FA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FFFFFF" w:sz="12"/>
            </w:tcBorders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22B45"/>
                <w:sz w:val="19"/>
                <w:rtl w:val="1"/>
              </w:rPr>
              <w:t>الربط والتشغيل</w:t>
            </w:r>
          </w:p>
        </w:tc>
        <w:tc>
          <w:tcPr>
            <w:tcW w:type="dxa" w:w="6480"/>
            <w:shd w:fill="F3F7FA"/>
            <w:tcMar>
              <w:top w:w="105" w:type="dxa"/>
              <w:start w:w="145" w:type="dxa"/>
              <w:bottom w:w="105" w:type="dxa"/>
              <w:end w:w="145" w:type="dxa"/>
            </w:tcMar>
            <w:vAlign w:val="center"/>
            <w:tcBorders>
              <w:bottom w:val="single" w:color="FFFFFF" w:sz="12"/>
            </w:tcBorders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22B45"/>
                <w:sz w:val="18"/>
                <w:rtl w:val="1"/>
              </w:rPr>
              <w:t>ربط الإدخال اليومي بالمقارنة الآلية وطلبات Workflow Approval وسجل القرارات.</w:t>
            </w:r>
          </w:p>
        </w:tc>
      </w:tr>
    </w:tbl>
    <w:p>
      <w:pPr>
        <w:spacing w:before="0" w:after="100" w:line="324" w:lineRule="auto"/>
        <w:jc w:val="right"/>
        <w:bidi w:val="1"/>
      </w:pPr>
    </w:p>
    <w:p>
      <w:pPr>
        <w:spacing w:before="200" w:after="180"/>
        <w:jc w:val="right"/>
        <w:keepNext/>
        <w:bidi w:val="1"/>
      </w:pPr>
      <w:r>
        <w:rPr>
          <w:rFonts w:ascii="Noto Kufi Arabic" w:hAnsi="Noto Kufi Arabic" w:eastAsia="Noto Kufi Arabic" w:cs="Noto Kufi Arabic"/>
          <w:b/>
          <w:color w:val="122B45"/>
          <w:sz w:val="30"/>
          <w:rtl w:val="1"/>
        </w:rPr>
        <w:t>معايير قبول الحل</w:t>
      </w:r>
      <w:r>
        <w:rPr>
          <w:rFonts w:ascii="DejaVu Sans" w:hAnsi="DejaVu Sans" w:eastAsia="DejaVu Sans" w:cs="DejaVu Sans"/>
          <w:b/>
          <w:color w:val="087E83"/>
          <w:sz w:val="14"/>
          <w:rtl w:val="0"/>
        </w:rPr>
        <w:t xml:space="preserve">   ACCEPTANCE CRITERIA</w:t>
      </w:r>
    </w:p>
    <w:p>
      <w:pPr>
        <w:spacing w:after="60" w:line="31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87E83"/>
          <w:sz w:val="20"/>
          <w:rtl w:val="1"/>
        </w:rPr>
        <w:t xml:space="preserve">•  </w:t>
      </w:r>
      <w:r>
        <w:rPr>
          <w:rFonts w:ascii="Noto Sans Arabic" w:hAnsi="Noto Sans Arabic" w:eastAsia="Noto Sans Arabic" w:cs="Noto Sans Arabic"/>
          <w:b/>
          <w:color w:val="122B45"/>
          <w:sz w:val="19"/>
          <w:rtl w:val="1"/>
        </w:rPr>
        <w:t>دقة القرار —</w:t>
      </w:r>
      <w:r>
        <w:rPr>
          <w:rFonts w:ascii="Noto Sans Arabic" w:hAnsi="Noto Sans Arabic" w:eastAsia="Noto Sans Arabic" w:cs="Noto Sans Arabic"/>
          <w:b w:val="0"/>
          <w:color w:val="52687B"/>
          <w:sz w:val="19"/>
          <w:rtl w:val="1"/>
        </w:rPr>
        <w:t xml:space="preserve">  100 من 1,000 = 10%، ويُظهر النظام الحد الذي قورنت به النسبة.</w:t>
      </w:r>
    </w:p>
    <w:p>
      <w:pPr>
        <w:spacing w:after="60" w:line="31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87E83"/>
          <w:sz w:val="20"/>
          <w:rtl w:val="1"/>
        </w:rPr>
        <w:t xml:space="preserve">•  </w:t>
      </w:r>
      <w:r>
        <w:rPr>
          <w:rFonts w:ascii="Noto Sans Arabic" w:hAnsi="Noto Sans Arabic" w:eastAsia="Noto Sans Arabic" w:cs="Noto Sans Arabic"/>
          <w:b/>
          <w:color w:val="122B45"/>
          <w:sz w:val="19"/>
          <w:rtl w:val="1"/>
        </w:rPr>
        <w:t>منع التكرار —</w:t>
      </w:r>
      <w:r>
        <w:rPr>
          <w:rFonts w:ascii="Noto Sans Arabic" w:hAnsi="Noto Sans Arabic" w:eastAsia="Noto Sans Arabic" w:cs="Noto Sans Arabic"/>
          <w:b w:val="0"/>
          <w:color w:val="52687B"/>
          <w:sz w:val="19"/>
          <w:rtl w:val="1"/>
        </w:rPr>
        <w:t xml:space="preserve">  إنشاء Workflow Approval واحد لكل حالة تجاوز، مع ربطه بالسجل.</w:t>
      </w:r>
    </w:p>
    <w:p>
      <w:pPr>
        <w:spacing w:after="60" w:line="31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87E83"/>
          <w:sz w:val="20"/>
          <w:rtl w:val="1"/>
        </w:rPr>
        <w:t xml:space="preserve">•  </w:t>
      </w:r>
      <w:r>
        <w:rPr>
          <w:rFonts w:ascii="Noto Sans Arabic" w:hAnsi="Noto Sans Arabic" w:eastAsia="Noto Sans Arabic" w:cs="Noto Sans Arabic"/>
          <w:b/>
          <w:color w:val="122B45"/>
          <w:sz w:val="19"/>
          <w:rtl w:val="1"/>
        </w:rPr>
        <w:t>إتمام الاعتماد —</w:t>
      </w:r>
      <w:r>
        <w:rPr>
          <w:rFonts w:ascii="Noto Sans Arabic" w:hAnsi="Noto Sans Arabic" w:eastAsia="Noto Sans Arabic" w:cs="Noto Sans Arabic"/>
          <w:b w:val="0"/>
          <w:color w:val="52687B"/>
          <w:sz w:val="19"/>
          <w:rtl w:val="1"/>
        </w:rPr>
        <w:t xml:space="preserve">  لا يُغلق السجل قبل اكتمال الموافقين، مع حفظ هوية ووقت كل قرار.</w:t>
      </w:r>
    </w:p>
    <w:p>
      <w:pPr>
        <w:spacing w:before="200" w:after="180"/>
        <w:jc w:val="right"/>
        <w:keepNext/>
        <w:bidi w:val="1"/>
      </w:pPr>
      <w:r>
        <w:rPr>
          <w:rFonts w:ascii="Noto Kufi Arabic" w:hAnsi="Noto Kufi Arabic" w:eastAsia="Noto Kufi Arabic" w:cs="Noto Kufi Arabic"/>
          <w:b/>
          <w:color w:val="122B45"/>
          <w:sz w:val="30"/>
          <w:rtl w:val="1"/>
        </w:rPr>
        <w:t>الاعتمادات المطلوبة من الإدارة</w:t>
      </w:r>
      <w:r>
        <w:rPr>
          <w:rFonts w:ascii="DejaVu Sans" w:hAnsi="DejaVu Sans" w:eastAsia="DejaVu Sans" w:cs="DejaVu Sans"/>
          <w:b/>
          <w:color w:val="087E83"/>
          <w:sz w:val="14"/>
          <w:rtl w:val="0"/>
        </w:rPr>
        <w:t xml:space="preserve">   DECISIONS REQUIRED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17"/>
      </w:tblGrid>
      <w:tr>
        <w:trPr>
          <w:cantSplit/>
        </w:trPr>
        <w:tc>
          <w:tcPr>
            <w:tcW w:type="dxa" w:w="9717"/>
            <w:shd w:fill="122B45"/>
            <w:tcMar>
              <w:top w:w="180" w:type="dxa"/>
              <w:start w:w="235" w:type="dxa"/>
              <w:bottom w:w="190" w:type="dxa"/>
              <w:end w:w="235" w:type="dxa"/>
            </w:tcMar>
          </w:tcPr>
          <w:p>
            <w:pPr>
              <w:spacing w:after="14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FFFFFF"/>
                <w:sz w:val="19"/>
                <w:rtl w:val="1"/>
              </w:rPr>
              <w:t>□  إقرار مبدأ Automatic Workflow Approval عند تجاوز الحد.</w:t>
            </w:r>
          </w:p>
          <w:p>
            <w:pPr>
              <w:spacing w:after="14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FFFFFF"/>
                <w:sz w:val="19"/>
                <w:rtl w:val="1"/>
              </w:rPr>
              <w:t>□  تحديد مالك بيانات 2025 وصاحب صلاحية اعتماد الحدود.</w:t>
            </w:r>
          </w:p>
          <w:p>
            <w:pPr>
              <w:spacing w:after="14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FFFFFF"/>
                <w:sz w:val="19"/>
                <w:rtl w:val="1"/>
              </w:rPr>
              <w:t>□  اعتماد مصفوفة الموافقين وقواعد إغلاق السجل.</w:t>
            </w:r>
          </w:p>
          <w:p>
            <w:pPr>
              <w:spacing w:after="20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FFFFFF"/>
                <w:sz w:val="19"/>
                <w:rtl w:val="1"/>
              </w:rPr>
              <w:t>□  الموافقة على دراسة التكامل التقني مع النظام الداخلي.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5" w:h="16838"/>
      <w:pgMar w:top="1210" w:right="1094" w:bottom="1051" w:left="1094" w:header="461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0"/>
    </w:pPr>
    <w:r>
      <w:rPr>
        <w:rFonts w:ascii="DejaVu Sans" w:hAnsi="DejaVu Sans" w:eastAsia="DejaVu Sans" w:cs="DejaVu Sans"/>
        <w:b w:val="0"/>
        <w:color w:val="6B7F90"/>
        <w:sz w:val="14"/>
        <w:rtl w:val="0"/>
      </w:rPr>
      <w:t xml:space="preserve">CONCEPT PROPOSAL  •  27 OCT 2026     |     </w:t>
    </w:r>
    <w:r>
      <w:rPr>
        <w:rFonts w:ascii="Noto Sans Arabic" w:hAnsi="Noto Sans Arabic" w:eastAsia="Noto Sans Arabic" w:cs="Noto Sans Arabic"/>
        <w:b w:val="0"/>
        <w:color w:val="6B7F90"/>
        <w:sz w:val="15"/>
        <w:rtl w:val="1"/>
      </w:rPr>
      <w:t xml:space="preserve">صفحة </w:t>
    </w:r>
    <w:fldSimple w:instr="PAGE"/>
    <w:r>
      <w:rPr>
        <w:rFonts w:ascii="Noto Sans Arabic" w:hAnsi="Noto Sans Arabic" w:eastAsia="Noto Sans Arabic" w:cs="Noto Sans Arabic"/>
        <w:b w:val="0"/>
        <w:color w:val="6B7F90"/>
        <w:sz w:val="15"/>
        <w:rtl w:val="1"/>
      </w:rPr>
      <w:t xml:space="preserve">   •   مسودة للعرض والاعتماد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  <w:pBdr>
        <w:bottom w:val="single" w:sz="8" w:space="7" w:color="DFE8EF"/>
      </w:pBdr>
    </w:pPr>
    <w:r>
      <w:rPr>
        <w:rFonts w:ascii="DejaVu Sans" w:hAnsi="DejaVu Sans" w:eastAsia="DejaVu Sans" w:cs="DejaVu Sans"/>
        <w:b/>
        <w:color w:val="087E83"/>
        <w:sz w:val="14"/>
        <w:rtl w:val="0"/>
      </w:rPr>
      <w:t>QUALITY OPERATIONS  /  MANAGEMENT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Noto Sans Arabic" w:hAnsi="Noto Sans Arabic"/>
      <w:color w:val="122B4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Automatic Reject-Rate Approval Workflow | Management Proposal</dc:title>
  <dc:subject>مقترح تفعيل الموافقات الآلية المبنية على نسب الرفض</dc:subject>
  <dc:creator>Quality Operations - Concept Proposal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