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SOP-FRS-012 — Electronic signatures and approval authority</w:t>
      </w:r>
    </w:p>
    <w:p>
      <w:r>
        <w:rPr>
          <w:b/>
        </w:rPr>
        <w:t>QC Operations &amp; Laboratory Management System</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r>
        <w:rPr>
          <w:b/>
        </w:rPr>
        <w:t>Standard Operating Procedure</w:t>
      </w:r>
    </w:p>
    <w:tbl>
      <w:tblPr>
        <w:tblStyle w:val="TableGrid"/>
        <w:tblW w:type="auto" w:w="0"/>
        <w:tblLayout w:type="fixed"/>
        <w:tblLook w:firstColumn="1" w:firstRow="1" w:lastColumn="0" w:lastRow="0" w:noHBand="0" w:noVBand="1" w:val="04A0"/>
      </w:tblPr>
      <w:tblGrid>
        <w:gridCol w:w="2592"/>
        <w:gridCol w:w="6048"/>
      </w:tblGrid>
      <w:tr>
        <w:trPr>
          <w:cantSplit/>
          <w:tblHeader/>
        </w:trPr>
        <w:tc>
          <w:tcPr>
            <w:tcW w:type="dxa" w:w="2592"/>
            <w:shd w:fill="17365D"/>
          </w:tcPr>
          <w:p>
            <w:pPr>
              <w:spacing w:after="80" w:before="80"/>
            </w:pPr>
            <w:r>
              <w:rPr>
                <w:b/>
                <w:color w:val="FFFFFF"/>
                <w:sz w:val="18"/>
              </w:rPr>
              <w:t>Document control field</w:t>
            </w:r>
          </w:p>
        </w:tc>
        <w:tc>
          <w:tcPr>
            <w:tcW w:type="dxa" w:w="6048"/>
            <w:shd w:fill="17365D"/>
          </w:tcPr>
          <w:p>
            <w:pPr>
              <w:spacing w:after="80" w:before="80"/>
            </w:pPr>
            <w:r>
              <w:rPr>
                <w:b/>
                <w:color w:val="FFFFFF"/>
                <w:sz w:val="18"/>
              </w:rPr>
              <w:t>Value</w:t>
            </w:r>
          </w:p>
        </w:tc>
      </w:tr>
      <w:tr>
        <w:trPr>
          <w:cantSplit/>
        </w:trPr>
        <w:tc>
          <w:tcPr>
            <w:tcW w:type="dxa" w:w="2592"/>
          </w:tcPr>
          <w:p>
            <w:pPr>
              <w:spacing w:after="80" w:before="80"/>
            </w:pPr>
            <w:r>
              <w:rPr>
                <w:sz w:val="18"/>
              </w:rPr>
              <w:t>Document number</w:t>
            </w:r>
          </w:p>
        </w:tc>
        <w:tc>
          <w:tcPr>
            <w:tcW w:type="dxa" w:w="6048"/>
          </w:tcPr>
          <w:p>
            <w:pPr>
              <w:spacing w:after="80" w:before="80"/>
            </w:pPr>
            <w:r>
              <w:rPr>
                <w:sz w:val="18"/>
              </w:rPr>
              <w:t>SOP-FRS-012</w:t>
            </w:r>
          </w:p>
        </w:tc>
      </w:tr>
      <w:tr>
        <w:trPr>
          <w:cantSplit/>
        </w:trPr>
        <w:tc>
          <w:tcPr>
            <w:tcW w:type="dxa" w:w="2592"/>
          </w:tcPr>
          <w:p>
            <w:pPr>
              <w:spacing w:after="80" w:before="80"/>
            </w:pPr>
            <w:r>
              <w:rPr>
                <w:sz w:val="18"/>
              </w:rPr>
              <w:t xml:space="preserve">Revision</w:t>
            </w:r>
          </w:p>
        </w:tc>
        <w:tc>
          <w:tcPr>
            <w:tcW w:type="dxa" w:w="6048"/>
          </w:tcPr>
          <w:p>
            <w:pPr>
              <w:spacing w:after="80" w:before="80"/>
            </w:pPr>
            <w:r>
              <w:rPr>
                <w:sz w:val="18"/>
              </w:rPr>
              <w:t>D0.1</w:t>
            </w:r>
          </w:p>
        </w:tc>
      </w:tr>
      <w:tr>
        <w:trPr>
          <w:cantSplit/>
        </w:trPr>
        <w:tc>
          <w:tcPr>
            <w:tcW w:type="dxa" w:w="2592"/>
          </w:tcPr>
          <w:p>
            <w:pPr>
              <w:spacing w:after="80" w:before="80"/>
            </w:pPr>
            <w:r>
              <w:rPr>
                <w:sz w:val="18"/>
              </w:rPr>
              <w:t>Document status</w:t>
            </w:r>
          </w:p>
        </w:tc>
        <w:tc>
          <w:tcPr>
            <w:tcW w:type="dxa" w:w="6048"/>
          </w:tcPr>
          <w:p>
            <w:pPr>
              <w:spacing w:after="80" w:before="80"/>
            </w:pPr>
            <w:r>
              <w:rPr>
                <w:sz w:val="18"/>
              </w:rPr>
              <w:t xml:space="preserve">APPROVED</w:t>
            </w:r>
          </w:p>
        </w:tc>
      </w:tr>
      <w:tr>
        <w:trPr>
          <w:cantSplit/>
        </w:trPr>
        <w:tc>
          <w:tcPr>
            <w:tcW w:type="dxa" w:w="2592"/>
          </w:tcPr>
          <w:p>
            <w:pPr>
              <w:spacing w:after="80" w:before="80"/>
            </w:pPr>
            <w:r>
              <w:rPr>
                <w:sz w:val="18"/>
              </w:rPr>
              <w:t>Preparation date</w:t>
            </w:r>
          </w:p>
        </w:tc>
        <w:tc>
          <w:tcPr>
            <w:tcW w:type="dxa" w:w="6048"/>
          </w:tcPr>
          <w:p>
            <w:pPr>
              <w:spacing w:after="80" w:before="80"/>
            </w:pPr>
            <w:r>
              <w:rPr>
                <w:sz w:val="18"/>
              </w:rPr>
              <w:t>2026-10-09</w:t>
            </w:r>
          </w:p>
        </w:tc>
      </w:tr>
      <w:tr>
        <w:trPr>
          <w:cantSplit/>
        </w:trPr>
        <w:tc>
          <w:tcPr>
            <w:tcW w:type="dxa" w:w="2592"/>
          </w:tcPr>
          <w:p>
            <w:pPr>
              <w:spacing w:after="80" w:before="80"/>
            </w:pPr>
            <w:r>
              <w:rPr>
                <w:sz w:val="18"/>
              </w:rPr>
              <w:t>Scope</w:t>
            </w:r>
          </w:p>
        </w:tc>
        <w:tc>
          <w:tcPr>
            <w:tcW w:type="dxa" w:w="6048"/>
          </w:tcPr>
          <w:p>
            <w:pPr>
              <w:spacing w:after="80" w:before="80"/>
            </w:pPr>
            <w:r>
              <w:rPr>
                <w:sz w:val="18"/>
              </w:rPr>
              <w:t>All system modules and applicable controlled workflows</w:t>
            </w:r>
          </w:p>
        </w:tc>
      </w:tr>
      <w:tr>
        <w:trPr>
          <w:cantSplit/>
        </w:trPr>
        <w:tc>
          <w:tcPr>
            <w:tcW w:type="dxa" w:w="2592"/>
          </w:tcPr>
          <w:p>
            <w:pPr>
              <w:spacing w:after="80" w:before="80"/>
            </w:pPr>
            <w:r>
              <w:rPr>
                <w:sz w:val="18"/>
              </w:rPr>
              <w:t>Source basis</w:t>
            </w:r>
          </w:p>
        </w:tc>
        <w:tc>
          <w:tcPr>
            <w:tcW w:type="dxa" w:w="6048"/>
          </w:tcPr>
          <w:p>
            <w:pPr>
              <w:spacing w:after="80" w:before="80"/>
            </w:pPr>
            <w:r>
              <w:rPr>
                <w:sz w:val="18"/>
              </w:rPr>
              <w:t>Owner-approved functional requirement supplied in this file</w:t>
            </w:r>
          </w:p>
        </w:tc>
      </w:tr>
      <w:tr>
        <w:trPr>
          <w:cantSplit/>
        </w:trPr>
        <w:tc>
          <w:tcPr>
            <w:tcW w:type="dxa" w:w="2592"/>
          </w:tcPr>
          <w:p>
            <w:pPr>
              <w:spacing w:after="80" w:before="80"/>
            </w:pPr>
            <w:r>
              <w:rPr>
                <w:sz w:val="18"/>
              </w:rPr>
              <w:t>Approval of this SOP revision</w:t>
            </w:r>
          </w:p>
        </w:tc>
        <w:tc>
          <w:tcPr>
            <w:tcW w:type="dxa" w:w="6048"/>
          </w:tcPr>
          <w:p>
            <w:pPr>
              <w:spacing w:after="80" w:before="80"/>
            </w:pPr>
            <w:r>
              <w:rPr>
                <w:sz w:val="18"/>
              </w:rPr>
              <w:t xml:space="preserve">APPROVED by yazeed (System Owner), 09 October 2026; recorded from the explicit owner instruction in this chat</w:t>
            </w:r>
          </w:p>
        </w:tc>
      </w:tr>
      <w:tr>
        <w:trPr>
          <w:cantSplit/>
        </w:trPr>
        <w:tc>
          <w:tcPr>
            <w:tcW w:type="dxa" w:w="2592"/>
          </w:tcPr>
          <w:p>
            <w:pPr>
              <w:spacing w:after="80" w:before="80"/>
            </w:pPr>
            <w:r>
              <w:rPr>
                <w:sz w:val="18"/>
              </w:rPr>
              <w:t>Effective date</w:t>
            </w:r>
          </w:p>
        </w:tc>
        <w:tc>
          <w:tcPr>
            <w:tcW w:type="dxa" w:w="6048"/>
          </w:tcPr>
          <w:p>
            <w:pPr>
              <w:spacing w:after="80" w:before="80"/>
            </w:pPr>
            <w:r>
              <w:rPr>
                <w:sz w:val="18"/>
              </w:rPr>
              <w:t>NOT ASSIGNED</w:t>
            </w:r>
          </w:p>
        </w:tc>
      </w:tr>
    </w:tbl>
    <w:p/>
    <w:p>
      <w:r>
        <w:t xml:space="preserve">This SOP translates the supplied functional policy into an operating procedure. Owner approval of this revision is recorded on 09 October 2026. Effectivity and verified implementation remain separate. Each action remains subject to its approved workflow policy and supporting verification evidence.</w:t>
      </w:r>
    </w:p>
    <w:p>
      <w:pPr>
        <w:pStyle w:val="Heading1"/>
      </w:pPr>
      <w:r>
        <w:t>1. Purpose</w:t>
      </w:r>
    </w:p>
    <w:p>
      <w:r>
        <w:t>Define a consistent process for electronic signatures, approval authority and controlled decisions throughout the system.</w:t>
      </w:r>
    </w:p>
    <w:p>
      <w:r>
        <w:t>Every required signature shall identify the signer, express the decision, bind that decision to the exact record version and preserve an auditable history. All applicable modules shall use one centralized, reusable electronic signature and approval service.</w:t>
      </w:r>
    </w:p>
    <w:p>
      <w:r>
        <w:t>Handwritten signatures, drawing pads and signature images are not required. A displayed approval marker shall represent a recorded decision; it shall not substitute for a verified electronic signature.</w:t>
      </w:r>
    </w:p>
    <w:p>
      <w:pPr>
        <w:pStyle w:val="Heading1"/>
      </w:pPr>
      <w:r>
        <w:t>2. Scope and definitions</w:t>
      </w:r>
    </w:p>
    <w:p>
      <w:pPr>
        <w:pStyle w:val="Heading2"/>
      </w:pPr>
      <w:r>
        <w:t>2.1 Applicability</w:t>
      </w:r>
    </w:p>
    <w:p>
      <w:r>
        <w:t>This SOP applies to records, documents and workflows requiring formal authorization, approval, verification, closure or another controlled decision.</w:t>
      </w:r>
    </w:p>
    <w:tbl>
      <w:tblPr>
        <w:tblStyle w:val="TableGrid"/>
        <w:tblW w:type="auto" w:w="0"/>
        <w:tblLayout w:type="fixed"/>
        <w:tblLook w:firstColumn="1" w:firstRow="1" w:lastColumn="0" w:lastRow="0" w:noHBand="0" w:noVBand="1" w:val="04A0"/>
      </w:tblPr>
      <w:tblGrid>
        <w:gridCol w:w="2592"/>
        <w:gridCol w:w="6048"/>
      </w:tblGrid>
      <w:tr>
        <w:trPr>
          <w:cantSplit/>
          <w:tblHeader/>
        </w:trPr>
        <w:tc>
          <w:tcPr>
            <w:tcW w:type="dxa" w:w="2592"/>
            <w:shd w:fill="17365D"/>
          </w:tcPr>
          <w:p>
            <w:pPr>
              <w:spacing w:after="80" w:before="80"/>
            </w:pPr>
            <w:r>
              <w:rPr>
                <w:b/>
                <w:color w:val="FFFFFF"/>
                <w:sz w:val="18"/>
              </w:rPr>
              <w:t>Module or workflow</w:t>
            </w:r>
          </w:p>
        </w:tc>
        <w:tc>
          <w:tcPr>
            <w:tcW w:type="dxa" w:w="6048"/>
            <w:shd w:fill="17365D"/>
          </w:tcPr>
          <w:p>
            <w:pPr>
              <w:spacing w:after="80" w:before="80"/>
            </w:pPr>
            <w:r>
              <w:rPr>
                <w:b/>
                <w:color w:val="FFFFFF"/>
                <w:sz w:val="18"/>
              </w:rPr>
              <w:t>Events governed by the applicable approved signing policy</w:t>
            </w:r>
          </w:p>
        </w:tc>
      </w:tr>
      <w:tr>
        <w:trPr>
          <w:cantSplit/>
        </w:trPr>
        <w:tc>
          <w:tcPr>
            <w:tcW w:type="dxa" w:w="2592"/>
          </w:tcPr>
          <w:p>
            <w:pPr>
              <w:spacing w:after="80" w:before="80"/>
            </w:pPr>
            <w:r>
              <w:rPr>
                <w:sz w:val="18"/>
              </w:rPr>
              <w:t>NCR</w:t>
            </w:r>
          </w:p>
        </w:tc>
        <w:tc>
          <w:tcPr>
            <w:tcW w:type="dxa" w:w="6048"/>
          </w:tcPr>
          <w:p>
            <w:pPr>
              <w:spacing w:after="80" w:before="80"/>
            </w:pPr>
            <w:r>
              <w:rPr>
                <w:sz w:val="18"/>
              </w:rPr>
              <w:t>Formal review, disposition approval and closure approval</w:t>
            </w:r>
          </w:p>
        </w:tc>
      </w:tr>
      <w:tr>
        <w:trPr>
          <w:cantSplit/>
        </w:trPr>
        <w:tc>
          <w:tcPr>
            <w:tcW w:type="dxa" w:w="2592"/>
          </w:tcPr>
          <w:p>
            <w:pPr>
              <w:spacing w:after="80" w:before="80"/>
            </w:pPr>
            <w:r>
              <w:rPr>
                <w:sz w:val="18"/>
              </w:rPr>
              <w:t>CAPA</w:t>
            </w:r>
          </w:p>
        </w:tc>
        <w:tc>
          <w:tcPr>
            <w:tcW w:type="dxa" w:w="6048"/>
          </w:tcPr>
          <w:p>
            <w:pPr>
              <w:spacing w:after="80" w:before="80"/>
            </w:pPr>
            <w:r>
              <w:rPr>
                <w:sz w:val="18"/>
              </w:rPr>
              <w:t>Plan approval, effectiveness verification and closure</w:t>
            </w:r>
          </w:p>
        </w:tc>
      </w:tr>
      <w:tr>
        <w:trPr>
          <w:cantSplit/>
        </w:trPr>
        <w:tc>
          <w:tcPr>
            <w:tcW w:type="dxa" w:w="2592"/>
          </w:tcPr>
          <w:p>
            <w:pPr>
              <w:spacing w:after="80" w:before="80"/>
            </w:pPr>
            <w:r>
              <w:rPr>
                <w:sz w:val="18"/>
              </w:rPr>
              <w:t>RCA</w:t>
            </w:r>
          </w:p>
        </w:tc>
        <w:tc>
          <w:tcPr>
            <w:tcW w:type="dxa" w:w="6048"/>
          </w:tcPr>
          <w:p>
            <w:pPr>
              <w:spacing w:after="80" w:before="80"/>
            </w:pPr>
            <w:r>
              <w:rPr>
                <w:sz w:val="18"/>
              </w:rPr>
              <w:t>Root-cause review and approval</w:t>
            </w:r>
          </w:p>
        </w:tc>
      </w:tr>
      <w:tr>
        <w:trPr>
          <w:cantSplit/>
        </w:trPr>
        <w:tc>
          <w:tcPr>
            <w:tcW w:type="dxa" w:w="2592"/>
          </w:tcPr>
          <w:p>
            <w:pPr>
              <w:spacing w:after="80" w:before="80"/>
            </w:pPr>
            <w:r>
              <w:rPr>
                <w:sz w:val="18"/>
              </w:rPr>
              <w:t>Findings</w:t>
            </w:r>
          </w:p>
        </w:tc>
        <w:tc>
          <w:tcPr>
            <w:tcW w:type="dxa" w:w="6048"/>
          </w:tcPr>
          <w:p>
            <w:pPr>
              <w:spacing w:after="80" w:before="80"/>
            </w:pPr>
            <w:r>
              <w:rPr>
                <w:sz w:val="18"/>
              </w:rPr>
              <w:t>Formal review, disposition and closure where required</w:t>
            </w:r>
          </w:p>
        </w:tc>
      </w:tr>
      <w:tr>
        <w:trPr>
          <w:cantSplit/>
        </w:trPr>
        <w:tc>
          <w:tcPr>
            <w:tcW w:type="dxa" w:w="2592"/>
          </w:tcPr>
          <w:p>
            <w:pPr>
              <w:spacing w:after="80" w:before="80"/>
            </w:pPr>
            <w:r>
              <w:rPr>
                <w:sz w:val="18"/>
              </w:rPr>
              <w:t>Receiving</w:t>
            </w:r>
          </w:p>
        </w:tc>
        <w:tc>
          <w:tcPr>
            <w:tcW w:type="dxa" w:w="6048"/>
          </w:tcPr>
          <w:p>
            <w:pPr>
              <w:spacing w:after="80" w:before="80"/>
            </w:pPr>
            <w:r>
              <w:rPr>
                <w:sz w:val="18"/>
              </w:rPr>
              <w:t>Controlled disposition, HOLD decisions and release authorization</w:t>
            </w:r>
          </w:p>
        </w:tc>
      </w:tr>
      <w:tr>
        <w:trPr>
          <w:cantSplit/>
        </w:trPr>
        <w:tc>
          <w:tcPr>
            <w:tcW w:type="dxa" w:w="2592"/>
          </w:tcPr>
          <w:p>
            <w:pPr>
              <w:spacing w:after="80" w:before="80"/>
            </w:pPr>
            <w:r>
              <w:rPr>
                <w:sz w:val="18"/>
              </w:rPr>
              <w:t>Quarantine</w:t>
            </w:r>
          </w:p>
        </w:tc>
        <w:tc>
          <w:tcPr>
            <w:tcW w:type="dxa" w:w="6048"/>
          </w:tcPr>
          <w:p>
            <w:pPr>
              <w:spacing w:after="80" w:before="80"/>
            </w:pPr>
            <w:r>
              <w:rPr>
                <w:sz w:val="18"/>
              </w:rPr>
              <w:t>Controlled decisions and authorized release</w:t>
            </w:r>
          </w:p>
        </w:tc>
      </w:tr>
      <w:tr>
        <w:trPr>
          <w:cantSplit/>
        </w:trPr>
        <w:tc>
          <w:tcPr>
            <w:tcW w:type="dxa" w:w="2592"/>
          </w:tcPr>
          <w:p>
            <w:pPr>
              <w:spacing w:after="80" w:before="80"/>
            </w:pPr>
            <w:r>
              <w:rPr>
                <w:sz w:val="18"/>
              </w:rPr>
              <w:t>Inspection Reports</w:t>
            </w:r>
          </w:p>
        </w:tc>
        <w:tc>
          <w:tcPr>
            <w:tcW w:type="dxa" w:w="6048"/>
          </w:tcPr>
          <w:p>
            <w:pPr>
              <w:spacing w:after="80" w:before="80"/>
            </w:pPr>
            <w:r>
              <w:rPr>
                <w:sz w:val="18"/>
              </w:rPr>
              <w:t>Preliminary approval and final approval</w:t>
            </w:r>
          </w:p>
        </w:tc>
      </w:tr>
      <w:tr>
        <w:trPr>
          <w:cantSplit/>
        </w:trPr>
        <w:tc>
          <w:tcPr>
            <w:tcW w:type="dxa" w:w="2592"/>
          </w:tcPr>
          <w:p>
            <w:pPr>
              <w:spacing w:after="80" w:before="80"/>
            </w:pPr>
            <w:r>
              <w:rPr>
                <w:sz w:val="18"/>
              </w:rPr>
              <w:t>Laboratory Tests</w:t>
            </w:r>
          </w:p>
        </w:tc>
        <w:tc>
          <w:tcPr>
            <w:tcW w:type="dxa" w:w="6048"/>
          </w:tcPr>
          <w:p>
            <w:pPr>
              <w:spacing w:after="80" w:before="80"/>
            </w:pPr>
            <w:r>
              <w:rPr>
                <w:sz w:val="18"/>
              </w:rPr>
              <w:t>Test review and final approval</w:t>
            </w:r>
          </w:p>
        </w:tc>
      </w:tr>
      <w:tr>
        <w:trPr>
          <w:cantSplit/>
        </w:trPr>
        <w:tc>
          <w:tcPr>
            <w:tcW w:type="dxa" w:w="2592"/>
          </w:tcPr>
          <w:p>
            <w:pPr>
              <w:spacing w:after="80" w:before="80"/>
            </w:pPr>
            <w:r>
              <w:rPr>
                <w:sz w:val="18"/>
              </w:rPr>
              <w:t>Retests</w:t>
            </w:r>
          </w:p>
        </w:tc>
        <w:tc>
          <w:tcPr>
            <w:tcW w:type="dxa" w:w="6048"/>
          </w:tcPr>
          <w:p>
            <w:pPr>
              <w:spacing w:after="80" w:before="80"/>
            </w:pPr>
            <w:r>
              <w:rPr>
                <w:sz w:val="18"/>
              </w:rPr>
              <w:t>Retest authorization and final result approval</w:t>
            </w:r>
          </w:p>
        </w:tc>
      </w:tr>
      <w:tr>
        <w:trPr>
          <w:cantSplit/>
        </w:trPr>
        <w:tc>
          <w:tcPr>
            <w:tcW w:type="dxa" w:w="2592"/>
          </w:tcPr>
          <w:p>
            <w:pPr>
              <w:spacing w:after="80" w:before="80"/>
            </w:pPr>
            <w:r>
              <w:rPr>
                <w:sz w:val="18"/>
              </w:rPr>
              <w:t>Reject Reports</w:t>
            </w:r>
          </w:p>
        </w:tc>
        <w:tc>
          <w:tcPr>
            <w:tcW w:type="dxa" w:w="6048"/>
          </w:tcPr>
          <w:p>
            <w:pPr>
              <w:spacing w:after="80" w:before="80"/>
            </w:pPr>
            <w:r>
              <w:rPr>
                <w:sz w:val="18"/>
              </w:rPr>
              <w:t>Review, rejection confirmation and approval</w:t>
            </w:r>
          </w:p>
        </w:tc>
      </w:tr>
      <w:tr>
        <w:trPr>
          <w:cantSplit/>
        </w:trPr>
        <w:tc>
          <w:tcPr>
            <w:tcW w:type="dxa" w:w="2592"/>
          </w:tcPr>
          <w:p>
            <w:pPr>
              <w:spacing w:after="80" w:before="80"/>
            </w:pPr>
            <w:r>
              <w:rPr>
                <w:sz w:val="18"/>
              </w:rPr>
              <w:t>Issue Slips</w:t>
            </w:r>
          </w:p>
        </w:tc>
        <w:tc>
          <w:tcPr>
            <w:tcW w:type="dxa" w:w="6048"/>
          </w:tcPr>
          <w:p>
            <w:pPr>
              <w:spacing w:after="80" w:before="80"/>
            </w:pPr>
            <w:r>
              <w:rPr>
                <w:sz w:val="18"/>
              </w:rPr>
              <w:t>Required approval stages and final authorization</w:t>
            </w:r>
          </w:p>
        </w:tc>
      </w:tr>
      <w:tr>
        <w:trPr>
          <w:cantSplit/>
        </w:trPr>
        <w:tc>
          <w:tcPr>
            <w:tcW w:type="dxa" w:w="2592"/>
          </w:tcPr>
          <w:p>
            <w:pPr>
              <w:spacing w:after="80" w:before="80"/>
            </w:pPr>
            <w:r>
              <w:rPr>
                <w:sz w:val="18"/>
              </w:rPr>
              <w:t>Controlled Documents</w:t>
            </w:r>
          </w:p>
        </w:tc>
        <w:tc>
          <w:tcPr>
            <w:tcW w:type="dxa" w:w="6048"/>
          </w:tcPr>
          <w:p>
            <w:pPr>
              <w:spacing w:after="80" w:before="80"/>
            </w:pPr>
            <w:r>
              <w:rPr>
                <w:sz w:val="18"/>
              </w:rPr>
              <w:t>SOP, WI and template review, revision approval and effectivity</w:t>
            </w:r>
          </w:p>
        </w:tc>
      </w:tr>
      <w:tr>
        <w:trPr>
          <w:cantSplit/>
        </w:trPr>
        <w:tc>
          <w:tcPr>
            <w:tcW w:type="dxa" w:w="2592"/>
          </w:tcPr>
          <w:p>
            <w:pPr>
              <w:spacing w:after="80" w:before="80"/>
            </w:pPr>
            <w:r>
              <w:rPr>
                <w:sz w:val="18"/>
              </w:rPr>
              <w:t>Change Requests</w:t>
            </w:r>
          </w:p>
        </w:tc>
        <w:tc>
          <w:tcPr>
            <w:tcW w:type="dxa" w:w="6048"/>
          </w:tcPr>
          <w:p>
            <w:pPr>
              <w:spacing w:after="80" w:before="80"/>
            </w:pPr>
            <w:r>
              <w:rPr>
                <w:sz w:val="18"/>
              </w:rPr>
              <w:t>Change review, authorization and closure</w:t>
            </w:r>
          </w:p>
        </w:tc>
      </w:tr>
      <w:tr>
        <w:trPr>
          <w:cantSplit/>
        </w:trPr>
        <w:tc>
          <w:tcPr>
            <w:tcW w:type="dxa" w:w="2592"/>
          </w:tcPr>
          <w:p>
            <w:pPr>
              <w:spacing w:after="80" w:before="80"/>
            </w:pPr>
            <w:r>
              <w:rPr>
                <w:sz w:val="18"/>
              </w:rPr>
              <w:t>Equipment</w:t>
            </w:r>
          </w:p>
        </w:tc>
        <w:tc>
          <w:tcPr>
            <w:tcW w:type="dxa" w:w="6048"/>
          </w:tcPr>
          <w:p>
            <w:pPr>
              <w:spacing w:after="80" w:before="80"/>
            </w:pPr>
            <w:r>
              <w:rPr>
                <w:sz w:val="18"/>
              </w:rPr>
              <w:t>Controlled eligibility and return-to-service decisions</w:t>
            </w:r>
          </w:p>
        </w:tc>
      </w:tr>
      <w:tr>
        <w:trPr>
          <w:cantSplit/>
        </w:trPr>
        <w:tc>
          <w:tcPr>
            <w:tcW w:type="dxa" w:w="2592"/>
          </w:tcPr>
          <w:p>
            <w:pPr>
              <w:spacing w:after="80" w:before="80"/>
            </w:pPr>
            <w:r>
              <w:rPr>
                <w:sz w:val="18"/>
              </w:rPr>
              <w:t>Calibration</w:t>
            </w:r>
          </w:p>
        </w:tc>
        <w:tc>
          <w:tcPr>
            <w:tcW w:type="dxa" w:w="6048"/>
          </w:tcPr>
          <w:p>
            <w:pPr>
              <w:spacing w:after="80" w:before="80"/>
            </w:pPr>
            <w:r>
              <w:rPr>
                <w:sz w:val="18"/>
              </w:rPr>
              <w:t>Record review and authorized decisions</w:t>
            </w:r>
          </w:p>
        </w:tc>
      </w:tr>
      <w:tr>
        <w:trPr>
          <w:cantSplit/>
        </w:trPr>
        <w:tc>
          <w:tcPr>
            <w:tcW w:type="dxa" w:w="2592"/>
          </w:tcPr>
          <w:p>
            <w:pPr>
              <w:spacing w:after="80" w:before="80"/>
            </w:pPr>
            <w:r>
              <w:rPr>
                <w:sz w:val="18"/>
              </w:rPr>
              <w:t>Maintenance</w:t>
            </w:r>
          </w:p>
        </w:tc>
        <w:tc>
          <w:tcPr>
            <w:tcW w:type="dxa" w:w="6048"/>
          </w:tcPr>
          <w:p>
            <w:pPr>
              <w:spacing w:after="80" w:before="80"/>
            </w:pPr>
            <w:r>
              <w:rPr>
                <w:sz w:val="18"/>
              </w:rPr>
              <w:t>Required verification and release-to-use decisions</w:t>
            </w:r>
          </w:p>
        </w:tc>
      </w:tr>
      <w:tr>
        <w:trPr>
          <w:cantSplit/>
        </w:trPr>
        <w:tc>
          <w:tcPr>
            <w:tcW w:type="dxa" w:w="2592"/>
          </w:tcPr>
          <w:p>
            <w:pPr>
              <w:spacing w:after="80" w:before="80"/>
            </w:pPr>
            <w:r>
              <w:rPr>
                <w:sz w:val="18"/>
              </w:rPr>
              <w:t>Tasks</w:t>
            </w:r>
          </w:p>
        </w:tc>
        <w:tc>
          <w:tcPr>
            <w:tcW w:type="dxa" w:w="6048"/>
          </w:tcPr>
          <w:p>
            <w:pPr>
              <w:spacing w:after="80" w:before="80"/>
            </w:pPr>
            <w:r>
              <w:rPr>
                <w:sz w:val="18"/>
              </w:rPr>
              <w:t>Formal acceptance or closure where required by policy</w:t>
            </w:r>
          </w:p>
        </w:tc>
      </w:tr>
      <w:tr>
        <w:trPr>
          <w:cantSplit/>
        </w:trPr>
        <w:tc>
          <w:tcPr>
            <w:tcW w:type="dxa" w:w="2592"/>
          </w:tcPr>
          <w:p>
            <w:pPr>
              <w:spacing w:after="80" w:before="80"/>
            </w:pPr>
            <w:r>
              <w:rPr>
                <w:sz w:val="18"/>
              </w:rPr>
              <w:t>Reports &amp; Exports</w:t>
            </w:r>
          </w:p>
        </w:tc>
        <w:tc>
          <w:tcPr>
            <w:tcW w:type="dxa" w:w="6048"/>
          </w:tcPr>
          <w:p>
            <w:pPr>
              <w:spacing w:after="80" w:before="80"/>
            </w:pPr>
            <w:r>
              <w:rPr>
                <w:sz w:val="18"/>
              </w:rPr>
              <w:t>Formal report approval where required</w:t>
            </w:r>
          </w:p>
        </w:tc>
      </w:tr>
      <w:tr>
        <w:trPr>
          <w:cantSplit/>
        </w:trPr>
        <w:tc>
          <w:tcPr>
            <w:tcW w:type="dxa" w:w="2592"/>
          </w:tcPr>
          <w:p>
            <w:pPr>
              <w:spacing w:after="80" w:before="80"/>
            </w:pPr>
            <w:r>
              <w:rPr>
                <w:sz w:val="18"/>
              </w:rPr>
              <w:t>Administration</w:t>
            </w:r>
          </w:p>
        </w:tc>
        <w:tc>
          <w:tcPr>
            <w:tcW w:type="dxa" w:w="6048"/>
          </w:tcPr>
          <w:p>
            <w:pPr>
              <w:spacing w:after="80" w:before="80"/>
            </w:pPr>
            <w:r>
              <w:rPr>
                <w:sz w:val="18"/>
              </w:rPr>
              <w:t>High-risk approvals explicitly governed by an approved policy</w:t>
            </w:r>
          </w:p>
        </w:tc>
      </w:tr>
      <w:tr>
        <w:trPr>
          <w:cantSplit/>
        </w:trPr>
        <w:tc>
          <w:tcPr>
            <w:tcW w:type="dxa" w:w="2592"/>
          </w:tcPr>
          <w:p>
            <w:pPr>
              <w:spacing w:after="80" w:before="80"/>
            </w:pPr>
            <w:r>
              <w:rPr>
                <w:sz w:val="18"/>
              </w:rPr>
              <w:t>Backup &amp; Recovery</w:t>
            </w:r>
          </w:p>
        </w:tc>
        <w:tc>
          <w:tcPr>
            <w:tcW w:type="dxa" w:w="6048"/>
          </w:tcPr>
          <w:p>
            <w:pPr>
              <w:spacing w:after="80" w:before="80"/>
            </w:pPr>
            <w:r>
              <w:rPr>
                <w:sz w:val="18"/>
              </w:rPr>
              <w:t>Authorized restore and recovery decisions where required</w:t>
            </w:r>
          </w:p>
        </w:tc>
      </w:tr>
      <w:tr>
        <w:trPr>
          <w:cantSplit/>
        </w:trPr>
        <w:tc>
          <w:tcPr>
            <w:tcW w:type="dxa" w:w="2592"/>
          </w:tcPr>
          <w:p>
            <w:pPr>
              <w:spacing w:after="80" w:before="80"/>
            </w:pPr>
            <w:r>
              <w:rPr>
                <w:sz w:val="18"/>
              </w:rPr>
              <w:t>Release Governance</w:t>
            </w:r>
          </w:p>
        </w:tc>
        <w:tc>
          <w:tcPr>
            <w:tcW w:type="dxa" w:w="6048"/>
          </w:tcPr>
          <w:p>
            <w:pPr>
              <w:spacing w:after="80" w:before="80"/>
            </w:pPr>
            <w:r>
              <w:rPr>
                <w:sz w:val="18"/>
              </w:rPr>
              <w:t>Release-candidate review, formal authorization and applicable exceptions</w:t>
            </w:r>
          </w:p>
        </w:tc>
      </w:tr>
    </w:tbl>
    <w:p/>
    <w:p>
      <w:r>
        <w:t>The approved policy for each workflow determines which events require a signature. Inclusion in this table does not make every action in a module a signing event.</w:t>
      </w:r>
    </w:p>
    <w:p>
      <w:r>
        <w:t>Opening pages, entering draft data, searching, filtering, viewing reports and producing ordinary exports do not automatically require signatures. An unsigned return or rejection is permitted only where the approved workflow defines it as a procedural refusal rather than a signed controlled decision.</w:t>
      </w:r>
    </w:p>
    <w:p>
      <w:pPr>
        <w:pStyle w:val="Heading2"/>
      </w:pPr>
      <w:r>
        <w:t>2.2 Definitions</w:t>
      </w:r>
    </w:p>
    <w:tbl>
      <w:tblPr>
        <w:tblStyle w:val="TableGrid"/>
        <w:tblW w:type="auto" w:w="0"/>
        <w:tblLayout w:type="fixed"/>
        <w:tblLook w:firstColumn="1" w:firstRow="1" w:lastColumn="0" w:lastRow="0" w:noHBand="0" w:noVBand="1" w:val="04A0"/>
      </w:tblPr>
      <w:tblGrid>
        <w:gridCol w:w="2592"/>
        <w:gridCol w:w="6048"/>
      </w:tblGrid>
      <w:tr>
        <w:trPr>
          <w:cantSplit/>
          <w:tblHeader/>
        </w:trPr>
        <w:tc>
          <w:tcPr>
            <w:tcW w:type="dxa" w:w="2592"/>
            <w:shd w:fill="17365D"/>
          </w:tcPr>
          <w:p>
            <w:pPr>
              <w:spacing w:after="80" w:before="80"/>
            </w:pPr>
            <w:r>
              <w:rPr>
                <w:b/>
                <w:color w:val="FFFFFF"/>
                <w:sz w:val="18"/>
              </w:rPr>
              <w:t>Term</w:t>
            </w:r>
          </w:p>
        </w:tc>
        <w:tc>
          <w:tcPr>
            <w:tcW w:type="dxa" w:w="6048"/>
            <w:shd w:fill="17365D"/>
          </w:tcPr>
          <w:p>
            <w:pPr>
              <w:spacing w:after="80" w:before="80"/>
            </w:pPr>
            <w:r>
              <w:rPr>
                <w:b/>
                <w:color w:val="FFFFFF"/>
                <w:sz w:val="18"/>
              </w:rPr>
              <w:t>Meaning</w:t>
            </w:r>
          </w:p>
        </w:tc>
      </w:tr>
      <w:tr>
        <w:trPr>
          <w:cantSplit/>
        </w:trPr>
        <w:tc>
          <w:tcPr>
            <w:tcW w:type="dxa" w:w="2592"/>
          </w:tcPr>
          <w:p>
            <w:pPr>
              <w:spacing w:after="80" w:before="80"/>
            </w:pPr>
            <w:r>
              <w:rPr>
                <w:sz w:val="18"/>
              </w:rPr>
              <w:t>Electronic signature</w:t>
            </w:r>
          </w:p>
        </w:tc>
        <w:tc>
          <w:tcPr>
            <w:tcW w:type="dxa" w:w="6048"/>
          </w:tcPr>
          <w:p>
            <w:pPr>
              <w:spacing w:after="80" w:before="80"/>
            </w:pPr>
            <w:r>
              <w:rPr>
                <w:sz w:val="18"/>
              </w:rPr>
              <w:t>An authenticated expression of signing intent attributable to one person and bound to a specific record, version and decision</w:t>
            </w:r>
          </w:p>
        </w:tc>
      </w:tr>
      <w:tr>
        <w:trPr>
          <w:cantSplit/>
        </w:trPr>
        <w:tc>
          <w:tcPr>
            <w:tcW w:type="dxa" w:w="2592"/>
          </w:tcPr>
          <w:p>
            <w:pPr>
              <w:spacing w:after="80" w:before="80"/>
            </w:pPr>
            <w:r>
              <w:rPr>
                <w:sz w:val="18"/>
              </w:rPr>
              <w:t>Preliminary approval</w:t>
            </w:r>
          </w:p>
        </w:tc>
        <w:tc>
          <w:tcPr>
            <w:tcW w:type="dxa" w:w="6048"/>
          </w:tcPr>
          <w:p>
            <w:pPr>
              <w:spacing w:after="80" w:before="80"/>
            </w:pPr>
            <w:r>
              <w:rPr>
                <w:sz w:val="18"/>
              </w:rPr>
              <w:t>Approval at an intermediate stage; it does not satisfy a required final approval</w:t>
            </w:r>
          </w:p>
        </w:tc>
      </w:tr>
      <w:tr>
        <w:trPr>
          <w:cantSplit/>
        </w:trPr>
        <w:tc>
          <w:tcPr>
            <w:tcW w:type="dxa" w:w="2592"/>
          </w:tcPr>
          <w:p>
            <w:pPr>
              <w:spacing w:after="80" w:before="80"/>
            </w:pPr>
            <w:r>
              <w:rPr>
                <w:sz w:val="18"/>
              </w:rPr>
              <w:t>Final approval</w:t>
            </w:r>
          </w:p>
        </w:tc>
        <w:tc>
          <w:tcPr>
            <w:tcW w:type="dxa" w:w="6048"/>
          </w:tcPr>
          <w:p>
            <w:pPr>
              <w:spacing w:after="80" w:before="80"/>
            </w:pPr>
            <w:r>
              <w:rPr>
                <w:sz w:val="18"/>
              </w:rPr>
              <w:t>Authorization by the designated final approver after the required workflow checks</w:t>
            </w:r>
          </w:p>
        </w:tc>
      </w:tr>
      <w:tr>
        <w:trPr>
          <w:cantSplit/>
        </w:trPr>
        <w:tc>
          <w:tcPr>
            <w:tcW w:type="dxa" w:w="2592"/>
          </w:tcPr>
          <w:p>
            <w:pPr>
              <w:spacing w:after="80" w:before="80"/>
            </w:pPr>
            <w:r>
              <w:rPr>
                <w:sz w:val="18"/>
              </w:rPr>
              <w:t>Reauthentication</w:t>
            </w:r>
          </w:p>
        </w:tc>
        <w:tc>
          <w:tcPr>
            <w:tcW w:type="dxa" w:w="6048"/>
          </w:tcPr>
          <w:p>
            <w:pPr>
              <w:spacing w:after="80" w:before="80"/>
            </w:pPr>
            <w:r>
              <w:rPr>
                <w:sz w:val="18"/>
              </w:rPr>
              <w:t>Fresh verification of the signer's credentials during signing</w:t>
            </w:r>
          </w:p>
        </w:tc>
      </w:tr>
      <w:tr>
        <w:trPr>
          <w:cantSplit/>
        </w:trPr>
        <w:tc>
          <w:tcPr>
            <w:tcW w:type="dxa" w:w="2592"/>
          </w:tcPr>
          <w:p>
            <w:pPr>
              <w:spacing w:after="80" w:before="80"/>
            </w:pPr>
            <w:r>
              <w:rPr>
                <w:sz w:val="18"/>
              </w:rPr>
              <w:t>Segregation of duties (SoD)</w:t>
            </w:r>
          </w:p>
        </w:tc>
        <w:tc>
          <w:tcPr>
            <w:tcW w:type="dxa" w:w="6048"/>
          </w:tcPr>
          <w:p>
            <w:pPr>
              <w:spacing w:after="80" w:before="80"/>
            </w:pPr>
            <w:r>
              <w:rPr>
                <w:sz w:val="18"/>
              </w:rPr>
              <w:t>Required separation between people performing specified workflow stages</w:t>
            </w:r>
          </w:p>
        </w:tc>
      </w:tr>
      <w:tr>
        <w:trPr>
          <w:cantSplit/>
        </w:trPr>
        <w:tc>
          <w:tcPr>
            <w:tcW w:type="dxa" w:w="2592"/>
          </w:tcPr>
          <w:p>
            <w:pPr>
              <w:spacing w:after="80" w:before="80"/>
            </w:pPr>
            <w:r>
              <w:rPr>
                <w:sz w:val="18"/>
              </w:rPr>
              <w:t>Owner override</w:t>
            </w:r>
          </w:p>
        </w:tc>
        <w:tc>
          <w:tcPr>
            <w:tcW w:type="dxa" w:w="6048"/>
          </w:tcPr>
          <w:p>
            <w:pPr>
              <w:spacing w:after="80" w:before="80"/>
            </w:pPr>
            <w:r>
              <w:rPr>
                <w:sz w:val="18"/>
              </w:rPr>
              <w:t>An explicit, justified and recorded exception permitted by the applicable workflow policy</w:t>
            </w:r>
          </w:p>
        </w:tc>
      </w:tr>
      <w:tr>
        <w:trPr>
          <w:cantSplit/>
        </w:trPr>
        <w:tc>
          <w:tcPr>
            <w:tcW w:type="dxa" w:w="2592"/>
          </w:tcPr>
          <w:p>
            <w:pPr>
              <w:spacing w:after="80" w:before="80"/>
            </w:pPr>
            <w:r>
              <w:rPr>
                <w:sz w:val="18"/>
              </w:rPr>
              <w:t>Audit Trail</w:t>
            </w:r>
          </w:p>
        </w:tc>
        <w:tc>
          <w:tcPr>
            <w:tcW w:type="dxa" w:w="6048"/>
          </w:tcPr>
          <w:p>
            <w:pPr>
              <w:spacing w:after="80" w:before="80"/>
            </w:pPr>
            <w:r>
              <w:rPr>
                <w:sz w:val="18"/>
              </w:rPr>
              <w:t>The chronological record linking the actor, action, record, version, time and outcome</w:t>
            </w:r>
          </w:p>
        </w:tc>
      </w:tr>
      <w:tr>
        <w:trPr>
          <w:cantSplit/>
        </w:trPr>
        <w:tc>
          <w:tcPr>
            <w:tcW w:type="dxa" w:w="2592"/>
          </w:tcPr>
          <w:p>
            <w:pPr>
              <w:spacing w:after="80" w:before="80"/>
            </w:pPr>
            <w:r>
              <w:rPr>
                <w:sz w:val="18"/>
              </w:rPr>
              <w:t>Fail-closed</w:t>
            </w:r>
          </w:p>
        </w:tc>
        <w:tc>
          <w:tcPr>
            <w:tcW w:type="dxa" w:w="6048"/>
          </w:tcPr>
          <w:p>
            <w:pPr>
              <w:spacing w:after="80" w:before="80"/>
            </w:pPr>
            <w:r>
              <w:rPr>
                <w:sz w:val="18"/>
              </w:rPr>
              <w:t>Refuse the action when a required policy, authority, prerequisite or verification cannot be established</w:t>
            </w:r>
          </w:p>
        </w:tc>
      </w:tr>
    </w:tbl>
    <w:p/>
    <w:p>
      <w:r>
        <w:t xml:space="preserve">Signature, approval, operational release, document effectivity and closure remain separate decisions where the workflow defines them separately. </w:t>
      </w:r>
      <w:r>
        <w:rPr>
          <w:rFonts w:ascii="Consolas" w:hAnsi="Consolas"/>
          <w:sz w:val="18"/>
        </w:rPr>
        <w:t>Closed</w:t>
      </w:r>
      <w:r>
        <w:t xml:space="preserve"> does not automatically mean </w:t>
      </w:r>
      <w:r>
        <w:rPr>
          <w:rFonts w:ascii="Consolas" w:hAnsi="Consolas"/>
          <w:sz w:val="18"/>
        </w:rPr>
        <w:t>Final Approved</w:t>
      </w:r>
      <w:r>
        <w:t xml:space="preserve">; </w:t>
      </w:r>
      <w:r>
        <w:rPr>
          <w:rFonts w:ascii="Consolas" w:hAnsi="Consolas"/>
          <w:sz w:val="18"/>
        </w:rPr>
        <w:t>APPROVED</w:t>
      </w:r>
      <w:r>
        <w:t xml:space="preserve"> does not automatically mean </w:t>
      </w:r>
      <w:r>
        <w:rPr>
          <w:rFonts w:ascii="Consolas" w:hAnsi="Consolas"/>
          <w:sz w:val="18"/>
        </w:rPr>
        <w:t>EFFECTIVE</w:t>
      </w:r>
      <w:r>
        <w:t xml:space="preserve">; </w:t>
      </w:r>
      <w:r>
        <w:rPr>
          <w:rFonts w:ascii="Consolas" w:hAnsi="Consolas"/>
          <w:sz w:val="18"/>
        </w:rPr>
        <w:t>PASS</w:t>
      </w:r>
      <w:r>
        <w:t xml:space="preserve"> does not automatically mean </w:t>
      </w:r>
      <w:r>
        <w:rPr>
          <w:rFonts w:ascii="Consolas" w:hAnsi="Consolas"/>
          <w:sz w:val="18"/>
        </w:rPr>
        <w:t>RELEASED</w:t>
      </w:r>
      <w:r>
        <w:t>.</w:t>
      </w:r>
    </w:p>
    <w:p>
      <w:pPr>
        <w:pStyle w:val="Heading1"/>
      </w:pPr>
      <w:r>
        <w:t>3. Responsibilities and approval authority</w:t>
      </w:r>
    </w:p>
    <w:p>
      <w:pPr>
        <w:pStyle w:val="Heading2"/>
      </w:pPr>
      <w:r>
        <w:t>3.1 Role responsibilities</w:t>
      </w:r>
    </w:p>
    <w:tbl>
      <w:tblPr>
        <w:tblStyle w:val="TableGrid"/>
        <w:tblW w:type="auto" w:w="0"/>
        <w:tblLayout w:type="fixed"/>
        <w:tblLook w:firstColumn="1" w:firstRow="1" w:lastColumn="0" w:lastRow="0" w:noHBand="0" w:noVBand="1" w:val="04A0"/>
      </w:tblPr>
      <w:tblGrid>
        <w:gridCol w:w="1642"/>
        <w:gridCol w:w="3888"/>
        <w:gridCol w:w="3110"/>
      </w:tblGrid>
      <w:tr>
        <w:trPr>
          <w:cantSplit/>
          <w:tblHeader/>
        </w:trPr>
        <w:tc>
          <w:tcPr>
            <w:tcW w:type="dxa" w:w="1642"/>
            <w:shd w:fill="17365D"/>
          </w:tcPr>
          <w:p>
            <w:pPr>
              <w:spacing w:after="80" w:before="80"/>
            </w:pPr>
            <w:r>
              <w:rPr>
                <w:b/>
                <w:color w:val="FFFFFF"/>
                <w:sz w:val="18"/>
              </w:rPr>
              <w:t>Role</w:t>
            </w:r>
          </w:p>
        </w:tc>
        <w:tc>
          <w:tcPr>
            <w:tcW w:type="dxa" w:w="3888"/>
            <w:shd w:fill="17365D"/>
          </w:tcPr>
          <w:p>
            <w:pPr>
              <w:spacing w:after="80" w:before="80"/>
            </w:pPr>
            <w:r>
              <w:rPr>
                <w:b/>
                <w:color w:val="FFFFFF"/>
                <w:sz w:val="18"/>
              </w:rPr>
              <w:t>Responsibilities and authority</w:t>
            </w:r>
          </w:p>
        </w:tc>
        <w:tc>
          <w:tcPr>
            <w:tcW w:type="dxa" w:w="3110"/>
            <w:shd w:fill="17365D"/>
          </w:tcPr>
          <w:p>
            <w:pPr>
              <w:spacing w:after="80" w:before="80"/>
            </w:pPr>
            <w:r>
              <w:rPr>
                <w:b/>
                <w:color w:val="FFFFFF"/>
                <w:sz w:val="18"/>
              </w:rPr>
              <w:t>Limits</w:t>
            </w:r>
          </w:p>
        </w:tc>
      </w:tr>
      <w:tr>
        <w:trPr>
          <w:cantSplit/>
        </w:trPr>
        <w:tc>
          <w:tcPr>
            <w:tcW w:type="dxa" w:w="1642"/>
          </w:tcPr>
          <w:p>
            <w:pPr>
              <w:spacing w:after="80" w:before="80"/>
            </w:pPr>
            <w:r>
              <w:rPr>
                <w:sz w:val="18"/>
              </w:rPr>
              <w:t>QC01–QC04 / Employee</w:t>
            </w:r>
          </w:p>
        </w:tc>
        <w:tc>
          <w:tcPr>
            <w:tcW w:type="dxa" w:w="3888"/>
          </w:tcPr>
          <w:p>
            <w:pPr>
              <w:spacing w:after="80" w:before="80"/>
            </w:pPr>
            <w:r>
              <w:rPr>
                <w:sz w:val="18"/>
              </w:rPr>
              <w:t>Create and update eligible operational records; submit controlled records for review</w:t>
            </w:r>
          </w:p>
        </w:tc>
        <w:tc>
          <w:tcPr>
            <w:tcW w:type="dxa" w:w="3110"/>
          </w:tcPr>
          <w:p>
            <w:pPr>
              <w:spacing w:after="80" w:before="80"/>
            </w:pPr>
            <w:r>
              <w:rPr>
                <w:sz w:val="18"/>
              </w:rPr>
              <w:t>No preliminary or final approval authority</w:t>
            </w:r>
          </w:p>
        </w:tc>
      </w:tr>
      <w:tr>
        <w:trPr>
          <w:cantSplit/>
        </w:trPr>
        <w:tc>
          <w:tcPr>
            <w:tcW w:type="dxa" w:w="1642"/>
          </w:tcPr>
          <w:p>
            <w:pPr>
              <w:spacing w:after="80" w:before="80"/>
            </w:pPr>
            <w:r>
              <w:rPr>
                <w:sz w:val="18"/>
              </w:rPr>
              <w:t>Supervisor</w:t>
            </w:r>
          </w:p>
        </w:tc>
        <w:tc>
          <w:tcPr>
            <w:tcW w:type="dxa" w:w="3888"/>
          </w:tcPr>
          <w:p>
            <w:pPr>
              <w:spacing w:after="80" w:before="80"/>
            </w:pPr>
            <w:r>
              <w:rPr>
                <w:sz w:val="18"/>
              </w:rPr>
              <w:t>Review submitted records; provide preliminary electronic approval where required; return or reject where permitted</w:t>
            </w:r>
          </w:p>
        </w:tc>
        <w:tc>
          <w:tcPr>
            <w:tcW w:type="dxa" w:w="3110"/>
          </w:tcPr>
          <w:p>
            <w:pPr>
              <w:spacing w:after="80" w:before="80"/>
            </w:pPr>
            <w:r>
              <w:rPr>
                <w:sz w:val="18"/>
              </w:rPr>
              <w:t>No final approval authority</w:t>
            </w:r>
          </w:p>
        </w:tc>
      </w:tr>
      <w:tr>
        <w:trPr>
          <w:cantSplit/>
        </w:trPr>
        <w:tc>
          <w:tcPr>
            <w:tcW w:type="dxa" w:w="1642"/>
          </w:tcPr>
          <w:p>
            <w:pPr>
              <w:spacing w:after="80" w:before="80"/>
            </w:pPr>
            <w:r>
              <w:rPr>
                <w:sz w:val="18"/>
              </w:rPr>
              <w:t>QCM / Manager</w:t>
            </w:r>
          </w:p>
        </w:tc>
        <w:tc>
          <w:tcPr>
            <w:tcW w:type="dxa" w:w="3888"/>
          </w:tcPr>
          <w:p>
            <w:pPr>
              <w:spacing w:after="80" w:before="80"/>
            </w:pPr>
            <w:r>
              <w:rPr>
                <w:sz w:val="18"/>
              </w:rPr>
              <w:t>Review records; provide final electronic approval across applicable controlled workflows</w:t>
            </w:r>
          </w:p>
        </w:tc>
        <w:tc>
          <w:tcPr>
            <w:tcW w:type="dxa" w:w="3110"/>
          </w:tcPr>
          <w:p>
            <w:pPr>
              <w:spacing w:after="80" w:before="80"/>
            </w:pPr>
            <w:r>
              <w:rPr>
                <w:sz w:val="18"/>
              </w:rPr>
              <w:t>Preliminary review authority only where explicitly permitted; independence and stage order remain binding</w:t>
            </w:r>
          </w:p>
        </w:tc>
      </w:tr>
      <w:tr>
        <w:trPr>
          <w:cantSplit/>
        </w:trPr>
        <w:tc>
          <w:tcPr>
            <w:tcW w:type="dxa" w:w="1642"/>
          </w:tcPr>
          <w:p>
            <w:pPr>
              <w:spacing w:after="80" w:before="80"/>
            </w:pPr>
            <w:r>
              <w:rPr>
                <w:sz w:val="18"/>
              </w:rPr>
              <w:t>System Owner — yazeed</w:t>
            </w:r>
          </w:p>
        </w:tc>
        <w:tc>
          <w:tcPr>
            <w:tcW w:type="dxa" w:w="3888"/>
          </w:tcPr>
          <w:p>
            <w:pPr>
              <w:spacing w:after="80" w:before="80"/>
            </w:pPr>
            <w:r>
              <w:rPr>
                <w:sz w:val="18"/>
              </w:rPr>
              <w:t>Full system and administrative authority; preliminary and final approval capabilities; controlled override authority for applicable workflows</w:t>
            </w:r>
          </w:p>
        </w:tc>
        <w:tc>
          <w:tcPr>
            <w:tcW w:type="dxa" w:w="3110"/>
          </w:tcPr>
          <w:p>
            <w:pPr>
              <w:spacing w:after="80" w:before="80"/>
            </w:pPr>
            <w:r>
              <w:rPr>
                <w:sz w:val="18"/>
              </w:rPr>
              <w:t>Every override shall be explicit, justified and recorded; an exception shall not be presented as an independent approval</w:t>
            </w:r>
          </w:p>
        </w:tc>
      </w:tr>
      <w:tr>
        <w:trPr>
          <w:cantSplit/>
        </w:trPr>
        <w:tc>
          <w:tcPr>
            <w:tcW w:type="dxa" w:w="1642"/>
          </w:tcPr>
          <w:p>
            <w:pPr>
              <w:spacing w:after="80" w:before="80"/>
            </w:pPr>
            <w:r>
              <w:rPr>
                <w:sz w:val="18"/>
              </w:rPr>
              <w:t>Admin</w:t>
            </w:r>
          </w:p>
        </w:tc>
        <w:tc>
          <w:tcPr>
            <w:tcW w:type="dxa" w:w="3888"/>
          </w:tcPr>
          <w:p>
            <w:pPr>
              <w:spacing w:after="80" w:before="80"/>
            </w:pPr>
            <w:r>
              <w:rPr>
                <w:sz w:val="18"/>
              </w:rPr>
              <w:t>Perform authorized technical and administrative activities</w:t>
            </w:r>
          </w:p>
        </w:tc>
        <w:tc>
          <w:tcPr>
            <w:tcW w:type="dxa" w:w="3110"/>
          </w:tcPr>
          <w:p>
            <w:pPr>
              <w:spacing w:after="80" w:before="80"/>
            </w:pPr>
            <w:r>
              <w:rPr>
                <w:sz w:val="18"/>
              </w:rPr>
              <w:t>Admin membership alone grants no QC approval authority</w:t>
            </w:r>
          </w:p>
        </w:tc>
      </w:tr>
    </w:tbl>
    <w:p/>
    <w:p>
      <w:r>
        <w:t>These responsibilities describe the supplied policy. They do not create accounts, assign permissions or enable unsupported application actions.</w:t>
      </w:r>
    </w:p>
    <w:p>
      <w:pPr>
        <w:pStyle w:val="Heading2"/>
      </w:pPr>
      <w:r>
        <w:t>3.2 Authority and independence</w:t>
      </w:r>
    </w:p>
    <w:p>
      <w:r>
        <w:t>The system shall verify the authenticated identity, applicable role, required permission, authorized scope, workflow state and current record version before accepting a decision. Page visibility and a displayed role label are not sufficient authorization.</w:t>
      </w:r>
    </w:p>
    <w:p>
      <w:r>
        <w:t>Where independent preliminary and final approvers are required, the same person shall not silently complete both stages. A permitted Owner exception shall identify the independence requirement being overridden and remain visible in the decision history.</w:t>
      </w:r>
    </w:p>
    <w:p>
      <w:r>
        <w:t>The signer shall review the exact record, confirm the displayed decision meaning and use their own account. Signing on behalf of another user is prohibited.</w:t>
      </w:r>
    </w:p>
    <w:p>
      <w:pPr>
        <w:pStyle w:val="Heading1"/>
      </w:pPr>
      <w:r>
        <w:t>4. Procedure</w:t>
      </w:r>
    </w:p>
    <w:p>
      <w:pPr>
        <w:pStyle w:val="Heading2"/>
      </w:pPr>
      <w:r>
        <w:t>4.1 Establish the signing requirements</w:t>
      </w:r>
    </w:p>
    <w:p>
      <w:r>
        <w:t>Before a controlled action is enabled, its entry in the centralized signing-policy registry shall identify:</w:t>
      </w:r>
    </w:p>
    <w:p>
      <w:pPr>
        <w:pStyle w:val="ListBullet"/>
      </w:pPr>
      <w:r>
        <w:t>Entity type and applicable action or event.</w:t>
      </w:r>
    </w:p>
    <w:p>
      <w:pPr>
        <w:pStyle w:val="ListBullet"/>
      </w:pPr>
      <w:r>
        <w:t>Required workflow state, prerequisites and approval stage.</w:t>
      </w:r>
    </w:p>
    <w:p>
      <w:pPr>
        <w:pStyle w:val="ListBullet"/>
      </w:pPr>
      <w:r>
        <w:t>Required signer role, permission and scope.</w:t>
      </w:r>
    </w:p>
    <w:p>
      <w:pPr>
        <w:pStyle w:val="ListBullet"/>
      </w:pPr>
      <w:r>
        <w:t>Signing meaning and authentication requirements.</w:t>
      </w:r>
    </w:p>
    <w:p>
      <w:pPr>
        <w:pStyle w:val="ListBullet"/>
      </w:pPr>
      <w:r>
        <w:t>Record-version binding and independence rules.</w:t>
      </w:r>
    </w:p>
    <w:p>
      <w:pPr>
        <w:pStyle w:val="ListBullet"/>
      </w:pPr>
      <w:r>
        <w:t>Governing policy reference, approved revision and effective date.</w:t>
      </w:r>
    </w:p>
    <w:p>
      <w:pPr>
        <w:pStyle w:val="ListBullet"/>
      </w:pPr>
      <w:r>
        <w:t>Permitted exceptions and required supporting evidence.</w:t>
      </w:r>
    </w:p>
    <w:p>
      <w:r>
        <w:t>If a required entry is missing, unresolved or inconsistent with the approved workflow, block the action. Refer the requirement to the authority responsible for that workflow. Do not substitute a broad role entitlement or an assumed approval sequence.</w:t>
      </w:r>
    </w:p>
    <w:p>
      <w:pPr>
        <w:pStyle w:val="Heading2"/>
      </w:pPr>
      <w:r>
        <w:t>4.2 Prepare the record</w:t>
      </w:r>
    </w:p>
    <w:p>
      <w:r>
        <w:t>1. Open the exact record requiring a decision.</w:t>
      </w:r>
    </w:p>
    <w:p>
      <w:r>
        <w:t>2. Confirm its identifier, current version, workflow state and approval stage.</w:t>
      </w:r>
    </w:p>
    <w:p>
      <w:r>
        <w:t>3. Review its content and the supporting evidence required by the workflow.</w:t>
      </w:r>
    </w:p>
    <w:p>
      <w:r>
        <w:t>4. Confirm that prerequisite reviews and approvals are complete.</w:t>
      </w:r>
    </w:p>
    <w:p>
      <w:r>
        <w:t>5. Select the permitted decision and read its displayed meaning.</w:t>
      </w:r>
    </w:p>
    <w:p>
      <w:r>
        <w:t>If the record changes during review, refresh it and reassess the current version before signing. A request for a stale version shall not approve the newer version.</w:t>
      </w:r>
    </w:p>
    <w:p>
      <w:pPr>
        <w:pStyle w:val="Heading2"/>
      </w:pPr>
      <w:r>
        <w:t>4.3 Confirm identity and signing intent</w:t>
      </w:r>
    </w:p>
    <w:p>
      <w:r>
        <w:t>1. Confirm that the signing dialog identifies the record, version, action and approval stage.</w:t>
      </w:r>
    </w:p>
    <w:p>
      <w:r>
        <w:t>2. Read the decision meaning and any required reason or exception statement.</w:t>
      </w:r>
    </w:p>
    <w:p>
      <w:r>
        <w:t>3. Express explicit intent to sign.</w:t>
      </w:r>
    </w:p>
    <w:p>
      <w:r>
        <w:t>4. Complete fresh reauthentication using the signer's own credentials.</w:t>
      </w:r>
    </w:p>
    <w:p>
      <w:r>
        <w:t>An existing login session alone shall not satisfy signing reauthentication. The system shall not infer signing intent from opening a page or saving draft data.</w:t>
      </w:r>
    </w:p>
    <w:p>
      <w:pPr>
        <w:pStyle w:val="Heading2"/>
      </w:pPr>
      <w:r>
        <w:t>4.4 Validate and record the decision</w:t>
      </w:r>
    </w:p>
    <w:p>
      <w:r>
        <w:t>The server shall independently validate authorization, authentication, record version, workflow prerequisites and required independence. Interface controls shall not be the only enforcement mechanism.</w:t>
      </w:r>
    </w:p>
    <w:p>
      <w:r>
        <w:t>Persist the decision, signature, workflow transition and associated audit event consistently within the same transaction. A failure shall not leave a successful approval or an orphaned signature.</w:t>
      </w:r>
    </w:p>
    <w:p>
      <w:r>
        <w:t>Bind the signature to the exact record version used for the decision. Protect signing requests against replay, duplicate effects and conflicting concurrent decisions.</w:t>
      </w:r>
    </w:p>
    <w:p>
      <w:r>
        <w:t>After successful persistence, update the approval state and display the recorded signature details. Do not report success solely because a request was submitted.</w:t>
      </w:r>
    </w:p>
    <w:p>
      <w:pPr>
        <w:pStyle w:val="Heading2"/>
      </w:pPr>
      <w:r>
        <w:t>4.5 Verify and display the outcome</w:t>
      </w:r>
    </w:p>
    <w:p>
      <w:r>
        <w:t>The record shall show the recorded decision and resulting workflow state. Each verified signature shall make the following information accessible:</w:t>
      </w:r>
    </w:p>
    <w:tbl>
      <w:tblPr>
        <w:tblStyle w:val="TableGrid"/>
        <w:tblW w:type="auto" w:w="0"/>
        <w:tblLayout w:type="fixed"/>
        <w:tblLook w:firstColumn="1" w:firstRow="1" w:lastColumn="0" w:lastRow="0" w:noHBand="0" w:noVBand="1" w:val="04A0"/>
      </w:tblPr>
      <w:tblGrid>
        <w:gridCol w:w="2592"/>
        <w:gridCol w:w="6048"/>
      </w:tblGrid>
      <w:tr>
        <w:trPr>
          <w:cantSplit/>
          <w:tblHeader/>
        </w:trPr>
        <w:tc>
          <w:tcPr>
            <w:tcW w:type="dxa" w:w="2592"/>
            <w:shd w:fill="17365D"/>
          </w:tcPr>
          <w:p>
            <w:pPr>
              <w:spacing w:after="80" w:before="80"/>
            </w:pPr>
            <w:r>
              <w:rPr>
                <w:b/>
                <w:color w:val="FFFFFF"/>
                <w:sz w:val="18"/>
              </w:rPr>
              <w:t>Required information</w:t>
            </w:r>
          </w:p>
        </w:tc>
        <w:tc>
          <w:tcPr>
            <w:tcW w:type="dxa" w:w="6048"/>
            <w:shd w:fill="17365D"/>
          </w:tcPr>
          <w:p>
            <w:pPr>
              <w:spacing w:after="80" w:before="80"/>
            </w:pPr>
            <w:r>
              <w:rPr>
                <w:b/>
                <w:color w:val="FFFFFF"/>
                <w:sz w:val="18"/>
              </w:rPr>
              <w:t>Presentation requirement</w:t>
            </w:r>
          </w:p>
        </w:tc>
      </w:tr>
      <w:tr>
        <w:trPr>
          <w:cantSplit/>
        </w:trPr>
        <w:tc>
          <w:tcPr>
            <w:tcW w:type="dxa" w:w="2592"/>
          </w:tcPr>
          <w:p>
            <w:pPr>
              <w:spacing w:after="80" w:before="80"/>
            </w:pPr>
            <w:r>
              <w:rPr>
                <w:sz w:val="18"/>
              </w:rPr>
              <w:t>Signer</w:t>
            </w:r>
          </w:p>
        </w:tc>
        <w:tc>
          <w:tcPr>
            <w:tcW w:type="dxa" w:w="6048"/>
          </w:tcPr>
          <w:p>
            <w:pPr>
              <w:spacing w:after="80" w:before="80"/>
            </w:pPr>
            <w:r>
              <w:rPr>
                <w:sz w:val="18"/>
              </w:rPr>
              <w:t>Name and unique authenticated identity</w:t>
            </w:r>
          </w:p>
        </w:tc>
      </w:tr>
      <w:tr>
        <w:trPr>
          <w:cantSplit/>
        </w:trPr>
        <w:tc>
          <w:tcPr>
            <w:tcW w:type="dxa" w:w="2592"/>
          </w:tcPr>
          <w:p>
            <w:pPr>
              <w:spacing w:after="80" w:before="80"/>
            </w:pPr>
            <w:r>
              <w:rPr>
                <w:sz w:val="18"/>
              </w:rPr>
              <w:t>Signer role</w:t>
            </w:r>
          </w:p>
        </w:tc>
        <w:tc>
          <w:tcPr>
            <w:tcW w:type="dxa" w:w="6048"/>
          </w:tcPr>
          <w:p>
            <w:pPr>
              <w:spacing w:after="80" w:before="80"/>
            </w:pPr>
            <w:r>
              <w:rPr>
                <w:sz w:val="18"/>
              </w:rPr>
              <w:t>Role applicable to the decision</w:t>
            </w:r>
          </w:p>
        </w:tc>
      </w:tr>
      <w:tr>
        <w:trPr>
          <w:cantSplit/>
        </w:trPr>
        <w:tc>
          <w:tcPr>
            <w:tcW w:type="dxa" w:w="2592"/>
          </w:tcPr>
          <w:p>
            <w:pPr>
              <w:spacing w:after="80" w:before="80"/>
            </w:pPr>
            <w:r>
              <w:rPr>
                <w:sz w:val="18"/>
              </w:rPr>
              <w:t>Decision</w:t>
            </w:r>
          </w:p>
        </w:tc>
        <w:tc>
          <w:tcPr>
            <w:tcW w:type="dxa" w:w="6048"/>
          </w:tcPr>
          <w:p>
            <w:pPr>
              <w:spacing w:after="80" w:before="80"/>
            </w:pPr>
            <w:r>
              <w:rPr>
                <w:sz w:val="18"/>
              </w:rPr>
              <w:t>Type, approval stage and signing meaning</w:t>
            </w:r>
          </w:p>
        </w:tc>
      </w:tr>
      <w:tr>
        <w:trPr>
          <w:cantSplit/>
        </w:trPr>
        <w:tc>
          <w:tcPr>
            <w:tcW w:type="dxa" w:w="2592"/>
          </w:tcPr>
          <w:p>
            <w:pPr>
              <w:spacing w:after="80" w:before="80"/>
            </w:pPr>
            <w:r>
              <w:rPr>
                <w:sz w:val="18"/>
              </w:rPr>
              <w:t>Time</w:t>
            </w:r>
          </w:p>
        </w:tc>
        <w:tc>
          <w:tcPr>
            <w:tcW w:type="dxa" w:w="6048"/>
          </w:tcPr>
          <w:p>
            <w:pPr>
              <w:spacing w:after="80" w:before="80"/>
            </w:pPr>
            <w:r>
              <w:rPr>
                <w:sz w:val="18"/>
              </w:rPr>
              <w:t>Automatically recorded date and time</w:t>
            </w:r>
          </w:p>
        </w:tc>
      </w:tr>
      <w:tr>
        <w:trPr>
          <w:cantSplit/>
        </w:trPr>
        <w:tc>
          <w:tcPr>
            <w:tcW w:type="dxa" w:w="2592"/>
          </w:tcPr>
          <w:p>
            <w:pPr>
              <w:spacing w:after="80" w:before="80"/>
            </w:pPr>
            <w:r>
              <w:rPr>
                <w:sz w:val="18"/>
              </w:rPr>
              <w:t>Record</w:t>
            </w:r>
          </w:p>
        </w:tc>
        <w:tc>
          <w:tcPr>
            <w:tcW w:type="dxa" w:w="6048"/>
          </w:tcPr>
          <w:p>
            <w:pPr>
              <w:spacing w:after="80" w:before="80"/>
            </w:pPr>
            <w:r>
              <w:rPr>
                <w:sz w:val="18"/>
              </w:rPr>
              <w:t>Entity type and record identifier</w:t>
            </w:r>
          </w:p>
        </w:tc>
      </w:tr>
      <w:tr>
        <w:trPr>
          <w:cantSplit/>
        </w:trPr>
        <w:tc>
          <w:tcPr>
            <w:tcW w:type="dxa" w:w="2592"/>
          </w:tcPr>
          <w:p>
            <w:pPr>
              <w:spacing w:after="80" w:before="80"/>
            </w:pPr>
            <w:r>
              <w:rPr>
                <w:sz w:val="18"/>
              </w:rPr>
              <w:t>Version</w:t>
            </w:r>
          </w:p>
        </w:tc>
        <w:tc>
          <w:tcPr>
            <w:tcW w:type="dxa" w:w="6048"/>
          </w:tcPr>
          <w:p>
            <w:pPr>
              <w:spacing w:after="80" w:before="80"/>
            </w:pPr>
            <w:r>
              <w:rPr>
                <w:sz w:val="18"/>
              </w:rPr>
              <w:t>Exact signed version</w:t>
            </w:r>
          </w:p>
        </w:tc>
      </w:tr>
      <w:tr>
        <w:trPr>
          <w:cantSplit/>
        </w:trPr>
        <w:tc>
          <w:tcPr>
            <w:tcW w:type="dxa" w:w="2592"/>
          </w:tcPr>
          <w:p>
            <w:pPr>
              <w:spacing w:after="80" w:before="80"/>
            </w:pPr>
            <w:r>
              <w:rPr>
                <w:sz w:val="18"/>
              </w:rPr>
              <w:t>Verification</w:t>
            </w:r>
          </w:p>
        </w:tc>
        <w:tc>
          <w:tcPr>
            <w:tcW w:type="dxa" w:w="6048"/>
          </w:tcPr>
          <w:p>
            <w:pPr>
              <w:spacing w:after="80" w:before="80"/>
            </w:pPr>
            <w:r>
              <w:rPr>
                <w:sz w:val="18"/>
              </w:rPr>
              <w:t>Signature verification status</w:t>
            </w:r>
          </w:p>
        </w:tc>
      </w:tr>
      <w:tr>
        <w:trPr>
          <w:cantSplit/>
        </w:trPr>
        <w:tc>
          <w:tcPr>
            <w:tcW w:type="dxa" w:w="2592"/>
          </w:tcPr>
          <w:p>
            <w:pPr>
              <w:spacing w:after="80" w:before="80"/>
            </w:pPr>
            <w:r>
              <w:rPr>
                <w:sz w:val="18"/>
              </w:rPr>
              <w:t>Traceability</w:t>
            </w:r>
          </w:p>
        </w:tc>
        <w:tc>
          <w:tcPr>
            <w:tcW w:type="dxa" w:w="6048"/>
          </w:tcPr>
          <w:p>
            <w:pPr>
              <w:spacing w:after="80" w:before="80"/>
            </w:pPr>
            <w:r>
              <w:rPr>
                <w:sz w:val="18"/>
              </w:rPr>
              <w:t>Signature-history and Audit Trail reference</w:t>
            </w:r>
          </w:p>
        </w:tc>
      </w:tr>
    </w:tbl>
    <w:p/>
    <w:p>
      <w:r>
        <w:t>Show approval states on detail pages and relevant list views. Where appropriate, include corresponding electronic approval information in human-readable reports and exports.</w:t>
      </w:r>
    </w:p>
    <w:p>
      <w:r>
        <w:t xml:space="preserve">The approved workflow determines the available labels. Suitable labels include </w:t>
      </w:r>
      <w:r>
        <w:rPr>
          <w:rFonts w:ascii="Consolas" w:hAnsi="Consolas"/>
          <w:sz w:val="18"/>
        </w:rPr>
        <w:t>Pending Review</w:t>
      </w:r>
      <w:r>
        <w:t xml:space="preserve">, </w:t>
      </w:r>
      <w:r>
        <w:rPr>
          <w:rFonts w:ascii="Consolas" w:hAnsi="Consolas"/>
          <w:sz w:val="18"/>
        </w:rPr>
        <w:t>Preliminary Approved</w:t>
      </w:r>
      <w:r>
        <w:t xml:space="preserve">, </w:t>
      </w:r>
      <w:r>
        <w:rPr>
          <w:rFonts w:ascii="Consolas" w:hAnsi="Consolas"/>
          <w:sz w:val="18"/>
        </w:rPr>
        <w:t>Pending Final Approval</w:t>
      </w:r>
      <w:r>
        <w:t xml:space="preserve">, </w:t>
      </w:r>
      <w:r>
        <w:rPr>
          <w:rFonts w:ascii="Consolas" w:hAnsi="Consolas"/>
          <w:sz w:val="18"/>
        </w:rPr>
        <w:t>Final Approved</w:t>
      </w:r>
      <w:r>
        <w:t xml:space="preserve">, </w:t>
      </w:r>
      <w:r>
        <w:rPr>
          <w:rFonts w:ascii="Consolas" w:hAnsi="Consolas"/>
          <w:sz w:val="18"/>
        </w:rPr>
        <w:t>Returned for Correction</w:t>
      </w:r>
      <w:r>
        <w:t xml:space="preserve">, </w:t>
      </w:r>
      <w:r>
        <w:rPr>
          <w:rFonts w:ascii="Consolas" w:hAnsi="Consolas"/>
          <w:sz w:val="18"/>
        </w:rPr>
        <w:t>Rejected</w:t>
      </w:r>
      <w:r>
        <w:t xml:space="preserve">, </w:t>
      </w:r>
      <w:r>
        <w:rPr>
          <w:rFonts w:ascii="Consolas" w:hAnsi="Consolas"/>
          <w:sz w:val="18"/>
        </w:rPr>
        <w:t>Closed</w:t>
      </w:r>
      <w:r>
        <w:t xml:space="preserve">, </w:t>
      </w:r>
      <w:r>
        <w:rPr>
          <w:rFonts w:ascii="Consolas" w:hAnsi="Consolas"/>
          <w:sz w:val="18"/>
        </w:rPr>
        <w:t>Approval Blocked</w:t>
      </w:r>
      <w:r>
        <w:t xml:space="preserve"> and </w:t>
      </w:r>
      <w:r>
        <w:rPr>
          <w:rFonts w:ascii="Consolas" w:hAnsi="Consolas"/>
          <w:sz w:val="18"/>
        </w:rPr>
        <w:t>Signature Verification Unavailable</w:t>
      </w:r>
      <w:r>
        <w:t>.</w:t>
      </w:r>
    </w:p>
    <w:p>
      <w:r>
        <w:t>A label shall reflect stored evidence. If signature verification is unavailable, show that condition explicitly and do not represent the signature as verified.</w:t>
      </w:r>
    </w:p>
    <w:p>
      <w:pPr>
        <w:pStyle w:val="Heading2"/>
      </w:pPr>
      <w:r>
        <w:t>4.6 Handle refusal, failure or an uncertain outcome</w:t>
      </w:r>
    </w:p>
    <w:tbl>
      <w:tblPr>
        <w:tblStyle w:val="TableGrid"/>
        <w:tblW w:type="auto" w:w="0"/>
        <w:tblLayout w:type="fixed"/>
        <w:tblLook w:firstColumn="1" w:firstRow="1" w:lastColumn="0" w:lastRow="0" w:noHBand="0" w:noVBand="1" w:val="04A0"/>
      </w:tblPr>
      <w:tblGrid>
        <w:gridCol w:w="2592"/>
        <w:gridCol w:w="6048"/>
      </w:tblGrid>
      <w:tr>
        <w:trPr>
          <w:cantSplit/>
          <w:tblHeader/>
        </w:trPr>
        <w:tc>
          <w:tcPr>
            <w:tcW w:type="dxa" w:w="2592"/>
            <w:shd w:fill="17365D"/>
          </w:tcPr>
          <w:p>
            <w:pPr>
              <w:spacing w:after="80" w:before="80"/>
            </w:pPr>
            <w:r>
              <w:rPr>
                <w:b/>
                <w:color w:val="FFFFFF"/>
                <w:sz w:val="18"/>
              </w:rPr>
              <w:t>Condition</w:t>
            </w:r>
          </w:p>
        </w:tc>
        <w:tc>
          <w:tcPr>
            <w:tcW w:type="dxa" w:w="6048"/>
            <w:shd w:fill="17365D"/>
          </w:tcPr>
          <w:p>
            <w:pPr>
              <w:spacing w:after="80" w:before="80"/>
            </w:pPr>
            <w:r>
              <w:rPr>
                <w:b/>
                <w:color w:val="FFFFFF"/>
                <w:sz w:val="18"/>
              </w:rPr>
              <w:t>Required response</w:t>
            </w:r>
          </w:p>
        </w:tc>
      </w:tr>
      <w:tr>
        <w:trPr>
          <w:cantSplit/>
        </w:trPr>
        <w:tc>
          <w:tcPr>
            <w:tcW w:type="dxa" w:w="2592"/>
          </w:tcPr>
          <w:p>
            <w:pPr>
              <w:spacing w:after="80" w:before="80"/>
            </w:pPr>
            <w:r>
              <w:rPr>
                <w:sz w:val="18"/>
              </w:rPr>
              <w:t>Authority or permission denied</w:t>
            </w:r>
          </w:p>
        </w:tc>
        <w:tc>
          <w:tcPr>
            <w:tcW w:type="dxa" w:w="6048"/>
          </w:tcPr>
          <w:p>
            <w:pPr>
              <w:spacing w:after="80" w:before="80"/>
            </w:pPr>
            <w:r>
              <w:rPr>
                <w:sz w:val="18"/>
              </w:rPr>
              <w:t>Refuse the action; do not record an approval</w:t>
            </w:r>
          </w:p>
        </w:tc>
      </w:tr>
      <w:tr>
        <w:trPr>
          <w:cantSplit/>
        </w:trPr>
        <w:tc>
          <w:tcPr>
            <w:tcW w:type="dxa" w:w="2592"/>
          </w:tcPr>
          <w:p>
            <w:pPr>
              <w:spacing w:after="80" w:before="80"/>
            </w:pPr>
            <w:r>
              <w:rPr>
                <w:sz w:val="18"/>
              </w:rPr>
              <w:t>Reauthentication failed</w:t>
            </w:r>
          </w:p>
        </w:tc>
        <w:tc>
          <w:tcPr>
            <w:tcW w:type="dxa" w:w="6048"/>
          </w:tcPr>
          <w:p>
            <w:pPr>
              <w:spacing w:after="80" w:before="80"/>
            </w:pPr>
            <w:r>
              <w:rPr>
                <w:sz w:val="18"/>
              </w:rPr>
              <w:t>Refuse signing; do not record a successful signature</w:t>
            </w:r>
          </w:p>
        </w:tc>
      </w:tr>
      <w:tr>
        <w:trPr>
          <w:cantSplit/>
        </w:trPr>
        <w:tc>
          <w:tcPr>
            <w:tcW w:type="dxa" w:w="2592"/>
          </w:tcPr>
          <w:p>
            <w:pPr>
              <w:spacing w:after="80" w:before="80"/>
            </w:pPr>
            <w:r>
              <w:rPr>
                <w:sz w:val="18"/>
              </w:rPr>
              <w:t>Policy or required evidence unavailable</w:t>
            </w:r>
          </w:p>
        </w:tc>
        <w:tc>
          <w:tcPr>
            <w:tcW w:type="dxa" w:w="6048"/>
          </w:tcPr>
          <w:p>
            <w:pPr>
              <w:spacing w:after="80" w:before="80"/>
            </w:pPr>
            <w:r>
              <w:rPr>
                <w:sz w:val="18"/>
              </w:rPr>
              <w:t>Block the action until the governing requirement is resolved</w:t>
            </w:r>
          </w:p>
        </w:tc>
      </w:tr>
      <w:tr>
        <w:trPr>
          <w:cantSplit/>
        </w:trPr>
        <w:tc>
          <w:tcPr>
            <w:tcW w:type="dxa" w:w="2592"/>
          </w:tcPr>
          <w:p>
            <w:pPr>
              <w:spacing w:after="80" w:before="80"/>
            </w:pPr>
            <w:r>
              <w:rPr>
                <w:sz w:val="18"/>
              </w:rPr>
              <w:t>Record version changed</w:t>
            </w:r>
          </w:p>
        </w:tc>
        <w:tc>
          <w:tcPr>
            <w:tcW w:type="dxa" w:w="6048"/>
          </w:tcPr>
          <w:p>
            <w:pPr>
              <w:spacing w:after="80" w:before="80"/>
            </w:pPr>
            <w:r>
              <w:rPr>
                <w:sz w:val="18"/>
              </w:rPr>
              <w:t>Refuse the stale request; refresh and review the current record</w:t>
            </w:r>
          </w:p>
        </w:tc>
      </w:tr>
      <w:tr>
        <w:trPr>
          <w:cantSplit/>
        </w:trPr>
        <w:tc>
          <w:tcPr>
            <w:tcW w:type="dxa" w:w="2592"/>
          </w:tcPr>
          <w:p>
            <w:pPr>
              <w:spacing w:after="80" w:before="80"/>
            </w:pPr>
            <w:r>
              <w:rPr>
                <w:sz w:val="18"/>
              </w:rPr>
              <w:t>Required stage or independent approver missing</w:t>
            </w:r>
          </w:p>
        </w:tc>
        <w:tc>
          <w:tcPr>
            <w:tcW w:type="dxa" w:w="6048"/>
          </w:tcPr>
          <w:p>
            <w:pPr>
              <w:spacing w:after="80" w:before="80"/>
            </w:pPr>
            <w:r>
              <w:rPr>
                <w:sz w:val="18"/>
              </w:rPr>
              <w:t>Block the decision; complete the required workflow stage</w:t>
            </w:r>
          </w:p>
        </w:tc>
      </w:tr>
      <w:tr>
        <w:trPr>
          <w:cantSplit/>
        </w:trPr>
        <w:tc>
          <w:tcPr>
            <w:tcW w:type="dxa" w:w="2592"/>
          </w:tcPr>
          <w:p>
            <w:pPr>
              <w:spacing w:after="80" w:before="80"/>
            </w:pPr>
            <w:r>
              <w:rPr>
                <w:sz w:val="18"/>
              </w:rPr>
              <w:t>Persistence or Audit Trail failure</w:t>
            </w:r>
          </w:p>
        </w:tc>
        <w:tc>
          <w:tcPr>
            <w:tcW w:type="dxa" w:w="6048"/>
          </w:tcPr>
          <w:p>
            <w:pPr>
              <w:spacing w:after="80" w:before="80"/>
            </w:pPr>
            <w:r>
              <w:rPr>
                <w:sz w:val="18"/>
              </w:rPr>
              <w:t>Roll back the controlled decision and its signature</w:t>
            </w:r>
          </w:p>
        </w:tc>
      </w:tr>
      <w:tr>
        <w:trPr>
          <w:cantSplit/>
        </w:trPr>
        <w:tc>
          <w:tcPr>
            <w:tcW w:type="dxa" w:w="2592"/>
          </w:tcPr>
          <w:p>
            <w:pPr>
              <w:spacing w:after="80" w:before="80"/>
            </w:pPr>
            <w:r>
              <w:rPr>
                <w:sz w:val="18"/>
              </w:rPr>
              <w:t>Confirmation interrupted or outcome uncertain</w:t>
            </w:r>
          </w:p>
        </w:tc>
        <w:tc>
          <w:tcPr>
            <w:tcW w:type="dxa" w:w="6048"/>
          </w:tcPr>
          <w:p>
            <w:pPr>
              <w:spacing w:after="80" w:before="80"/>
            </w:pPr>
            <w:r>
              <w:rPr>
                <w:sz w:val="18"/>
              </w:rPr>
              <w:t>Check the stored decision and signature history before attempting another decision</w:t>
            </w:r>
          </w:p>
        </w:tc>
      </w:tr>
    </w:tbl>
    <w:p/>
    <w:p>
      <w:r>
        <w:t>Return or reject a record only where the workflow permits that action. Display its procedural or signed decision meaning accurately. Do not change a scientific result merely to represent a workflow refusal.</w:t>
      </w:r>
    </w:p>
    <w:p>
      <w:pPr>
        <w:pStyle w:val="Heading2"/>
      </w:pPr>
      <w:r>
        <w:t>4.7 Apply a controlled Owner override</w:t>
      </w:r>
    </w:p>
    <w:p>
      <w:r>
        <w:t>Use an override only where the approved workflow permits it.</w:t>
      </w:r>
    </w:p>
    <w:p>
      <w:r>
        <w:t>1. Identify the record, exact version and intended decision.</w:t>
      </w:r>
    </w:p>
    <w:p>
      <w:r>
        <w:t>2. Identify the rule or approval stage being overridden.</w:t>
      </w:r>
    </w:p>
    <w:p>
      <w:r>
        <w:t>3. Record the reason and required supporting evidence.</w:t>
      </w:r>
    </w:p>
    <w:p>
      <w:r>
        <w:t>4. Verify the Owner's authority and complete the applicable signing process.</w:t>
      </w:r>
    </w:p>
    <w:p>
      <w:r>
        <w:t>5. Persist the override, decision, signature and audit event consistently.</w:t>
      </w:r>
    </w:p>
    <w:p>
      <w:r>
        <w:t>6. Display the exception distinctly in the record and signature history.</w:t>
      </w:r>
    </w:p>
    <w:p>
      <w:r>
        <w:t>An override shall not conceal the actor, falsify independence, transfer another person's signature or erase historical decisions. This SOP does not create additional exceptions to scientific-source, state, version or evidence requirements.</w:t>
      </w:r>
    </w:p>
    <w:p>
      <w:pPr>
        <w:pStyle w:val="Heading2"/>
      </w:pPr>
      <w:r>
        <w:t>4.8 Correct a signed record</w:t>
      </w:r>
    </w:p>
    <w:p>
      <w:r>
        <w:t>Use the approved correction, reopening or revision workflow when signed content requires a change.</w:t>
      </w:r>
    </w:p>
    <w:p>
      <w:r>
        <w:t>Preserve the original signed version and its history. Record the correction reason and retain the link between the original and revised records. Repeat the required reviews and signatures for the changed version according to the governing workflow.</w:t>
      </w:r>
    </w:p>
    <w:p>
      <w:r>
        <w:t>Do not silently edit signed content, reuse a signature for another record or represent a historical signature as approval of a later revision.</w:t>
      </w:r>
    </w:p>
    <w:p>
      <w:pPr>
        <w:pStyle w:val="Heading2"/>
      </w:pPr>
      <w:r>
        <w:t>4.9 Maintain the common signature infrastructure</w:t>
      </w:r>
    </w:p>
    <w:p>
      <w:r>
        <w:t>Use one centralized electronic signature service and signing-policy registry across all applicable modules. Reuse shared interface components for signing confirmation, approval status, signature details and history.</w:t>
      </w:r>
    </w:p>
    <w:p>
      <w:r>
        <w:t>The service shall support entity and action identification, approval stages, permissions, signer roles, prerequisites, policy versions, authentication, version binding, replay and concurrency protection, signature persistence, Audit Trail integration, verification and controlled exceptions.</w:t>
      </w:r>
    </w:p>
    <w:p>
      <w:r>
        <w:t>Prevent unauthorized signing, impersonation, approval without required authentication, stale-version approval, signature transfer, unauthorized changes to signed versions, hidden overrides and falsified dates or identities.</w:t>
      </w:r>
    </w:p>
    <w:p>
      <w:pPr>
        <w:pStyle w:val="Heading2"/>
      </w:pPr>
      <w:r>
        <w:t>4.10 Verify each applicable workflow</w:t>
      </w:r>
    </w:p>
    <w:p>
      <w:r>
        <w:t>Verification shall cover the system-wide scope in section 2.1. Include representative NCR, CAPA, RCA, Inspection, Laboratory, Documents, Change Requests, Reject Reports, Equipment, Quarantine and Release Governance workflows, with coverage for other applicable modules.</w:t>
      </w:r>
    </w:p>
    <w:tbl>
      <w:tblPr>
        <w:tblStyle w:val="TableGrid"/>
        <w:tblW w:type="auto" w:w="0"/>
        <w:tblLayout w:type="fixed"/>
        <w:tblLook w:firstColumn="1" w:firstRow="1" w:lastColumn="0" w:lastRow="0" w:noHBand="0" w:noVBand="1" w:val="04A0"/>
      </w:tblPr>
      <w:tblGrid>
        <w:gridCol w:w="2592"/>
        <w:gridCol w:w="6048"/>
      </w:tblGrid>
      <w:tr>
        <w:trPr>
          <w:cantSplit/>
          <w:tblHeader/>
        </w:trPr>
        <w:tc>
          <w:tcPr>
            <w:tcW w:type="dxa" w:w="2592"/>
            <w:shd w:fill="17365D"/>
          </w:tcPr>
          <w:p>
            <w:pPr>
              <w:spacing w:after="80" w:before="80"/>
            </w:pPr>
            <w:r>
              <w:rPr>
                <w:b/>
                <w:color w:val="FFFFFF"/>
                <w:sz w:val="18"/>
              </w:rPr>
              <w:t>Verification area</w:t>
            </w:r>
          </w:p>
        </w:tc>
        <w:tc>
          <w:tcPr>
            <w:tcW w:type="dxa" w:w="6048"/>
            <w:shd w:fill="17365D"/>
          </w:tcPr>
          <w:p>
            <w:pPr>
              <w:spacing w:after="80" w:before="80"/>
            </w:pPr>
            <w:r>
              <w:rPr>
                <w:b/>
                <w:color w:val="FFFFFF"/>
                <w:sz w:val="18"/>
              </w:rPr>
              <w:t>Required evidence</w:t>
            </w:r>
          </w:p>
        </w:tc>
      </w:tr>
      <w:tr>
        <w:trPr>
          <w:cantSplit/>
        </w:trPr>
        <w:tc>
          <w:tcPr>
            <w:tcW w:type="dxa" w:w="2592"/>
          </w:tcPr>
          <w:p>
            <w:pPr>
              <w:spacing w:after="80" w:before="80"/>
            </w:pPr>
            <w:r>
              <w:rPr>
                <w:sz w:val="18"/>
              </w:rPr>
              <w:t>Preliminary and final authority</w:t>
            </w:r>
          </w:p>
        </w:tc>
        <w:tc>
          <w:tcPr>
            <w:tcW w:type="dxa" w:w="6048"/>
          </w:tcPr>
          <w:p>
            <w:pPr>
              <w:spacing w:after="80" w:before="80"/>
            </w:pPr>
            <w:r>
              <w:rPr>
                <w:sz w:val="18"/>
              </w:rPr>
              <w:t>Authorized decisions succeed; unauthorized decisions are denied</w:t>
            </w:r>
          </w:p>
        </w:tc>
      </w:tr>
      <w:tr>
        <w:trPr>
          <w:cantSplit/>
        </w:trPr>
        <w:tc>
          <w:tcPr>
            <w:tcW w:type="dxa" w:w="2592"/>
          </w:tcPr>
          <w:p>
            <w:pPr>
              <w:spacing w:after="80" w:before="80"/>
            </w:pPr>
            <w:r>
              <w:rPr>
                <w:sz w:val="18"/>
              </w:rPr>
              <w:t>Version binding</w:t>
            </w:r>
          </w:p>
        </w:tc>
        <w:tc>
          <w:tcPr>
            <w:tcW w:type="dxa" w:w="6048"/>
          </w:tcPr>
          <w:p>
            <w:pPr>
              <w:spacing w:after="80" w:before="80"/>
            </w:pPr>
            <w:r>
              <w:rPr>
                <w:sz w:val="18"/>
              </w:rPr>
              <w:t>The signature references the exact version; stale requests are denied</w:t>
            </w:r>
          </w:p>
        </w:tc>
      </w:tr>
      <w:tr>
        <w:trPr>
          <w:cantSplit/>
        </w:trPr>
        <w:tc>
          <w:tcPr>
            <w:tcW w:type="dxa" w:w="2592"/>
          </w:tcPr>
          <w:p>
            <w:pPr>
              <w:spacing w:after="80" w:before="80"/>
            </w:pPr>
            <w:r>
              <w:rPr>
                <w:sz w:val="18"/>
              </w:rPr>
              <w:t>Sequence and independence</w:t>
            </w:r>
          </w:p>
        </w:tc>
        <w:tc>
          <w:tcPr>
            <w:tcW w:type="dxa" w:w="6048"/>
          </w:tcPr>
          <w:p>
            <w:pPr>
              <w:spacing w:after="80" w:before="80"/>
            </w:pPr>
            <w:r>
              <w:rPr>
                <w:sz w:val="18"/>
              </w:rPr>
              <w:t>Required stages and independent approvers are enforced</w:t>
            </w:r>
          </w:p>
        </w:tc>
      </w:tr>
      <w:tr>
        <w:trPr>
          <w:cantSplit/>
        </w:trPr>
        <w:tc>
          <w:tcPr>
            <w:tcW w:type="dxa" w:w="2592"/>
          </w:tcPr>
          <w:p>
            <w:pPr>
              <w:spacing w:after="80" w:before="80"/>
            </w:pPr>
            <w:r>
              <w:rPr>
                <w:sz w:val="18"/>
              </w:rPr>
              <w:t>Authentication</w:t>
            </w:r>
          </w:p>
        </w:tc>
        <w:tc>
          <w:tcPr>
            <w:tcW w:type="dxa" w:w="6048"/>
          </w:tcPr>
          <w:p>
            <w:pPr>
              <w:spacing w:after="80" w:before="80"/>
            </w:pPr>
            <w:r>
              <w:rPr>
                <w:sz w:val="18"/>
              </w:rPr>
              <w:t>Fresh reauthentication is required; failed authentication records no approval</w:t>
            </w:r>
          </w:p>
        </w:tc>
      </w:tr>
      <w:tr>
        <w:trPr>
          <w:cantSplit/>
        </w:trPr>
        <w:tc>
          <w:tcPr>
            <w:tcW w:type="dxa" w:w="2592"/>
          </w:tcPr>
          <w:p>
            <w:pPr>
              <w:spacing w:after="80" w:before="80"/>
            </w:pPr>
            <w:r>
              <w:rPr>
                <w:sz w:val="18"/>
              </w:rPr>
              <w:t>Persistence integrity</w:t>
            </w:r>
          </w:p>
        </w:tc>
        <w:tc>
          <w:tcPr>
            <w:tcW w:type="dxa" w:w="6048"/>
          </w:tcPr>
          <w:p>
            <w:pPr>
              <w:spacing w:after="80" w:before="80"/>
            </w:pPr>
            <w:r>
              <w:rPr>
                <w:sz w:val="18"/>
              </w:rPr>
              <w:t>Decision, signature and audit event commit together or roll back together</w:t>
            </w:r>
          </w:p>
        </w:tc>
      </w:tr>
      <w:tr>
        <w:trPr>
          <w:cantSplit/>
        </w:trPr>
        <w:tc>
          <w:tcPr>
            <w:tcW w:type="dxa" w:w="2592"/>
          </w:tcPr>
          <w:p>
            <w:pPr>
              <w:spacing w:after="80" w:before="80"/>
            </w:pPr>
            <w:r>
              <w:rPr>
                <w:sz w:val="18"/>
              </w:rPr>
              <w:t>Replay and concurrency</w:t>
            </w:r>
          </w:p>
        </w:tc>
        <w:tc>
          <w:tcPr>
            <w:tcW w:type="dxa" w:w="6048"/>
          </w:tcPr>
          <w:p>
            <w:pPr>
              <w:spacing w:after="80" w:before="80"/>
            </w:pPr>
            <w:r>
              <w:rPr>
                <w:sz w:val="18"/>
              </w:rPr>
              <w:t>Repeated requests create no duplicate effects; competing decisions cannot approve conflicting versions</w:t>
            </w:r>
          </w:p>
        </w:tc>
      </w:tr>
      <w:tr>
        <w:trPr>
          <w:cantSplit/>
        </w:trPr>
        <w:tc>
          <w:tcPr>
            <w:tcW w:type="dxa" w:w="2592"/>
          </w:tcPr>
          <w:p>
            <w:pPr>
              <w:spacing w:after="80" w:before="80"/>
            </w:pPr>
            <w:r>
              <w:rPr>
                <w:sz w:val="18"/>
              </w:rPr>
              <w:t>Presentation and history</w:t>
            </w:r>
          </w:p>
        </w:tc>
        <w:tc>
          <w:tcPr>
            <w:tcW w:type="dxa" w:w="6048"/>
          </w:tcPr>
          <w:p>
            <w:pPr>
              <w:spacing w:after="80" w:before="80"/>
            </w:pPr>
            <w:r>
              <w:rPr>
                <w:sz w:val="18"/>
              </w:rPr>
              <w:t>Displayed state and signature details match stored evidence</w:t>
            </w:r>
          </w:p>
        </w:tc>
      </w:tr>
      <w:tr>
        <w:trPr>
          <w:cantSplit/>
        </w:trPr>
        <w:tc>
          <w:tcPr>
            <w:tcW w:type="dxa" w:w="2592"/>
          </w:tcPr>
          <w:p>
            <w:pPr>
              <w:spacing w:after="80" w:before="80"/>
            </w:pPr>
            <w:r>
              <w:rPr>
                <w:sz w:val="18"/>
              </w:rPr>
              <w:t>Owner exceptions</w:t>
            </w:r>
          </w:p>
        </w:tc>
        <w:tc>
          <w:tcPr>
            <w:tcW w:type="dxa" w:w="6048"/>
          </w:tcPr>
          <w:p>
            <w:pPr>
              <w:spacing w:after="80" w:before="80"/>
            </w:pPr>
            <w:r>
              <w:rPr>
                <w:sz w:val="18"/>
              </w:rPr>
              <w:t>Permitted overrides are justified, attributable and visibly identified</w:t>
            </w:r>
          </w:p>
        </w:tc>
      </w:tr>
      <w:tr>
        <w:trPr>
          <w:cantSplit/>
        </w:trPr>
        <w:tc>
          <w:tcPr>
            <w:tcW w:type="dxa" w:w="2592"/>
          </w:tcPr>
          <w:p>
            <w:pPr>
              <w:spacing w:after="80" w:before="80"/>
            </w:pPr>
            <w:r>
              <w:rPr>
                <w:sz w:val="18"/>
              </w:rPr>
              <w:t>Correction after signing</w:t>
            </w:r>
          </w:p>
        </w:tc>
        <w:tc>
          <w:tcPr>
            <w:tcW w:type="dxa" w:w="6048"/>
          </w:tcPr>
          <w:p>
            <w:pPr>
              <w:spacing w:after="80" w:before="80"/>
            </w:pPr>
            <w:r>
              <w:rPr>
                <w:sz w:val="18"/>
              </w:rPr>
              <w:t>Original history remains intact; revised content follows the required approval process</w:t>
            </w:r>
          </w:p>
        </w:tc>
      </w:tr>
    </w:tbl>
    <w:p/>
    <w:p>
      <w:r>
        <w:t xml:space="preserve">Record the tested candidate, workflow, case, outcome and evidence reference. Distinguish </w:t>
      </w:r>
      <w:r>
        <w:rPr>
          <w:rFonts w:ascii="Consolas" w:hAnsi="Consolas"/>
          <w:sz w:val="18"/>
        </w:rPr>
        <w:t>PASS</w:t>
      </w:r>
      <w:r>
        <w:t xml:space="preserve">, </w:t>
      </w:r>
      <w:r>
        <w:rPr>
          <w:rFonts w:ascii="Consolas" w:hAnsi="Consolas"/>
          <w:sz w:val="18"/>
        </w:rPr>
        <w:t>FAIL</w:t>
      </w:r>
      <w:r>
        <w:t xml:space="preserve">, </w:t>
      </w:r>
      <w:r>
        <w:rPr>
          <w:rFonts w:ascii="Consolas" w:hAnsi="Consolas"/>
          <w:sz w:val="18"/>
        </w:rPr>
        <w:t>NOT RUN</w:t>
      </w:r>
      <w:r>
        <w:t xml:space="preserve"> and </w:t>
      </w:r>
      <w:r>
        <w:rPr>
          <w:rFonts w:ascii="Consolas" w:hAnsi="Consolas"/>
          <w:sz w:val="18"/>
        </w:rPr>
        <w:t>BLOCKED</w:t>
      </w:r>
      <w:r>
        <w:t>. A non-applicable case requires a documented basis in the governing workflow.</w:t>
      </w:r>
    </w:p>
    <w:p>
      <w:r>
        <w:t>A module shall not receive a verified approval or signature completion score until its applicable requirements pass with supporting evidence. Document preparation, source review or a successful build does not establish runtime acceptance or human UAT.</w:t>
      </w:r>
    </w:p>
    <w:p>
      <w:pPr>
        <w:pStyle w:val="Heading2"/>
      </w:pPr>
      <w:r>
        <w:t>4.11 Acceptance condition</w:t>
      </w:r>
    </w:p>
    <w:p>
      <w:r>
        <w:t>All modules requiring controlled approvals shall use the same verified electronic signature infrastructure. Each applicable decision shall have an authentic, attributable, version-bound and traceable signature.</w:t>
      </w:r>
    </w:p>
    <w:p>
      <w:r>
        <w:t>No module shall silently bypass its approved signing requirements. Regulatory compliance claims require separate verification against the organization's applicable electronic-record and electronic-signature requirements.</w:t>
      </w:r>
    </w:p>
    <w:p>
      <w:pPr>
        <w:pStyle w:val="Heading1"/>
      </w:pPr>
      <w:r>
        <w:t>5. References and related procedures</w:t>
      </w:r>
    </w:p>
    <w:p>
      <w:pPr>
        <w:pStyle w:val="ListBullet"/>
      </w:pPr>
      <w:r>
        <w:rPr>
          <w:b/>
        </w:rPr>
        <w:t>Source policy:</w:t>
      </w:r>
      <w:r>
        <w:t xml:space="preserve"> the owner-supplied Global Electronic Signature &amp; Approval Policy originally contained in this file.</w:t>
      </w:r>
    </w:p>
    <w:p>
      <w:pPr>
        <w:pStyle w:val="ListBullet"/>
      </w:pPr>
      <w:r>
        <w:rPr>
          <w:b/>
        </w:rPr>
        <w:t>Action-specific authority:</w:t>
      </w:r>
      <w:r>
        <w:t xml:space="preserve"> the approved workflow and signing-policy entry for the action being performed.</w:t>
      </w:r>
    </w:p>
    <w:p>
      <w:pPr>
        <w:pStyle w:val="ListBullet"/>
      </w:pPr>
      <w:r>
        <w:rPr>
          <w:b/>
        </w:rPr>
        <w:t>SOP-FRS-001:</w:t>
      </w:r>
      <w:r>
        <w:t xml:space="preserve"> Document control and sources; use its controlled lifecycle for approval, effectivity and changes to this SOP.</w:t>
      </w:r>
    </w:p>
    <w:p>
      <w:pPr>
        <w:pStyle w:val="ListBullet"/>
      </w:pPr>
      <w:r>
        <w:rPr>
          <w:b/>
        </w:rPr>
        <w:t>SOP-FRS-003–SOP-FRS-011:</w:t>
      </w:r>
      <w:r>
        <w:t xml:space="preserve"> related Quality, Quarantine, Laboratory, Assets, Governance, Insights, Administration, System and Workspace procedures, within their respective scopes.</w:t>
      </w:r>
    </w:p>
    <w:p>
      <w:r>
        <w:t xml:space="preserve">Verify the available revision and status of each related procedure before operational use. Approval of a related procedure does not independently authorize an application action. Where an action-specific policy remains unresolved, retain the block rather than infer authority from this general procedure.</w:t>
      </w:r>
    </w:p>
    <w:p>
      <w:pPr>
        <w:pStyle w:val="Heading1"/>
      </w:pPr>
      <w:r>
        <w:t>6. Records and traceability</w:t>
      </w:r>
    </w:p>
    <w:p>
      <w:r>
        <w:t>Maintain the records necessary to reconstruct each controlled decision:</w:t>
      </w:r>
    </w:p>
    <w:p>
      <w:pPr>
        <w:pStyle w:val="ListBullet"/>
      </w:pPr>
      <w:r>
        <w:t>Approved signing-policy entries and their revisions.</w:t>
      </w:r>
    </w:p>
    <w:p>
      <w:pPr>
        <w:pStyle w:val="ListBullet"/>
      </w:pPr>
      <w:r>
        <w:t>Electronic signatures, decisions and workflow transitions.</w:t>
      </w:r>
    </w:p>
    <w:p>
      <w:pPr>
        <w:pStyle w:val="ListBullet"/>
      </w:pPr>
      <w:r>
        <w:t>Audit Trail events and signature verification history.</w:t>
      </w:r>
    </w:p>
    <w:p>
      <w:pPr>
        <w:pStyle w:val="ListBullet"/>
      </w:pPr>
      <w:r>
        <w:t>Reasons and evidence for controlled Owner overrides.</w:t>
      </w:r>
    </w:p>
    <w:p>
      <w:pPr>
        <w:pStyle w:val="ListBullet"/>
      </w:pPr>
      <w:r>
        <w:t>Links between signed records and subsequent corrections or revisions.</w:t>
      </w:r>
    </w:p>
    <w:p>
      <w:pPr>
        <w:pStyle w:val="ListBullet"/>
      </w:pPr>
      <w:r>
        <w:t>Workflow verification results and supporting evidence references.</w:t>
      </w:r>
    </w:p>
    <w:p>
      <w:pPr>
        <w:pStyle w:val="ListBullet"/>
      </w:pPr>
      <w:r>
        <w:t>Controlled approval and effectivity records for this SOP.</w:t>
      </w:r>
    </w:p>
    <w:p>
      <w:r>
        <w:t>Retention periods, access restrictions and archival arrangements shall follow the applicable approved records policy. This SOP does not assign an undocumented retention period.</w:t>
      </w:r>
    </w:p>
    <w:p>
      <w:pPr>
        <w:pStyle w:val="Heading2"/>
      </w:pPr>
      <w:r>
        <w:t>6.1 Illustrative NCR sequence</w:t>
      </w:r>
    </w:p>
    <w:p>
      <w:r>
        <w:t>The following sequence explains the distinction between approval stages and closure. It is not an implemented state-machine definition:</w:t>
      </w:r>
    </w:p>
    <w:p>
      <w:r>
        <w:rPr>
          <w:rFonts w:ascii="Consolas" w:hAnsi="Consolas"/>
          <w:sz w:val="18"/>
        </w:rPr>
        <w:t>Draft → Submitted → Supervisor Review → Preliminary Approved → QCM Final Approval → Controlled Follow-Up / Closure</w:t>
      </w:r>
    </w:p>
    <w:p>
      <w:r>
        <w:t>For a hypothetical record, the signature panel shall show preliminary and final decisions separately. Show the actual signer, recorded time, signed version and verification status. Closure remains pending until its own governing requirements are met.</w:t>
      </w:r>
    </w:p>
    <w:p>
      <w:r>
        <w:t>Never populate a real record with example names, dates or verification claims. Apply the same evidence-based presentation pattern to other controlled workflows.</w:t>
      </w:r>
    </w:p>
    <w:p>
      <w:pPr>
        <w:pStyle w:val="Heading1"/>
      </w:pPr>
      <w:r>
        <w:t>7. Revision history</w:t>
      </w:r>
    </w:p>
    <w:tbl>
      <w:tblPr>
        <w:tblStyle w:val="TableGrid"/>
        <w:tblW w:type="auto" w:w="0"/>
        <w:tblLayout w:type="fixed"/>
        <w:tblLook w:firstColumn="1" w:firstRow="1" w:lastColumn="0" w:lastRow="0" w:noHBand="0" w:noVBand="1" w:val="04A0"/>
      </w:tblPr>
      <w:tblGrid>
        <w:gridCol w:w="1123"/>
        <w:gridCol w:w="1210"/>
        <w:gridCol w:w="4234"/>
        <w:gridCol w:w="2074"/>
      </w:tblGrid>
      <w:tr>
        <w:trPr>
          <w:cantSplit/>
          <w:tblHeader/>
        </w:trPr>
        <w:tc>
          <w:tcPr>
            <w:tcW w:type="dxa" w:w="1123"/>
            <w:shd w:fill="17365D"/>
          </w:tcPr>
          <w:p>
            <w:pPr>
              <w:spacing w:after="80" w:before="80"/>
            </w:pPr>
            <w:r>
              <w:rPr>
                <w:b/>
                <w:color w:val="FFFFFF"/>
                <w:sz w:val="18"/>
              </w:rPr>
              <w:t>Draft revision</w:t>
            </w:r>
          </w:p>
        </w:tc>
        <w:tc>
          <w:tcPr>
            <w:tcW w:type="dxa" w:w="1210"/>
            <w:shd w:fill="17365D"/>
          </w:tcPr>
          <w:p>
            <w:pPr>
              <w:spacing w:after="80" w:before="80"/>
            </w:pPr>
            <w:r>
              <w:rPr>
                <w:b/>
                <w:color w:val="FFFFFF"/>
                <w:sz w:val="18"/>
              </w:rPr>
              <w:t>Date</w:t>
            </w:r>
          </w:p>
        </w:tc>
        <w:tc>
          <w:tcPr>
            <w:tcW w:type="dxa" w:w="4234"/>
            <w:shd w:fill="17365D"/>
          </w:tcPr>
          <w:p>
            <w:pPr>
              <w:spacing w:after="80" w:before="80"/>
            </w:pPr>
            <w:r>
              <w:rPr>
                <w:b/>
                <w:color w:val="FFFFFF"/>
                <w:sz w:val="18"/>
              </w:rPr>
              <w:t>Change</w:t>
            </w:r>
          </w:p>
        </w:tc>
        <w:tc>
          <w:tcPr>
            <w:tcW w:type="dxa" w:w="2074"/>
            <w:shd w:fill="17365D"/>
          </w:tcPr>
          <w:p>
            <w:pPr>
              <w:spacing w:after="80" w:before="80"/>
            </w:pPr>
            <w:r>
              <w:rPr>
                <w:b/>
                <w:color w:val="FFFFFF"/>
                <w:sz w:val="18"/>
              </w:rPr>
              <w:t>Approval and effectivity</w:t>
            </w:r>
          </w:p>
        </w:tc>
      </w:tr>
      <w:tr>
        <w:trPr>
          <w:cantSplit/>
        </w:trPr>
        <w:tc>
          <w:tcPr>
            <w:tcW w:type="dxa" w:w="1123"/>
          </w:tcPr>
          <w:p>
            <w:pPr>
              <w:spacing w:after="80" w:before="80"/>
            </w:pPr>
            <w:r>
              <w:rPr>
                <w:sz w:val="18"/>
              </w:rPr>
              <w:t>D0.1</w:t>
            </w:r>
          </w:p>
        </w:tc>
        <w:tc>
          <w:tcPr>
            <w:tcW w:type="dxa" w:w="1210"/>
          </w:tcPr>
          <w:p>
            <w:pPr>
              <w:spacing w:after="80" w:before="80"/>
            </w:pPr>
            <w:r>
              <w:rPr>
                <w:sz w:val="18"/>
              </w:rPr>
              <w:t>2026-10-09</w:t>
            </w:r>
          </w:p>
        </w:tc>
        <w:tc>
          <w:tcPr>
            <w:tcW w:type="dxa" w:w="4234"/>
          </w:tcPr>
          <w:p>
            <w:pPr>
              <w:spacing w:after="80" w:before="80"/>
            </w:pPr>
            <w:r>
              <w:rPr>
                <w:sz w:val="18"/>
              </w:rPr>
              <w:t>Assigned SOP-FRS-012 and reorganized the supplied policy into an operating procedure; preserved system-wide applicability, role limits, signatures, explicit overrides and verification requirements</w:t>
            </w:r>
          </w:p>
        </w:tc>
        <w:tc>
          <w:tcPr>
            <w:tcW w:type="dxa" w:w="2074"/>
          </w:tcPr>
          <w:p>
            <w:pPr>
              <w:spacing w:after="80" w:before="80"/>
            </w:pPr>
            <w:r>
              <w:rPr>
                <w:sz w:val="18"/>
              </w:rPr>
              <w:t>Approval NOT RECORDED; effective date NOT ASSIGNED</w:t>
            </w:r>
          </w:p>
        </w:tc>
      </w:tr>
    </w:tbl>
    <w:p/>
    <w:p>
      <w:r>
        <w:t xml:space="preserve">09 October 2026 — Owner approval recorded for SOP-FRS-012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SOP-FRS-012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WORKSPACE TOOLS</w:t>
          </w:r>
        </w:p>
      </w:tc>
      <w:tc>
        <w:tcPr>
          <w:tcW w:type="dxa" w:w="2736"/>
        </w:tcPr>
        <w:p>
          <w:r>
            <w:t>SOP NO: SOP-FRS-011</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SOP-FRS-012 — Electronic signatures and approval authority</dc:title>
  <dc:subject>D0.1 — Draft for review</dc:subject>
  <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