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218A" w14:textId="77777777" w:rsidR="004B0C7C" w:rsidRDefault="00000000">
      <w:pPr>
        <w:spacing w:before="1000"/>
        <w:jc w:val="center"/>
      </w:pPr>
      <w:r>
        <w:rPr>
          <w:b/>
          <w:color w:val="007F86"/>
          <w:sz w:val="26"/>
        </w:rPr>
        <w:t>WEEK 1 REPORT</w:t>
      </w:r>
    </w:p>
    <w:p w14:paraId="43E395FB" w14:textId="77777777" w:rsidR="004B0C7C" w:rsidRDefault="00000000">
      <w:pPr>
        <w:pStyle w:val="Title"/>
        <w:jc w:val="center"/>
      </w:pPr>
      <w:r>
        <w:t>Strategic Planning for</w:t>
      </w:r>
      <w:r>
        <w:br/>
        <w:t>Virtual Construction Intelligence</w:t>
      </w:r>
    </w:p>
    <w:p w14:paraId="0CFD98C6" w14:textId="77777777" w:rsidR="004B0C7C" w:rsidRDefault="00000000">
      <w:pPr>
        <w:jc w:val="center"/>
      </w:pPr>
      <w:r>
        <w:rPr>
          <w:color w:val="475569"/>
          <w:sz w:val="30"/>
        </w:rPr>
        <w:t>Construction Business Intelligence Internship</w:t>
      </w:r>
    </w:p>
    <w:p w14:paraId="77DAAE8E" w14:textId="77777777" w:rsidR="004B0C7C" w:rsidRDefault="004B0C7C"/>
    <w:tbl>
      <w:tblPr>
        <w:tblStyle w:val="TableGrid"/>
        <w:tblW w:w="0" w:type="auto"/>
        <w:jc w:val="center"/>
        <w:tblLook w:val="04A0" w:firstRow="1" w:lastRow="0" w:firstColumn="1" w:lastColumn="0" w:noHBand="0" w:noVBand="1"/>
      </w:tblPr>
      <w:tblGrid>
        <w:gridCol w:w="2376"/>
        <w:gridCol w:w="7776"/>
      </w:tblGrid>
      <w:tr w:rsidR="004B0C7C" w14:paraId="19931F29" w14:textId="77777777">
        <w:trPr>
          <w:cantSplit/>
          <w:jc w:val="center"/>
        </w:trPr>
        <w:tc>
          <w:tcPr>
            <w:tcW w:w="2376" w:type="dxa"/>
            <w:shd w:val="clear" w:color="auto" w:fill="17365D"/>
            <w:vAlign w:val="center"/>
          </w:tcPr>
          <w:p w14:paraId="1B677A7E" w14:textId="77777777" w:rsidR="004B0C7C" w:rsidRDefault="00000000">
            <w:pPr>
              <w:spacing w:after="20"/>
            </w:pPr>
            <w:r>
              <w:rPr>
                <w:b/>
                <w:color w:val="FFFFFF"/>
                <w:sz w:val="18"/>
              </w:rPr>
              <w:t>Report detail</w:t>
            </w:r>
          </w:p>
        </w:tc>
        <w:tc>
          <w:tcPr>
            <w:tcW w:w="7776" w:type="dxa"/>
            <w:shd w:val="clear" w:color="auto" w:fill="17365D"/>
            <w:vAlign w:val="center"/>
          </w:tcPr>
          <w:p w14:paraId="6BD305D1" w14:textId="77777777" w:rsidR="004B0C7C" w:rsidRDefault="00000000">
            <w:pPr>
              <w:spacing w:after="20"/>
            </w:pPr>
            <w:r>
              <w:rPr>
                <w:b/>
                <w:color w:val="FFFFFF"/>
                <w:sz w:val="18"/>
              </w:rPr>
              <w:t>Description</w:t>
            </w:r>
          </w:p>
        </w:tc>
      </w:tr>
      <w:tr w:rsidR="004B0C7C" w14:paraId="7771EC47" w14:textId="77777777">
        <w:trPr>
          <w:cantSplit/>
          <w:jc w:val="center"/>
        </w:trPr>
        <w:tc>
          <w:tcPr>
            <w:tcW w:w="2376" w:type="dxa"/>
            <w:vAlign w:val="center"/>
          </w:tcPr>
          <w:p w14:paraId="3C1F21AA" w14:textId="77777777" w:rsidR="004B0C7C" w:rsidRDefault="00000000">
            <w:pPr>
              <w:spacing w:after="20"/>
            </w:pPr>
            <w:r>
              <w:rPr>
                <w:sz w:val="18"/>
              </w:rPr>
              <w:t>Internship task</w:t>
            </w:r>
          </w:p>
        </w:tc>
        <w:tc>
          <w:tcPr>
            <w:tcW w:w="7776" w:type="dxa"/>
            <w:vAlign w:val="center"/>
          </w:tcPr>
          <w:p w14:paraId="115B5253" w14:textId="77777777" w:rsidR="004B0C7C" w:rsidRDefault="00000000">
            <w:pPr>
              <w:spacing w:after="20"/>
            </w:pPr>
            <w:r>
              <w:rPr>
                <w:sz w:val="18"/>
              </w:rPr>
              <w:t>Week 1 — Strategic Planning for Virtual Construction Intelligence</w:t>
            </w:r>
          </w:p>
        </w:tc>
      </w:tr>
      <w:tr w:rsidR="004B0C7C" w14:paraId="59620418" w14:textId="77777777">
        <w:trPr>
          <w:cantSplit/>
          <w:jc w:val="center"/>
        </w:trPr>
        <w:tc>
          <w:tcPr>
            <w:tcW w:w="2376" w:type="dxa"/>
            <w:shd w:val="clear" w:color="auto" w:fill="F1F5F9"/>
            <w:vAlign w:val="center"/>
          </w:tcPr>
          <w:p w14:paraId="68824D7C" w14:textId="77777777" w:rsidR="004B0C7C" w:rsidRDefault="00000000">
            <w:pPr>
              <w:spacing w:after="20"/>
            </w:pPr>
            <w:r>
              <w:rPr>
                <w:sz w:val="18"/>
              </w:rPr>
              <w:t>Illustrative business</w:t>
            </w:r>
          </w:p>
        </w:tc>
        <w:tc>
          <w:tcPr>
            <w:tcW w:w="7776" w:type="dxa"/>
            <w:shd w:val="clear" w:color="auto" w:fill="F1F5F9"/>
            <w:vAlign w:val="center"/>
          </w:tcPr>
          <w:p w14:paraId="69E38B40" w14:textId="77777777" w:rsidR="004B0C7C" w:rsidRDefault="00000000">
            <w:pPr>
              <w:spacing w:after="20"/>
            </w:pPr>
            <w:r>
              <w:rPr>
                <w:sz w:val="18"/>
              </w:rPr>
              <w:t>BuildSmart Infrastructure Pvt. Ltd. (hypothetical example used for planning)</w:t>
            </w:r>
          </w:p>
        </w:tc>
      </w:tr>
      <w:tr w:rsidR="004B0C7C" w14:paraId="00358A31" w14:textId="77777777">
        <w:trPr>
          <w:cantSplit/>
          <w:jc w:val="center"/>
        </w:trPr>
        <w:tc>
          <w:tcPr>
            <w:tcW w:w="2376" w:type="dxa"/>
            <w:vAlign w:val="center"/>
          </w:tcPr>
          <w:p w14:paraId="2043F180" w14:textId="77777777" w:rsidR="004B0C7C" w:rsidRDefault="00000000">
            <w:pPr>
              <w:spacing w:after="20"/>
            </w:pPr>
            <w:r>
              <w:rPr>
                <w:sz w:val="18"/>
              </w:rPr>
              <w:t>Proposed BI platform</w:t>
            </w:r>
          </w:p>
        </w:tc>
        <w:tc>
          <w:tcPr>
            <w:tcW w:w="7776" w:type="dxa"/>
            <w:vAlign w:val="center"/>
          </w:tcPr>
          <w:p w14:paraId="69947ABD" w14:textId="77777777" w:rsidR="004B0C7C" w:rsidRDefault="00000000">
            <w:pPr>
              <w:spacing w:after="20"/>
            </w:pPr>
            <w:r>
              <w:rPr>
                <w:sz w:val="18"/>
              </w:rPr>
              <w:t>Microsoft Power BI</w:t>
            </w:r>
          </w:p>
        </w:tc>
      </w:tr>
      <w:tr w:rsidR="004B0C7C" w14:paraId="680DA21E" w14:textId="77777777">
        <w:trPr>
          <w:cantSplit/>
          <w:jc w:val="center"/>
        </w:trPr>
        <w:tc>
          <w:tcPr>
            <w:tcW w:w="2376" w:type="dxa"/>
            <w:shd w:val="clear" w:color="auto" w:fill="F1F5F9"/>
            <w:vAlign w:val="center"/>
          </w:tcPr>
          <w:p w14:paraId="21033200" w14:textId="77777777" w:rsidR="004B0C7C" w:rsidRDefault="00000000">
            <w:pPr>
              <w:spacing w:after="20"/>
            </w:pPr>
            <w:r>
              <w:rPr>
                <w:sz w:val="18"/>
              </w:rPr>
              <w:t>Data asset considered</w:t>
            </w:r>
          </w:p>
        </w:tc>
        <w:tc>
          <w:tcPr>
            <w:tcW w:w="7776" w:type="dxa"/>
            <w:shd w:val="clear" w:color="auto" w:fill="F1F5F9"/>
            <w:vAlign w:val="center"/>
          </w:tcPr>
          <w:p w14:paraId="12A1E652" w14:textId="77777777" w:rsidR="004B0C7C" w:rsidRDefault="00000000">
            <w:pPr>
              <w:spacing w:after="20"/>
            </w:pPr>
            <w:r>
              <w:rPr>
                <w:sz w:val="18"/>
              </w:rPr>
              <w:t>Two supplied construction monitoring CSV files; preliminary structure review only</w:t>
            </w:r>
          </w:p>
        </w:tc>
      </w:tr>
      <w:tr w:rsidR="004B0C7C" w14:paraId="5A35A1EC" w14:textId="77777777">
        <w:trPr>
          <w:cantSplit/>
          <w:jc w:val="center"/>
        </w:trPr>
        <w:tc>
          <w:tcPr>
            <w:tcW w:w="2376" w:type="dxa"/>
            <w:vAlign w:val="center"/>
          </w:tcPr>
          <w:p w14:paraId="6E1139EE" w14:textId="77777777" w:rsidR="004B0C7C" w:rsidRDefault="00000000">
            <w:pPr>
              <w:spacing w:after="20"/>
            </w:pPr>
            <w:r>
              <w:rPr>
                <w:sz w:val="18"/>
              </w:rPr>
              <w:t>Report purpose</w:t>
            </w:r>
          </w:p>
        </w:tc>
        <w:tc>
          <w:tcPr>
            <w:tcW w:w="7776" w:type="dxa"/>
            <w:vAlign w:val="center"/>
          </w:tcPr>
          <w:p w14:paraId="25E841EB" w14:textId="77777777" w:rsidR="004B0C7C" w:rsidRDefault="00000000">
            <w:pPr>
              <w:spacing w:after="20"/>
            </w:pPr>
            <w:r>
              <w:rPr>
                <w:sz w:val="18"/>
              </w:rPr>
              <w:t>Define the business case, market context, KPI framework, use cases, implementation approach and success criteria</w:t>
            </w:r>
          </w:p>
        </w:tc>
      </w:tr>
    </w:tbl>
    <w:p w14:paraId="2EC65D34" w14:textId="16AFFF27" w:rsidR="004B0C7C" w:rsidRDefault="004B0C7C" w:rsidP="006C1A9C">
      <w:pPr>
        <w:spacing w:before="520"/>
      </w:pPr>
    </w:p>
    <w:p w14:paraId="0AF27168" w14:textId="77777777" w:rsidR="004B0C7C" w:rsidRDefault="00000000">
      <w:r>
        <w:br w:type="page"/>
      </w:r>
    </w:p>
    <w:p w14:paraId="11F54A46" w14:textId="77777777" w:rsidR="004B0C7C" w:rsidRDefault="00000000">
      <w:pPr>
        <w:pStyle w:val="Heading1"/>
      </w:pPr>
      <w:r>
        <w:lastRenderedPageBreak/>
        <w:t>1. Executive Summary</w:t>
      </w:r>
    </w:p>
    <w:p w14:paraId="0A2F0858" w14:textId="77777777" w:rsidR="004B0C7C" w:rsidRDefault="00000000">
      <w:r>
        <w:t>Construction projects generate information about cost, schedule, labour, materials, equipment, energy, safety and site conditions. When these measures are recorded in separate spreadsheets or operational systems, managers may struggle to identify emerging risks early enough to take corrective action. This report proposes a practical Business Intelligence (BI) approach for the hypothetical company BuildSmart Infrastructure Pvt. Ltd. The objective is to turn routine project and site data into consistent, timely and actionable management information using Microsoft Power BI.</w:t>
      </w:r>
    </w:p>
    <w:p w14:paraId="495FD230" w14:textId="77777777" w:rsidR="004B0C7C" w:rsidRDefault="00000000">
      <w:r>
        <w:t>The proposed first phase prioritizes three use cases: cost and schedule control, safety and operational risk monitoring, and resource utilization. The suggested KPI framework includes cost deviation, schedule deviation, task progress, safety incidents, risk score, material shortage alerts, equipment/resource utilization and energy consumption. These indicators should be defined consistently, validated with project teams and assigned clear owners before being used for decisions.</w:t>
      </w:r>
    </w:p>
    <w:p w14:paraId="7C0F5A71" w14:textId="77777777" w:rsidR="004B0C7C" w:rsidRDefault="00000000">
      <w:r>
        <w:t>Two candidate CSV files were reviewed at a structural level. The first contains 50,000 rows and 19 columns, including cost_deviation, time_deviation, task_progress, safety_incidents, risk_score and equipment_utilization_rate. The second contains 10,000 rows and 15 columns, including Sensor_ID, environmental readings, resource utilization and simulation accuracy. The files have overlapping measures but different structures and time coverage; they should not be merged until their grain, timestamps and relationship are verified. The files also contain constant performance labels, so those labels should not be treated as useful comparative KPIs without further validation.</w:t>
      </w:r>
    </w:p>
    <w:p w14:paraId="740DAD8A" w14:textId="77777777" w:rsidR="004B0C7C" w:rsidRDefault="00000000">
      <w:r>
        <w:t>The recommended approach is phased: confirm business questions and definitions, profile and prepare the data, build a governed semantic model, develop and validate reports, pilot with a small stakeholder group, and then scale. Success should be measured by data reliability, report adoption, faster identification of exceptions and documented corrective actions—not by visual design alone.</w:t>
      </w:r>
    </w:p>
    <w:p w14:paraId="4BC77726" w14:textId="77777777" w:rsidR="004B0C7C" w:rsidRDefault="00000000">
      <w:pPr>
        <w:pStyle w:val="Heading1"/>
      </w:pPr>
      <w:r>
        <w:t>2. Introduction and Scope</w:t>
      </w:r>
    </w:p>
    <w:p w14:paraId="3E32DBEC" w14:textId="77777777" w:rsidR="004B0C7C" w:rsidRDefault="00000000">
      <w:r>
        <w:t>Business Intelligence combines data preparation, modelling, analysis and communication to help an organization make better decisions. In construction, BI can support project managers, site engineers, safety teams, procurement teams and senior management by bringing operational measures into a common reporting process.</w:t>
      </w:r>
    </w:p>
    <w:p w14:paraId="402BD4E3" w14:textId="77777777" w:rsidR="004B0C7C" w:rsidRDefault="00000000">
      <w:r>
        <w:t>This Week 1 report focuses on strategy and planning. It does not claim that a production dashboard, data pipeline or predictive model has already been built. The fictional company and proposed workflows are illustrative; the supplied CSV files are candidate data assets whose business meaning and quality must be confirmed with a data owner.</w:t>
      </w:r>
    </w:p>
    <w:p w14:paraId="6C92CE5F" w14:textId="77777777" w:rsidR="004B0C7C" w:rsidRDefault="00000000">
      <w:pPr>
        <w:pStyle w:val="Heading2"/>
      </w:pPr>
      <w:r>
        <w:t>Scope</w:t>
      </w:r>
    </w:p>
    <w:p w14:paraId="5703FE68" w14:textId="77777777" w:rsidR="004B0C7C" w:rsidRDefault="00000000">
      <w:pPr>
        <w:pStyle w:val="ListBullet"/>
        <w:spacing w:after="40"/>
      </w:pPr>
      <w:r>
        <w:t>Identify construction-sector reporting challenges and the business case for BI.</w:t>
      </w:r>
    </w:p>
    <w:p w14:paraId="4F43CB33" w14:textId="77777777" w:rsidR="004B0C7C" w:rsidRDefault="00000000">
      <w:pPr>
        <w:pStyle w:val="ListBullet"/>
        <w:spacing w:after="40"/>
      </w:pPr>
      <w:r>
        <w:t>Select an appropriate initial toolset and describe a proposed Power BI integration approach.</w:t>
      </w:r>
    </w:p>
    <w:p w14:paraId="76D7412F" w14:textId="77777777" w:rsidR="004B0C7C" w:rsidRDefault="00000000">
      <w:pPr>
        <w:pStyle w:val="ListBullet"/>
        <w:spacing w:after="40"/>
      </w:pPr>
      <w:r>
        <w:t>Define candidate KPIs and at least three practical BI use cases.</w:t>
      </w:r>
    </w:p>
    <w:p w14:paraId="3AECAA3A" w14:textId="77777777" w:rsidR="004B0C7C" w:rsidRDefault="00000000">
      <w:pPr>
        <w:pStyle w:val="ListBullet"/>
        <w:spacing w:after="40"/>
      </w:pPr>
      <w:r>
        <w:t>Identify data-quality, governance, security and adoption risks.</w:t>
      </w:r>
    </w:p>
    <w:p w14:paraId="244B3A2E" w14:textId="77777777" w:rsidR="004B0C7C" w:rsidRDefault="00000000">
      <w:pPr>
        <w:pStyle w:val="ListBullet"/>
        <w:spacing w:after="40"/>
      </w:pPr>
      <w:r>
        <w:t>Propose a phased implementation roadmap and measurable success criteria.</w:t>
      </w:r>
    </w:p>
    <w:p w14:paraId="7503B8A5" w14:textId="77777777" w:rsidR="004B0C7C" w:rsidRDefault="00000000">
      <w:pPr>
        <w:pStyle w:val="Heading1"/>
      </w:pPr>
      <w:r>
        <w:t>3. Business Context and Market Considerations</w:t>
      </w:r>
    </w:p>
    <w:p w14:paraId="2ACF8C27" w14:textId="77777777" w:rsidR="004B0C7C" w:rsidRDefault="00000000">
      <w:r>
        <w:t>Construction work is project-based and involves coordination among owners, contractors, consultants, suppliers and site teams. Common management challenges include budget overruns, schedule slippage, material availability, equipment downtime, safety exposure and inconsistent reporting. The strategic opportunity is not simply to create more charts; it is to standardize how performance is measured and help decision-makers act on exceptions.</w:t>
      </w:r>
    </w:p>
    <w:p w14:paraId="77407188" w14:textId="77777777" w:rsidR="004B0C7C" w:rsidRDefault="00000000">
      <w:pPr>
        <w:pStyle w:val="Heading2"/>
      </w:pPr>
      <w:r>
        <w:t>Potential business pressures</w:t>
      </w:r>
    </w:p>
    <w:tbl>
      <w:tblPr>
        <w:tblStyle w:val="TableGrid"/>
        <w:tblW w:w="0" w:type="auto"/>
        <w:jc w:val="center"/>
        <w:tblLook w:val="04A0" w:firstRow="1" w:lastRow="0" w:firstColumn="1" w:lastColumn="0" w:noHBand="0" w:noVBand="1"/>
      </w:tblPr>
      <w:tblGrid>
        <w:gridCol w:w="1944"/>
        <w:gridCol w:w="3738"/>
        <w:gridCol w:w="4528"/>
      </w:tblGrid>
      <w:tr w:rsidR="004B0C7C" w14:paraId="6C3B0FD6" w14:textId="77777777">
        <w:trPr>
          <w:cantSplit/>
          <w:jc w:val="center"/>
        </w:trPr>
        <w:tc>
          <w:tcPr>
            <w:tcW w:w="1944" w:type="dxa"/>
            <w:shd w:val="clear" w:color="auto" w:fill="17365D"/>
            <w:vAlign w:val="center"/>
          </w:tcPr>
          <w:p w14:paraId="7E50658A" w14:textId="77777777" w:rsidR="004B0C7C" w:rsidRDefault="00000000">
            <w:pPr>
              <w:spacing w:after="20"/>
            </w:pPr>
            <w:r>
              <w:rPr>
                <w:b/>
                <w:color w:val="FFFFFF"/>
                <w:sz w:val="16"/>
              </w:rPr>
              <w:t>Business pressure</w:t>
            </w:r>
          </w:p>
        </w:tc>
        <w:tc>
          <w:tcPr>
            <w:tcW w:w="3744" w:type="dxa"/>
            <w:shd w:val="clear" w:color="auto" w:fill="17365D"/>
            <w:vAlign w:val="center"/>
          </w:tcPr>
          <w:p w14:paraId="6D545824" w14:textId="77777777" w:rsidR="004B0C7C" w:rsidRDefault="00000000">
            <w:pPr>
              <w:spacing w:after="20"/>
            </w:pPr>
            <w:r>
              <w:rPr>
                <w:b/>
                <w:color w:val="FFFFFF"/>
                <w:sz w:val="16"/>
              </w:rPr>
              <w:t>Information need</w:t>
            </w:r>
          </w:p>
        </w:tc>
        <w:tc>
          <w:tcPr>
            <w:tcW w:w="4536" w:type="dxa"/>
            <w:shd w:val="clear" w:color="auto" w:fill="17365D"/>
            <w:vAlign w:val="center"/>
          </w:tcPr>
          <w:p w14:paraId="57C64467" w14:textId="77777777" w:rsidR="004B0C7C" w:rsidRDefault="00000000">
            <w:pPr>
              <w:spacing w:after="20"/>
            </w:pPr>
            <w:r>
              <w:rPr>
                <w:b/>
                <w:color w:val="FFFFFF"/>
                <w:sz w:val="16"/>
              </w:rPr>
              <w:t>Potential BI response</w:t>
            </w:r>
          </w:p>
        </w:tc>
      </w:tr>
      <w:tr w:rsidR="004B0C7C" w14:paraId="7A001705" w14:textId="77777777">
        <w:trPr>
          <w:cantSplit/>
          <w:jc w:val="center"/>
        </w:trPr>
        <w:tc>
          <w:tcPr>
            <w:tcW w:w="1944" w:type="dxa"/>
            <w:vAlign w:val="center"/>
          </w:tcPr>
          <w:p w14:paraId="30DB7E94" w14:textId="77777777" w:rsidR="004B0C7C" w:rsidRDefault="00000000">
            <w:pPr>
              <w:spacing w:after="20"/>
            </w:pPr>
            <w:r>
              <w:rPr>
                <w:sz w:val="16"/>
              </w:rPr>
              <w:t>Cost uncertainty</w:t>
            </w:r>
          </w:p>
        </w:tc>
        <w:tc>
          <w:tcPr>
            <w:tcW w:w="3744" w:type="dxa"/>
            <w:vAlign w:val="center"/>
          </w:tcPr>
          <w:p w14:paraId="6F93B4BA" w14:textId="77777777" w:rsidR="004B0C7C" w:rsidRDefault="00000000">
            <w:pPr>
              <w:spacing w:after="20"/>
            </w:pPr>
            <w:r>
              <w:rPr>
                <w:sz w:val="16"/>
              </w:rPr>
              <w:t>Budget, actual cost and variance by project or work package</w:t>
            </w:r>
          </w:p>
        </w:tc>
        <w:tc>
          <w:tcPr>
            <w:tcW w:w="4536" w:type="dxa"/>
            <w:vAlign w:val="center"/>
          </w:tcPr>
          <w:p w14:paraId="10892FEB" w14:textId="77777777" w:rsidR="004B0C7C" w:rsidRDefault="00000000">
            <w:pPr>
              <w:spacing w:after="20"/>
            </w:pPr>
            <w:r>
              <w:rPr>
                <w:sz w:val="16"/>
              </w:rPr>
              <w:t>Show cost deviation and flag exceptions for review</w:t>
            </w:r>
          </w:p>
        </w:tc>
      </w:tr>
      <w:tr w:rsidR="004B0C7C" w14:paraId="48BF3B91" w14:textId="77777777">
        <w:trPr>
          <w:cantSplit/>
          <w:jc w:val="center"/>
        </w:trPr>
        <w:tc>
          <w:tcPr>
            <w:tcW w:w="1944" w:type="dxa"/>
            <w:shd w:val="clear" w:color="auto" w:fill="F1F5F9"/>
            <w:vAlign w:val="center"/>
          </w:tcPr>
          <w:p w14:paraId="7080140C" w14:textId="77777777" w:rsidR="004B0C7C" w:rsidRDefault="00000000">
            <w:pPr>
              <w:spacing w:after="20"/>
            </w:pPr>
            <w:r>
              <w:rPr>
                <w:sz w:val="16"/>
              </w:rPr>
              <w:lastRenderedPageBreak/>
              <w:t>Schedule pressure</w:t>
            </w:r>
          </w:p>
        </w:tc>
        <w:tc>
          <w:tcPr>
            <w:tcW w:w="3744" w:type="dxa"/>
            <w:shd w:val="clear" w:color="auto" w:fill="F1F5F9"/>
            <w:vAlign w:val="center"/>
          </w:tcPr>
          <w:p w14:paraId="7C8E0CA9" w14:textId="77777777" w:rsidR="004B0C7C" w:rsidRDefault="00000000">
            <w:pPr>
              <w:spacing w:after="20"/>
            </w:pPr>
            <w:r>
              <w:rPr>
                <w:sz w:val="16"/>
              </w:rPr>
              <w:t>Planned versus actual progress and milestone status</w:t>
            </w:r>
          </w:p>
        </w:tc>
        <w:tc>
          <w:tcPr>
            <w:tcW w:w="4536" w:type="dxa"/>
            <w:shd w:val="clear" w:color="auto" w:fill="F1F5F9"/>
            <w:vAlign w:val="center"/>
          </w:tcPr>
          <w:p w14:paraId="7088BCC8" w14:textId="77777777" w:rsidR="004B0C7C" w:rsidRDefault="00000000">
            <w:pPr>
              <w:spacing w:after="20"/>
            </w:pPr>
            <w:r>
              <w:rPr>
                <w:sz w:val="16"/>
              </w:rPr>
              <w:t>Highlight delayed work and changing progress trends</w:t>
            </w:r>
          </w:p>
        </w:tc>
      </w:tr>
      <w:tr w:rsidR="004B0C7C" w14:paraId="7019C891" w14:textId="77777777">
        <w:trPr>
          <w:cantSplit/>
          <w:jc w:val="center"/>
        </w:trPr>
        <w:tc>
          <w:tcPr>
            <w:tcW w:w="1944" w:type="dxa"/>
            <w:vAlign w:val="center"/>
          </w:tcPr>
          <w:p w14:paraId="6B5D0DB4" w14:textId="77777777" w:rsidR="004B0C7C" w:rsidRDefault="00000000">
            <w:pPr>
              <w:spacing w:after="20"/>
            </w:pPr>
            <w:r>
              <w:rPr>
                <w:sz w:val="16"/>
              </w:rPr>
              <w:t>Site safety</w:t>
            </w:r>
          </w:p>
        </w:tc>
        <w:tc>
          <w:tcPr>
            <w:tcW w:w="3744" w:type="dxa"/>
            <w:vAlign w:val="center"/>
          </w:tcPr>
          <w:p w14:paraId="6BE39F09" w14:textId="77777777" w:rsidR="004B0C7C" w:rsidRDefault="00000000">
            <w:pPr>
              <w:spacing w:after="20"/>
            </w:pPr>
            <w:r>
              <w:rPr>
                <w:sz w:val="16"/>
              </w:rPr>
              <w:t>Incident counts, risk indicators and relevant operating context</w:t>
            </w:r>
          </w:p>
        </w:tc>
        <w:tc>
          <w:tcPr>
            <w:tcW w:w="4536" w:type="dxa"/>
            <w:vAlign w:val="center"/>
          </w:tcPr>
          <w:p w14:paraId="165904CC" w14:textId="77777777" w:rsidR="004B0C7C" w:rsidRDefault="00000000">
            <w:pPr>
              <w:spacing w:after="20"/>
            </w:pPr>
            <w:r>
              <w:rPr>
                <w:sz w:val="16"/>
              </w:rPr>
              <w:t>Support review of high-risk periods and corrective actions</w:t>
            </w:r>
          </w:p>
        </w:tc>
      </w:tr>
      <w:tr w:rsidR="004B0C7C" w14:paraId="16F541BE" w14:textId="77777777">
        <w:trPr>
          <w:cantSplit/>
          <w:jc w:val="center"/>
        </w:trPr>
        <w:tc>
          <w:tcPr>
            <w:tcW w:w="1944" w:type="dxa"/>
            <w:shd w:val="clear" w:color="auto" w:fill="F1F5F9"/>
            <w:vAlign w:val="center"/>
          </w:tcPr>
          <w:p w14:paraId="2830674D" w14:textId="77777777" w:rsidR="004B0C7C" w:rsidRDefault="00000000">
            <w:pPr>
              <w:spacing w:after="20"/>
            </w:pPr>
            <w:r>
              <w:rPr>
                <w:sz w:val="16"/>
              </w:rPr>
              <w:t>Material availability</w:t>
            </w:r>
          </w:p>
        </w:tc>
        <w:tc>
          <w:tcPr>
            <w:tcW w:w="3744" w:type="dxa"/>
            <w:shd w:val="clear" w:color="auto" w:fill="F1F5F9"/>
            <w:vAlign w:val="center"/>
          </w:tcPr>
          <w:p w14:paraId="63F7BBEE" w14:textId="77777777" w:rsidR="004B0C7C" w:rsidRDefault="00000000">
            <w:pPr>
              <w:spacing w:after="20"/>
            </w:pPr>
            <w:r>
              <w:rPr>
                <w:sz w:val="16"/>
              </w:rPr>
              <w:t>Usage, stock/shortage signals and demand patterns</w:t>
            </w:r>
          </w:p>
        </w:tc>
        <w:tc>
          <w:tcPr>
            <w:tcW w:w="4536" w:type="dxa"/>
            <w:shd w:val="clear" w:color="auto" w:fill="F1F5F9"/>
            <w:vAlign w:val="center"/>
          </w:tcPr>
          <w:p w14:paraId="31F173D3" w14:textId="77777777" w:rsidR="004B0C7C" w:rsidRDefault="00000000">
            <w:pPr>
              <w:spacing w:after="20"/>
            </w:pPr>
            <w:r>
              <w:rPr>
                <w:sz w:val="16"/>
              </w:rPr>
              <w:t>Identify possible shortage signals and support procurement planning</w:t>
            </w:r>
          </w:p>
        </w:tc>
      </w:tr>
      <w:tr w:rsidR="004B0C7C" w14:paraId="50B213A2" w14:textId="77777777">
        <w:trPr>
          <w:cantSplit/>
          <w:jc w:val="center"/>
        </w:trPr>
        <w:tc>
          <w:tcPr>
            <w:tcW w:w="1944" w:type="dxa"/>
            <w:vAlign w:val="center"/>
          </w:tcPr>
          <w:p w14:paraId="59E7D290" w14:textId="77777777" w:rsidR="004B0C7C" w:rsidRDefault="00000000">
            <w:pPr>
              <w:spacing w:after="20"/>
            </w:pPr>
            <w:r>
              <w:rPr>
                <w:sz w:val="16"/>
              </w:rPr>
              <w:t>Equipment/resource efficiency</w:t>
            </w:r>
          </w:p>
        </w:tc>
        <w:tc>
          <w:tcPr>
            <w:tcW w:w="3744" w:type="dxa"/>
            <w:vAlign w:val="center"/>
          </w:tcPr>
          <w:p w14:paraId="2D85D586" w14:textId="77777777" w:rsidR="004B0C7C" w:rsidRDefault="00000000">
            <w:pPr>
              <w:spacing w:after="20"/>
            </w:pPr>
            <w:r>
              <w:rPr>
                <w:sz w:val="16"/>
              </w:rPr>
              <w:t>Utilization, machinery state and energy use</w:t>
            </w:r>
          </w:p>
        </w:tc>
        <w:tc>
          <w:tcPr>
            <w:tcW w:w="4536" w:type="dxa"/>
            <w:vAlign w:val="center"/>
          </w:tcPr>
          <w:p w14:paraId="025D4F26" w14:textId="77777777" w:rsidR="004B0C7C" w:rsidRDefault="00000000">
            <w:pPr>
              <w:spacing w:after="20"/>
            </w:pPr>
            <w:r>
              <w:rPr>
                <w:sz w:val="16"/>
              </w:rPr>
              <w:t>Compare utilization patterns and investigate idle or inefficient operation</w:t>
            </w:r>
          </w:p>
        </w:tc>
      </w:tr>
      <w:tr w:rsidR="004B0C7C" w14:paraId="39FBED1C" w14:textId="77777777">
        <w:trPr>
          <w:cantSplit/>
          <w:jc w:val="center"/>
        </w:trPr>
        <w:tc>
          <w:tcPr>
            <w:tcW w:w="1944" w:type="dxa"/>
            <w:shd w:val="clear" w:color="auto" w:fill="F1F5F9"/>
            <w:vAlign w:val="center"/>
          </w:tcPr>
          <w:p w14:paraId="5AA81BD9" w14:textId="77777777" w:rsidR="004B0C7C" w:rsidRDefault="00000000">
            <w:pPr>
              <w:spacing w:after="20"/>
            </w:pPr>
            <w:r>
              <w:rPr>
                <w:sz w:val="16"/>
              </w:rPr>
              <w:t>Reporting fragmentation</w:t>
            </w:r>
          </w:p>
        </w:tc>
        <w:tc>
          <w:tcPr>
            <w:tcW w:w="3744" w:type="dxa"/>
            <w:shd w:val="clear" w:color="auto" w:fill="F1F5F9"/>
            <w:vAlign w:val="center"/>
          </w:tcPr>
          <w:p w14:paraId="7E41372F" w14:textId="77777777" w:rsidR="004B0C7C" w:rsidRDefault="00000000">
            <w:pPr>
              <w:spacing w:after="20"/>
            </w:pPr>
            <w:r>
              <w:rPr>
                <w:sz w:val="16"/>
              </w:rPr>
              <w:t>Consistent definitions and trusted source data</w:t>
            </w:r>
          </w:p>
        </w:tc>
        <w:tc>
          <w:tcPr>
            <w:tcW w:w="4536" w:type="dxa"/>
            <w:shd w:val="clear" w:color="auto" w:fill="F1F5F9"/>
            <w:vAlign w:val="center"/>
          </w:tcPr>
          <w:p w14:paraId="26EF00BC" w14:textId="77777777" w:rsidR="004B0C7C" w:rsidRDefault="00000000">
            <w:pPr>
              <w:spacing w:after="20"/>
            </w:pPr>
            <w:r>
              <w:rPr>
                <w:sz w:val="16"/>
              </w:rPr>
              <w:t>Create a governed reporting layer with documented KPI definitions</w:t>
            </w:r>
          </w:p>
        </w:tc>
      </w:tr>
    </w:tbl>
    <w:p w14:paraId="10C42996" w14:textId="77777777" w:rsidR="004B0C7C" w:rsidRDefault="004B0C7C">
      <w:pPr>
        <w:spacing w:after="20"/>
      </w:pPr>
    </w:p>
    <w:p w14:paraId="507C0DDF" w14:textId="77777777" w:rsidR="004B0C7C" w:rsidRDefault="00000000">
      <w:r>
        <w:t>Market note: these are common operational considerations for construction BI, not quantified claims about market size or market share. A fuller commercial assessment should validate demand, competitors, buyer requirements, data maturity and procurement constraints for the target geography and customer segment.</w:t>
      </w:r>
    </w:p>
    <w:p w14:paraId="422D0E8F" w14:textId="77777777" w:rsidR="004B0C7C" w:rsidRDefault="00000000">
      <w:pPr>
        <w:pStyle w:val="Heading1"/>
      </w:pPr>
      <w:r>
        <w:t>4. Business Objectives</w:t>
      </w:r>
    </w:p>
    <w:p w14:paraId="55946907" w14:textId="77777777" w:rsidR="004B0C7C" w:rsidRDefault="00000000">
      <w:pPr>
        <w:pStyle w:val="ListBullet"/>
        <w:spacing w:after="40"/>
      </w:pPr>
      <w:r>
        <w:t>Create a consistent view of cost, schedule, safety and resource performance across selected projects.</w:t>
      </w:r>
    </w:p>
    <w:p w14:paraId="398E0CA8" w14:textId="77777777" w:rsidR="004B0C7C" w:rsidRDefault="00000000">
      <w:pPr>
        <w:pStyle w:val="ListBullet"/>
        <w:spacing w:after="40"/>
      </w:pPr>
      <w:r>
        <w:t>Reduce the time spent manually compiling recurring operational reports.</w:t>
      </w:r>
    </w:p>
    <w:p w14:paraId="19885E14" w14:textId="77777777" w:rsidR="004B0C7C" w:rsidRDefault="00000000">
      <w:pPr>
        <w:pStyle w:val="ListBullet"/>
        <w:spacing w:after="40"/>
      </w:pPr>
      <w:r>
        <w:t>Make exceptions visible early enough for a responsible manager to investigate them.</w:t>
      </w:r>
    </w:p>
    <w:p w14:paraId="1F8DDEF6" w14:textId="77777777" w:rsidR="004B0C7C" w:rsidRDefault="00000000">
      <w:pPr>
        <w:pStyle w:val="ListBullet"/>
        <w:spacing w:after="40"/>
      </w:pPr>
      <w:r>
        <w:t>Improve the reliability and traceability of reported KPIs through documented definitions and data-quality checks.</w:t>
      </w:r>
    </w:p>
    <w:p w14:paraId="20AF57F7" w14:textId="77777777" w:rsidR="004B0C7C" w:rsidRDefault="00000000">
      <w:pPr>
        <w:pStyle w:val="ListBullet"/>
        <w:spacing w:after="40"/>
      </w:pPr>
      <w:r>
        <w:t>Establish a scalable foundation for future analysis without overcommitting to automation before data quality is proven.</w:t>
      </w:r>
    </w:p>
    <w:p w14:paraId="01CE54FC" w14:textId="77777777" w:rsidR="004B0C7C" w:rsidRDefault="00000000">
      <w:pPr>
        <w:pStyle w:val="Heading1"/>
      </w:pPr>
      <w:r>
        <w:t>5. Proposed Technology and Tool Selection</w:t>
      </w:r>
    </w:p>
    <w:tbl>
      <w:tblPr>
        <w:tblStyle w:val="TableGrid"/>
        <w:tblW w:w="0" w:type="auto"/>
        <w:jc w:val="center"/>
        <w:tblLook w:val="04A0" w:firstRow="1" w:lastRow="0" w:firstColumn="1" w:lastColumn="0" w:noHBand="0" w:noVBand="1"/>
      </w:tblPr>
      <w:tblGrid>
        <w:gridCol w:w="2229"/>
        <w:gridCol w:w="3667"/>
        <w:gridCol w:w="4314"/>
      </w:tblGrid>
      <w:tr w:rsidR="004B0C7C" w14:paraId="6EAA57EA" w14:textId="77777777">
        <w:trPr>
          <w:cantSplit/>
          <w:jc w:val="center"/>
        </w:trPr>
        <w:tc>
          <w:tcPr>
            <w:tcW w:w="2232" w:type="dxa"/>
            <w:shd w:val="clear" w:color="auto" w:fill="17365D"/>
            <w:vAlign w:val="center"/>
          </w:tcPr>
          <w:p w14:paraId="639EE824" w14:textId="77777777" w:rsidR="004B0C7C" w:rsidRDefault="00000000">
            <w:pPr>
              <w:spacing w:after="20"/>
            </w:pPr>
            <w:r>
              <w:rPr>
                <w:b/>
                <w:color w:val="FFFFFF"/>
                <w:sz w:val="16"/>
              </w:rPr>
              <w:t>Tool / component</w:t>
            </w:r>
          </w:p>
        </w:tc>
        <w:tc>
          <w:tcPr>
            <w:tcW w:w="3672" w:type="dxa"/>
            <w:shd w:val="clear" w:color="auto" w:fill="17365D"/>
            <w:vAlign w:val="center"/>
          </w:tcPr>
          <w:p w14:paraId="623C8771" w14:textId="77777777" w:rsidR="004B0C7C" w:rsidRDefault="00000000">
            <w:pPr>
              <w:spacing w:after="20"/>
            </w:pPr>
            <w:r>
              <w:rPr>
                <w:b/>
                <w:color w:val="FFFFFF"/>
                <w:sz w:val="16"/>
              </w:rPr>
              <w:t>Proposed role</w:t>
            </w:r>
          </w:p>
        </w:tc>
        <w:tc>
          <w:tcPr>
            <w:tcW w:w="4320" w:type="dxa"/>
            <w:shd w:val="clear" w:color="auto" w:fill="17365D"/>
            <w:vAlign w:val="center"/>
          </w:tcPr>
          <w:p w14:paraId="4724ED24" w14:textId="77777777" w:rsidR="004B0C7C" w:rsidRDefault="00000000">
            <w:pPr>
              <w:spacing w:after="20"/>
            </w:pPr>
            <w:r>
              <w:rPr>
                <w:b/>
                <w:color w:val="FFFFFF"/>
                <w:sz w:val="16"/>
              </w:rPr>
              <w:t>Reason for selection</w:t>
            </w:r>
          </w:p>
        </w:tc>
      </w:tr>
      <w:tr w:rsidR="004B0C7C" w14:paraId="5A327655" w14:textId="77777777">
        <w:trPr>
          <w:cantSplit/>
          <w:jc w:val="center"/>
        </w:trPr>
        <w:tc>
          <w:tcPr>
            <w:tcW w:w="2232" w:type="dxa"/>
            <w:vAlign w:val="center"/>
          </w:tcPr>
          <w:p w14:paraId="17FBA40C" w14:textId="77777777" w:rsidR="004B0C7C" w:rsidRDefault="00000000">
            <w:pPr>
              <w:spacing w:after="20"/>
            </w:pPr>
            <w:r>
              <w:rPr>
                <w:sz w:val="16"/>
              </w:rPr>
              <w:t>Microsoft Excel / CSV</w:t>
            </w:r>
          </w:p>
        </w:tc>
        <w:tc>
          <w:tcPr>
            <w:tcW w:w="3672" w:type="dxa"/>
            <w:vAlign w:val="center"/>
          </w:tcPr>
          <w:p w14:paraId="2BD11389" w14:textId="77777777" w:rsidR="004B0C7C" w:rsidRDefault="00000000">
            <w:pPr>
              <w:spacing w:after="20"/>
            </w:pPr>
            <w:r>
              <w:rPr>
                <w:sz w:val="16"/>
              </w:rPr>
              <w:t>Initial source review and small-scale validation</w:t>
            </w:r>
          </w:p>
        </w:tc>
        <w:tc>
          <w:tcPr>
            <w:tcW w:w="4320" w:type="dxa"/>
            <w:vAlign w:val="center"/>
          </w:tcPr>
          <w:p w14:paraId="0EE74AEF" w14:textId="77777777" w:rsidR="004B0C7C" w:rsidRDefault="00000000">
            <w:pPr>
              <w:spacing w:after="20"/>
            </w:pPr>
            <w:r>
              <w:rPr>
                <w:sz w:val="16"/>
              </w:rPr>
              <w:t>Familiar format and suitable for inspecting supplied files; not ideal as the only long-term data-management layer</w:t>
            </w:r>
          </w:p>
        </w:tc>
      </w:tr>
      <w:tr w:rsidR="004B0C7C" w14:paraId="3D36D787" w14:textId="77777777">
        <w:trPr>
          <w:cantSplit/>
          <w:jc w:val="center"/>
        </w:trPr>
        <w:tc>
          <w:tcPr>
            <w:tcW w:w="2232" w:type="dxa"/>
            <w:shd w:val="clear" w:color="auto" w:fill="F1F5F9"/>
            <w:vAlign w:val="center"/>
          </w:tcPr>
          <w:p w14:paraId="5CF28DF8" w14:textId="77777777" w:rsidR="004B0C7C" w:rsidRDefault="00000000">
            <w:pPr>
              <w:spacing w:after="20"/>
            </w:pPr>
            <w:r>
              <w:rPr>
                <w:sz w:val="16"/>
              </w:rPr>
              <w:t>Power Query</w:t>
            </w:r>
          </w:p>
        </w:tc>
        <w:tc>
          <w:tcPr>
            <w:tcW w:w="3672" w:type="dxa"/>
            <w:shd w:val="clear" w:color="auto" w:fill="F1F5F9"/>
            <w:vAlign w:val="center"/>
          </w:tcPr>
          <w:p w14:paraId="603D3CEE" w14:textId="77777777" w:rsidR="004B0C7C" w:rsidRDefault="00000000">
            <w:pPr>
              <w:spacing w:after="20"/>
            </w:pPr>
            <w:r>
              <w:rPr>
                <w:sz w:val="16"/>
              </w:rPr>
              <w:t>Import, clean, type, standardize and combine data when justified</w:t>
            </w:r>
          </w:p>
        </w:tc>
        <w:tc>
          <w:tcPr>
            <w:tcW w:w="4320" w:type="dxa"/>
            <w:shd w:val="clear" w:color="auto" w:fill="F1F5F9"/>
            <w:vAlign w:val="center"/>
          </w:tcPr>
          <w:p w14:paraId="28576E7F" w14:textId="77777777" w:rsidR="004B0C7C" w:rsidRDefault="00000000">
            <w:pPr>
              <w:spacing w:after="20"/>
            </w:pPr>
            <w:r>
              <w:rPr>
                <w:sz w:val="16"/>
              </w:rPr>
              <w:t>Repeatable transformation steps can be documented and refreshed</w:t>
            </w:r>
          </w:p>
        </w:tc>
      </w:tr>
      <w:tr w:rsidR="004B0C7C" w14:paraId="6F7E0B74" w14:textId="77777777">
        <w:trPr>
          <w:cantSplit/>
          <w:jc w:val="center"/>
        </w:trPr>
        <w:tc>
          <w:tcPr>
            <w:tcW w:w="2232" w:type="dxa"/>
            <w:vAlign w:val="center"/>
          </w:tcPr>
          <w:p w14:paraId="7BF72444" w14:textId="77777777" w:rsidR="004B0C7C" w:rsidRDefault="00000000">
            <w:pPr>
              <w:spacing w:after="20"/>
            </w:pPr>
            <w:r>
              <w:rPr>
                <w:sz w:val="16"/>
              </w:rPr>
              <w:t>Power BI Desktop</w:t>
            </w:r>
          </w:p>
        </w:tc>
        <w:tc>
          <w:tcPr>
            <w:tcW w:w="3672" w:type="dxa"/>
            <w:vAlign w:val="center"/>
          </w:tcPr>
          <w:p w14:paraId="533736D1" w14:textId="77777777" w:rsidR="004B0C7C" w:rsidRDefault="00000000">
            <w:pPr>
              <w:spacing w:after="20"/>
            </w:pPr>
            <w:r>
              <w:rPr>
                <w:sz w:val="16"/>
              </w:rPr>
              <w:t>Data modelling, measures and report development</w:t>
            </w:r>
          </w:p>
        </w:tc>
        <w:tc>
          <w:tcPr>
            <w:tcW w:w="4320" w:type="dxa"/>
            <w:vAlign w:val="center"/>
          </w:tcPr>
          <w:p w14:paraId="083EE258" w14:textId="77777777" w:rsidR="004B0C7C" w:rsidRDefault="00000000">
            <w:pPr>
              <w:spacing w:after="20"/>
            </w:pPr>
            <w:r>
              <w:rPr>
                <w:sz w:val="16"/>
              </w:rPr>
              <w:t>Supports relationships, DAX calculations and interactive reporting</w:t>
            </w:r>
          </w:p>
        </w:tc>
      </w:tr>
      <w:tr w:rsidR="004B0C7C" w14:paraId="342CD2A9" w14:textId="77777777">
        <w:trPr>
          <w:cantSplit/>
          <w:jc w:val="center"/>
        </w:trPr>
        <w:tc>
          <w:tcPr>
            <w:tcW w:w="2232" w:type="dxa"/>
            <w:shd w:val="clear" w:color="auto" w:fill="F1F5F9"/>
            <w:vAlign w:val="center"/>
          </w:tcPr>
          <w:p w14:paraId="518A57E7" w14:textId="77777777" w:rsidR="004B0C7C" w:rsidRDefault="00000000">
            <w:pPr>
              <w:spacing w:after="20"/>
            </w:pPr>
            <w:r>
              <w:rPr>
                <w:sz w:val="16"/>
              </w:rPr>
              <w:t>Power BI Service</w:t>
            </w:r>
          </w:p>
        </w:tc>
        <w:tc>
          <w:tcPr>
            <w:tcW w:w="3672" w:type="dxa"/>
            <w:shd w:val="clear" w:color="auto" w:fill="F1F5F9"/>
            <w:vAlign w:val="center"/>
          </w:tcPr>
          <w:p w14:paraId="435B0F03" w14:textId="77777777" w:rsidR="004B0C7C" w:rsidRDefault="00000000">
            <w:pPr>
              <w:spacing w:after="20"/>
            </w:pPr>
            <w:r>
              <w:rPr>
                <w:sz w:val="16"/>
              </w:rPr>
              <w:t>Publish, share, refresh and manage access after validation</w:t>
            </w:r>
          </w:p>
        </w:tc>
        <w:tc>
          <w:tcPr>
            <w:tcW w:w="4320" w:type="dxa"/>
            <w:shd w:val="clear" w:color="auto" w:fill="F1F5F9"/>
            <w:vAlign w:val="center"/>
          </w:tcPr>
          <w:p w14:paraId="175BB49E" w14:textId="77777777" w:rsidR="004B0C7C" w:rsidRDefault="00000000">
            <w:pPr>
              <w:spacing w:after="20"/>
            </w:pPr>
            <w:r>
              <w:rPr>
                <w:sz w:val="16"/>
              </w:rPr>
              <w:t>Supports controlled distribution and scheduled refresh subject to licensing and source configuration</w:t>
            </w:r>
          </w:p>
        </w:tc>
      </w:tr>
      <w:tr w:rsidR="004B0C7C" w14:paraId="0BB1F579" w14:textId="77777777">
        <w:trPr>
          <w:cantSplit/>
          <w:jc w:val="center"/>
        </w:trPr>
        <w:tc>
          <w:tcPr>
            <w:tcW w:w="2232" w:type="dxa"/>
            <w:vAlign w:val="center"/>
          </w:tcPr>
          <w:p w14:paraId="369A7F40" w14:textId="77777777" w:rsidR="004B0C7C" w:rsidRDefault="00000000">
            <w:pPr>
              <w:spacing w:after="20"/>
            </w:pPr>
            <w:r>
              <w:rPr>
                <w:sz w:val="16"/>
              </w:rPr>
              <w:t>SQL database (future option)</w:t>
            </w:r>
          </w:p>
        </w:tc>
        <w:tc>
          <w:tcPr>
            <w:tcW w:w="3672" w:type="dxa"/>
            <w:vAlign w:val="center"/>
          </w:tcPr>
          <w:p w14:paraId="60109CA1" w14:textId="77777777" w:rsidR="004B0C7C" w:rsidRDefault="00000000">
            <w:pPr>
              <w:spacing w:after="20"/>
            </w:pPr>
            <w:r>
              <w:rPr>
                <w:sz w:val="16"/>
              </w:rPr>
              <w:t>Centralized storage and extraction for larger or recurring data feeds</w:t>
            </w:r>
          </w:p>
        </w:tc>
        <w:tc>
          <w:tcPr>
            <w:tcW w:w="4320" w:type="dxa"/>
            <w:vAlign w:val="center"/>
          </w:tcPr>
          <w:p w14:paraId="7855B948" w14:textId="77777777" w:rsidR="004B0C7C" w:rsidRDefault="00000000">
            <w:pPr>
              <w:spacing w:after="20"/>
            </w:pPr>
            <w:r>
              <w:rPr>
                <w:sz w:val="16"/>
              </w:rPr>
              <w:t>Consider when multiple source systems, refresh needs or data volumes justify it</w:t>
            </w:r>
          </w:p>
        </w:tc>
      </w:tr>
    </w:tbl>
    <w:p w14:paraId="4522CF3D" w14:textId="77777777" w:rsidR="004B0C7C" w:rsidRDefault="004B0C7C">
      <w:pPr>
        <w:spacing w:after="20"/>
      </w:pPr>
    </w:p>
    <w:p w14:paraId="63753E69" w14:textId="77777777" w:rsidR="004B0C7C" w:rsidRDefault="00000000">
      <w:r>
        <w:t>The initial proposal uses Power BI Desktop and Power Query with the supplied CSV files. A database is not required for the first exploratory stage. The choice of storage and refresh architecture should be revisited when actual source systems, data volume, update frequency, access controls and ownership are known.</w:t>
      </w:r>
    </w:p>
    <w:p w14:paraId="23E82786" w14:textId="77777777" w:rsidR="004B0C7C" w:rsidRDefault="00000000">
      <w:pPr>
        <w:pStyle w:val="Heading1"/>
      </w:pPr>
      <w:r>
        <w:t>6. Candidate Data Assets and Initial Assessment</w:t>
      </w:r>
    </w:p>
    <w:p w14:paraId="1C41104E" w14:textId="77777777" w:rsidR="004B0C7C" w:rsidRDefault="00000000">
      <w:r>
        <w:t>The following assessment is based on a preliminary inspection of the two supplied CSV files. It is not a full validation of the business meaning of every field.</w:t>
      </w:r>
    </w:p>
    <w:tbl>
      <w:tblPr>
        <w:tblStyle w:val="TableGrid"/>
        <w:tblW w:w="0" w:type="auto"/>
        <w:jc w:val="center"/>
        <w:tblLook w:val="04A0" w:firstRow="1" w:lastRow="0" w:firstColumn="1" w:lastColumn="0" w:noHBand="0" w:noVBand="1"/>
      </w:tblPr>
      <w:tblGrid>
        <w:gridCol w:w="3305"/>
        <w:gridCol w:w="1455"/>
        <w:gridCol w:w="3197"/>
        <w:gridCol w:w="2253"/>
      </w:tblGrid>
      <w:tr w:rsidR="004B0C7C" w14:paraId="28A21BA5" w14:textId="77777777">
        <w:trPr>
          <w:cantSplit/>
          <w:jc w:val="center"/>
        </w:trPr>
        <w:tc>
          <w:tcPr>
            <w:tcW w:w="2448" w:type="dxa"/>
            <w:shd w:val="clear" w:color="auto" w:fill="17365D"/>
            <w:vAlign w:val="center"/>
          </w:tcPr>
          <w:p w14:paraId="071B44E6" w14:textId="77777777" w:rsidR="004B0C7C" w:rsidRDefault="00000000">
            <w:pPr>
              <w:spacing w:after="20"/>
            </w:pPr>
            <w:r>
              <w:rPr>
                <w:b/>
                <w:color w:val="FFFFFF"/>
                <w:sz w:val="15"/>
              </w:rPr>
              <w:t>File</w:t>
            </w:r>
          </w:p>
        </w:tc>
        <w:tc>
          <w:tcPr>
            <w:tcW w:w="1584" w:type="dxa"/>
            <w:shd w:val="clear" w:color="auto" w:fill="17365D"/>
            <w:vAlign w:val="center"/>
          </w:tcPr>
          <w:p w14:paraId="3C2EE6C0" w14:textId="77777777" w:rsidR="004B0C7C" w:rsidRDefault="00000000">
            <w:pPr>
              <w:spacing w:after="20"/>
            </w:pPr>
            <w:r>
              <w:rPr>
                <w:b/>
                <w:color w:val="FFFFFF"/>
                <w:sz w:val="15"/>
              </w:rPr>
              <w:t>Observed structure</w:t>
            </w:r>
          </w:p>
        </w:tc>
        <w:tc>
          <w:tcPr>
            <w:tcW w:w="3672" w:type="dxa"/>
            <w:shd w:val="clear" w:color="auto" w:fill="17365D"/>
            <w:vAlign w:val="center"/>
          </w:tcPr>
          <w:p w14:paraId="6E571A41" w14:textId="77777777" w:rsidR="004B0C7C" w:rsidRDefault="00000000">
            <w:pPr>
              <w:spacing w:after="20"/>
            </w:pPr>
            <w:r>
              <w:rPr>
                <w:b/>
                <w:color w:val="FFFFFF"/>
                <w:sz w:val="15"/>
              </w:rPr>
              <w:t>Potential contribution</w:t>
            </w:r>
          </w:p>
        </w:tc>
        <w:tc>
          <w:tcPr>
            <w:tcW w:w="2520" w:type="dxa"/>
            <w:shd w:val="clear" w:color="auto" w:fill="17365D"/>
            <w:vAlign w:val="center"/>
          </w:tcPr>
          <w:p w14:paraId="1E972CE5" w14:textId="77777777" w:rsidR="004B0C7C" w:rsidRDefault="00000000">
            <w:pPr>
              <w:spacing w:after="20"/>
            </w:pPr>
            <w:r>
              <w:rPr>
                <w:b/>
                <w:color w:val="FFFFFF"/>
                <w:sz w:val="15"/>
              </w:rPr>
              <w:t>Important limitation</w:t>
            </w:r>
          </w:p>
        </w:tc>
      </w:tr>
      <w:tr w:rsidR="004B0C7C" w14:paraId="1122A787" w14:textId="77777777">
        <w:trPr>
          <w:cantSplit/>
          <w:jc w:val="center"/>
        </w:trPr>
        <w:tc>
          <w:tcPr>
            <w:tcW w:w="2448" w:type="dxa"/>
            <w:vAlign w:val="center"/>
          </w:tcPr>
          <w:p w14:paraId="6E0B433C" w14:textId="77777777" w:rsidR="004B0C7C" w:rsidRDefault="00000000">
            <w:pPr>
              <w:spacing w:after="20"/>
            </w:pPr>
            <w:r>
              <w:rPr>
                <w:sz w:val="15"/>
              </w:rPr>
              <w:t>construction_project_dataset.csv</w:t>
            </w:r>
          </w:p>
        </w:tc>
        <w:tc>
          <w:tcPr>
            <w:tcW w:w="1584" w:type="dxa"/>
            <w:vAlign w:val="center"/>
          </w:tcPr>
          <w:p w14:paraId="411F3AC6" w14:textId="77777777" w:rsidR="004B0C7C" w:rsidRDefault="00000000">
            <w:pPr>
              <w:spacing w:after="20"/>
            </w:pPr>
            <w:r>
              <w:rPr>
                <w:sz w:val="15"/>
              </w:rPr>
              <w:t>50,000 rows; 19 columns</w:t>
            </w:r>
          </w:p>
        </w:tc>
        <w:tc>
          <w:tcPr>
            <w:tcW w:w="3672" w:type="dxa"/>
            <w:vAlign w:val="center"/>
          </w:tcPr>
          <w:p w14:paraId="661EA002" w14:textId="77777777" w:rsidR="004B0C7C" w:rsidRDefault="00000000">
            <w:pPr>
              <w:spacing w:after="20"/>
            </w:pPr>
            <w:r>
              <w:rPr>
                <w:sz w:val="15"/>
              </w:rPr>
              <w:t>Cost and time deviation, task progress, machinery status, material shortage alerts, safety incidents, risk score and equipment utilization</w:t>
            </w:r>
          </w:p>
        </w:tc>
        <w:tc>
          <w:tcPr>
            <w:tcW w:w="2520" w:type="dxa"/>
            <w:vAlign w:val="center"/>
          </w:tcPr>
          <w:p w14:paraId="3FED6403" w14:textId="77777777" w:rsidR="004B0C7C" w:rsidRDefault="00000000">
            <w:pPr>
              <w:spacing w:after="20"/>
            </w:pPr>
            <w:r>
              <w:rPr>
                <w:sz w:val="15"/>
              </w:rPr>
              <w:t>No explicit project identifier was identified in the provided column list; the meaning and unit of each measure must be confirmed</w:t>
            </w:r>
          </w:p>
        </w:tc>
      </w:tr>
      <w:tr w:rsidR="004B0C7C" w14:paraId="49CE02DE" w14:textId="77777777">
        <w:trPr>
          <w:cantSplit/>
          <w:jc w:val="center"/>
        </w:trPr>
        <w:tc>
          <w:tcPr>
            <w:tcW w:w="2448" w:type="dxa"/>
            <w:shd w:val="clear" w:color="auto" w:fill="F1F5F9"/>
            <w:vAlign w:val="center"/>
          </w:tcPr>
          <w:p w14:paraId="798190C0" w14:textId="77777777" w:rsidR="004B0C7C" w:rsidRDefault="00000000">
            <w:pPr>
              <w:spacing w:after="20"/>
            </w:pPr>
            <w:r>
              <w:rPr>
                <w:sz w:val="15"/>
              </w:rPr>
              <w:lastRenderedPageBreak/>
              <w:t>construction_project_performance_dataset.csv</w:t>
            </w:r>
          </w:p>
        </w:tc>
        <w:tc>
          <w:tcPr>
            <w:tcW w:w="1584" w:type="dxa"/>
            <w:shd w:val="clear" w:color="auto" w:fill="F1F5F9"/>
            <w:vAlign w:val="center"/>
          </w:tcPr>
          <w:p w14:paraId="7A9B041E" w14:textId="77777777" w:rsidR="004B0C7C" w:rsidRDefault="00000000">
            <w:pPr>
              <w:spacing w:after="20"/>
            </w:pPr>
            <w:r>
              <w:rPr>
                <w:sz w:val="15"/>
              </w:rPr>
              <w:t>10,000 rows; 15 columns</w:t>
            </w:r>
          </w:p>
        </w:tc>
        <w:tc>
          <w:tcPr>
            <w:tcW w:w="3672" w:type="dxa"/>
            <w:shd w:val="clear" w:color="auto" w:fill="F1F5F9"/>
            <w:vAlign w:val="center"/>
          </w:tcPr>
          <w:p w14:paraId="27F9E22B" w14:textId="77777777" w:rsidR="004B0C7C" w:rsidRDefault="00000000">
            <w:pPr>
              <w:spacing w:after="20"/>
            </w:pPr>
            <w:r>
              <w:rPr>
                <w:sz w:val="15"/>
              </w:rPr>
              <w:t>Sensor ID, temperature, humidity, vibration, energy, workers, progress, safety, resource utilization and simulation accuracy</w:t>
            </w:r>
          </w:p>
        </w:tc>
        <w:tc>
          <w:tcPr>
            <w:tcW w:w="2520" w:type="dxa"/>
            <w:shd w:val="clear" w:color="auto" w:fill="F1F5F9"/>
            <w:vAlign w:val="center"/>
          </w:tcPr>
          <w:p w14:paraId="38665B6C" w14:textId="77777777" w:rsidR="004B0C7C" w:rsidRDefault="00000000">
            <w:pPr>
              <w:spacing w:after="20"/>
            </w:pPr>
            <w:r>
              <w:rPr>
                <w:sz w:val="15"/>
              </w:rPr>
              <w:t>Sensor-level observations may not represent the same grain as project-level records; relationship to the first file is not established</w:t>
            </w:r>
          </w:p>
        </w:tc>
      </w:tr>
    </w:tbl>
    <w:p w14:paraId="7F50E72B" w14:textId="77777777" w:rsidR="004B0C7C" w:rsidRDefault="004B0C7C">
      <w:pPr>
        <w:spacing w:after="20"/>
      </w:pPr>
    </w:p>
    <w:p w14:paraId="5DC16BBC" w14:textId="77777777" w:rsidR="004B0C7C" w:rsidRDefault="00000000">
      <w:r>
        <w:t>The first file was observed to cover approximately 1 January–4 February 2023, while the second covers approximately 1–7 January 2023. Their dates overlap, but overlapping timestamps alone do not prove that records refer to the same project or event. The first file's performance label was constant across the inspected rows, and the second file's performance label was also constant. These labels should be investigated and excluded from comparative performance conclusions until their definitions and variability are verified.</w:t>
      </w:r>
    </w:p>
    <w:p w14:paraId="604EE2BD" w14:textId="77777777" w:rsidR="004B0C7C" w:rsidRDefault="00000000">
      <w:r>
        <w:t>Before using the files for reporting, the data preparation phase should validate timestamp parsing, numeric ranges, units, category consistency, row grain, duplicate business events, and whether a reliable project/site identifier exists. The two files should remain separate unless a valid key and relationship are established.</w:t>
      </w:r>
    </w:p>
    <w:p w14:paraId="4D5D4586" w14:textId="77777777" w:rsidR="004B0C7C" w:rsidRDefault="00000000">
      <w:pPr>
        <w:pStyle w:val="Heading1"/>
      </w:pPr>
      <w:r>
        <w:t>7. KPI Framework</w:t>
      </w:r>
    </w:p>
    <w:tbl>
      <w:tblPr>
        <w:tblStyle w:val="TableGrid"/>
        <w:tblW w:w="0" w:type="auto"/>
        <w:jc w:val="center"/>
        <w:tblLook w:val="04A0" w:firstRow="1" w:lastRow="0" w:firstColumn="1" w:lastColumn="0" w:noHBand="0" w:noVBand="1"/>
      </w:tblPr>
      <w:tblGrid>
        <w:gridCol w:w="1944"/>
        <w:gridCol w:w="3378"/>
        <w:gridCol w:w="2444"/>
        <w:gridCol w:w="2444"/>
      </w:tblGrid>
      <w:tr w:rsidR="004B0C7C" w14:paraId="3A4DB398" w14:textId="77777777">
        <w:trPr>
          <w:cantSplit/>
          <w:jc w:val="center"/>
        </w:trPr>
        <w:tc>
          <w:tcPr>
            <w:tcW w:w="1944" w:type="dxa"/>
            <w:shd w:val="clear" w:color="auto" w:fill="17365D"/>
            <w:vAlign w:val="center"/>
          </w:tcPr>
          <w:p w14:paraId="0E410FDB" w14:textId="77777777" w:rsidR="004B0C7C" w:rsidRDefault="00000000">
            <w:pPr>
              <w:spacing w:after="20"/>
            </w:pPr>
            <w:r>
              <w:rPr>
                <w:b/>
                <w:color w:val="FFFFFF"/>
                <w:sz w:val="15"/>
              </w:rPr>
              <w:t>KPI</w:t>
            </w:r>
          </w:p>
        </w:tc>
        <w:tc>
          <w:tcPr>
            <w:tcW w:w="3384" w:type="dxa"/>
            <w:shd w:val="clear" w:color="auto" w:fill="17365D"/>
            <w:vAlign w:val="center"/>
          </w:tcPr>
          <w:p w14:paraId="710A06CB" w14:textId="77777777" w:rsidR="004B0C7C" w:rsidRDefault="00000000">
            <w:pPr>
              <w:spacing w:after="20"/>
            </w:pPr>
            <w:r>
              <w:rPr>
                <w:b/>
                <w:color w:val="FFFFFF"/>
                <w:sz w:val="15"/>
              </w:rPr>
              <w:t>Working definition</w:t>
            </w:r>
          </w:p>
        </w:tc>
        <w:tc>
          <w:tcPr>
            <w:tcW w:w="2448" w:type="dxa"/>
            <w:shd w:val="clear" w:color="auto" w:fill="17365D"/>
            <w:vAlign w:val="center"/>
          </w:tcPr>
          <w:p w14:paraId="28B38977" w14:textId="77777777" w:rsidR="004B0C7C" w:rsidRDefault="00000000">
            <w:pPr>
              <w:spacing w:after="20"/>
            </w:pPr>
            <w:r>
              <w:rPr>
                <w:b/>
                <w:color w:val="FFFFFF"/>
                <w:sz w:val="15"/>
              </w:rPr>
              <w:t>Management question</w:t>
            </w:r>
          </w:p>
        </w:tc>
        <w:tc>
          <w:tcPr>
            <w:tcW w:w="2448" w:type="dxa"/>
            <w:shd w:val="clear" w:color="auto" w:fill="17365D"/>
            <w:vAlign w:val="center"/>
          </w:tcPr>
          <w:p w14:paraId="0AAD6D7B" w14:textId="77777777" w:rsidR="004B0C7C" w:rsidRDefault="00000000">
            <w:pPr>
              <w:spacing w:after="20"/>
            </w:pPr>
            <w:r>
              <w:rPr>
                <w:b/>
                <w:color w:val="FFFFFF"/>
                <w:sz w:val="15"/>
              </w:rPr>
              <w:t>Validation required</w:t>
            </w:r>
          </w:p>
        </w:tc>
      </w:tr>
      <w:tr w:rsidR="004B0C7C" w14:paraId="7B4CD047" w14:textId="77777777">
        <w:trPr>
          <w:cantSplit/>
          <w:jc w:val="center"/>
        </w:trPr>
        <w:tc>
          <w:tcPr>
            <w:tcW w:w="1944" w:type="dxa"/>
            <w:vAlign w:val="center"/>
          </w:tcPr>
          <w:p w14:paraId="51EF92A1" w14:textId="77777777" w:rsidR="004B0C7C" w:rsidRDefault="00000000">
            <w:pPr>
              <w:spacing w:after="20"/>
            </w:pPr>
            <w:r>
              <w:rPr>
                <w:sz w:val="15"/>
              </w:rPr>
              <w:t>Cost deviation</w:t>
            </w:r>
          </w:p>
        </w:tc>
        <w:tc>
          <w:tcPr>
            <w:tcW w:w="3384" w:type="dxa"/>
            <w:vAlign w:val="center"/>
          </w:tcPr>
          <w:p w14:paraId="6ED8FE1B" w14:textId="77777777" w:rsidR="004B0C7C" w:rsidRDefault="00000000">
            <w:pPr>
              <w:spacing w:after="20"/>
            </w:pPr>
            <w:r>
              <w:rPr>
                <w:sz w:val="15"/>
              </w:rPr>
              <w:t>Reported variance between actual and planned/budgeted cost; confirm sign convention and unit</w:t>
            </w:r>
          </w:p>
        </w:tc>
        <w:tc>
          <w:tcPr>
            <w:tcW w:w="2448" w:type="dxa"/>
            <w:vAlign w:val="center"/>
          </w:tcPr>
          <w:p w14:paraId="159946ED" w14:textId="77777777" w:rsidR="004B0C7C" w:rsidRDefault="00000000">
            <w:pPr>
              <w:spacing w:after="20"/>
            </w:pPr>
            <w:r>
              <w:rPr>
                <w:sz w:val="15"/>
              </w:rPr>
              <w:t>Which projects or work packages need cost review?</w:t>
            </w:r>
          </w:p>
        </w:tc>
        <w:tc>
          <w:tcPr>
            <w:tcW w:w="2448" w:type="dxa"/>
            <w:vAlign w:val="center"/>
          </w:tcPr>
          <w:p w14:paraId="3442A1FA" w14:textId="77777777" w:rsidR="004B0C7C" w:rsidRDefault="00000000">
            <w:pPr>
              <w:spacing w:after="20"/>
            </w:pPr>
            <w:r>
              <w:rPr>
                <w:sz w:val="15"/>
              </w:rPr>
              <w:t>Confirm formula, currency, baseline and whether positive means over budget</w:t>
            </w:r>
          </w:p>
        </w:tc>
      </w:tr>
      <w:tr w:rsidR="004B0C7C" w14:paraId="05A3EC65" w14:textId="77777777">
        <w:trPr>
          <w:cantSplit/>
          <w:jc w:val="center"/>
        </w:trPr>
        <w:tc>
          <w:tcPr>
            <w:tcW w:w="1944" w:type="dxa"/>
            <w:shd w:val="clear" w:color="auto" w:fill="F1F5F9"/>
            <w:vAlign w:val="center"/>
          </w:tcPr>
          <w:p w14:paraId="4CDF398A" w14:textId="77777777" w:rsidR="004B0C7C" w:rsidRDefault="00000000">
            <w:pPr>
              <w:spacing w:after="20"/>
            </w:pPr>
            <w:r>
              <w:rPr>
                <w:sz w:val="15"/>
              </w:rPr>
              <w:t>Time deviation</w:t>
            </w:r>
          </w:p>
        </w:tc>
        <w:tc>
          <w:tcPr>
            <w:tcW w:w="3384" w:type="dxa"/>
            <w:shd w:val="clear" w:color="auto" w:fill="F1F5F9"/>
            <w:vAlign w:val="center"/>
          </w:tcPr>
          <w:p w14:paraId="2AAF45D1" w14:textId="77777777" w:rsidR="004B0C7C" w:rsidRDefault="00000000">
            <w:pPr>
              <w:spacing w:after="20"/>
            </w:pPr>
            <w:r>
              <w:rPr>
                <w:sz w:val="15"/>
              </w:rPr>
              <w:t>Reported variance between actual and planned schedule; confirm unit and sign convention</w:t>
            </w:r>
          </w:p>
        </w:tc>
        <w:tc>
          <w:tcPr>
            <w:tcW w:w="2448" w:type="dxa"/>
            <w:shd w:val="clear" w:color="auto" w:fill="F1F5F9"/>
            <w:vAlign w:val="center"/>
          </w:tcPr>
          <w:p w14:paraId="21161EDF" w14:textId="77777777" w:rsidR="004B0C7C" w:rsidRDefault="00000000">
            <w:pPr>
              <w:spacing w:after="20"/>
            </w:pPr>
            <w:r>
              <w:rPr>
                <w:sz w:val="15"/>
              </w:rPr>
              <w:t>Where is schedule performance deteriorating?</w:t>
            </w:r>
          </w:p>
        </w:tc>
        <w:tc>
          <w:tcPr>
            <w:tcW w:w="2448" w:type="dxa"/>
            <w:shd w:val="clear" w:color="auto" w:fill="F1F5F9"/>
            <w:vAlign w:val="center"/>
          </w:tcPr>
          <w:p w14:paraId="68AB1079" w14:textId="77777777" w:rsidR="004B0C7C" w:rsidRDefault="00000000">
            <w:pPr>
              <w:spacing w:after="20"/>
            </w:pPr>
            <w:r>
              <w:rPr>
                <w:sz w:val="15"/>
              </w:rPr>
              <w:t>Confirm whether value represents days, percentage or another measure</w:t>
            </w:r>
          </w:p>
        </w:tc>
      </w:tr>
      <w:tr w:rsidR="004B0C7C" w14:paraId="3615212B" w14:textId="77777777">
        <w:trPr>
          <w:cantSplit/>
          <w:jc w:val="center"/>
        </w:trPr>
        <w:tc>
          <w:tcPr>
            <w:tcW w:w="1944" w:type="dxa"/>
            <w:vAlign w:val="center"/>
          </w:tcPr>
          <w:p w14:paraId="7CB08A85" w14:textId="77777777" w:rsidR="004B0C7C" w:rsidRDefault="00000000">
            <w:pPr>
              <w:spacing w:after="20"/>
            </w:pPr>
            <w:r>
              <w:rPr>
                <w:sz w:val="15"/>
              </w:rPr>
              <w:t>Task progress</w:t>
            </w:r>
          </w:p>
        </w:tc>
        <w:tc>
          <w:tcPr>
            <w:tcW w:w="3384" w:type="dxa"/>
            <w:vAlign w:val="center"/>
          </w:tcPr>
          <w:p w14:paraId="1BBF1A7D" w14:textId="77777777" w:rsidR="004B0C7C" w:rsidRDefault="00000000">
            <w:pPr>
              <w:spacing w:after="20"/>
            </w:pPr>
            <w:r>
              <w:rPr>
                <w:sz w:val="15"/>
              </w:rPr>
              <w:t>Reported completion percentage</w:t>
            </w:r>
          </w:p>
        </w:tc>
        <w:tc>
          <w:tcPr>
            <w:tcW w:w="2448" w:type="dxa"/>
            <w:vAlign w:val="center"/>
          </w:tcPr>
          <w:p w14:paraId="0D67DECB" w14:textId="77777777" w:rsidR="004B0C7C" w:rsidRDefault="00000000">
            <w:pPr>
              <w:spacing w:after="20"/>
            </w:pPr>
            <w:r>
              <w:rPr>
                <w:sz w:val="15"/>
              </w:rPr>
              <w:t>Is progress moving as expected?</w:t>
            </w:r>
          </w:p>
        </w:tc>
        <w:tc>
          <w:tcPr>
            <w:tcW w:w="2448" w:type="dxa"/>
            <w:vAlign w:val="center"/>
          </w:tcPr>
          <w:p w14:paraId="64DAB9C2" w14:textId="77777777" w:rsidR="004B0C7C" w:rsidRDefault="00000000">
            <w:pPr>
              <w:spacing w:after="20"/>
            </w:pPr>
            <w:r>
              <w:rPr>
                <w:sz w:val="15"/>
              </w:rPr>
              <w:t>Check 0–100 range, update cadence and definition of completion</w:t>
            </w:r>
          </w:p>
        </w:tc>
      </w:tr>
      <w:tr w:rsidR="004B0C7C" w14:paraId="18AA82ED" w14:textId="77777777">
        <w:trPr>
          <w:cantSplit/>
          <w:jc w:val="center"/>
        </w:trPr>
        <w:tc>
          <w:tcPr>
            <w:tcW w:w="1944" w:type="dxa"/>
            <w:shd w:val="clear" w:color="auto" w:fill="F1F5F9"/>
            <w:vAlign w:val="center"/>
          </w:tcPr>
          <w:p w14:paraId="63A6325B" w14:textId="77777777" w:rsidR="004B0C7C" w:rsidRDefault="00000000">
            <w:pPr>
              <w:spacing w:after="20"/>
            </w:pPr>
            <w:r>
              <w:rPr>
                <w:sz w:val="15"/>
              </w:rPr>
              <w:t>Safety incidents</w:t>
            </w:r>
          </w:p>
        </w:tc>
        <w:tc>
          <w:tcPr>
            <w:tcW w:w="3384" w:type="dxa"/>
            <w:shd w:val="clear" w:color="auto" w:fill="F1F5F9"/>
            <w:vAlign w:val="center"/>
          </w:tcPr>
          <w:p w14:paraId="79E6AEB0" w14:textId="77777777" w:rsidR="004B0C7C" w:rsidRDefault="00000000">
            <w:pPr>
              <w:spacing w:after="20"/>
            </w:pPr>
            <w:r>
              <w:rPr>
                <w:sz w:val="15"/>
              </w:rPr>
              <w:t>Count of recorded safety incidents over a defined period</w:t>
            </w:r>
          </w:p>
        </w:tc>
        <w:tc>
          <w:tcPr>
            <w:tcW w:w="2448" w:type="dxa"/>
            <w:shd w:val="clear" w:color="auto" w:fill="F1F5F9"/>
            <w:vAlign w:val="center"/>
          </w:tcPr>
          <w:p w14:paraId="21C889C7" w14:textId="77777777" w:rsidR="004B0C7C" w:rsidRDefault="00000000">
            <w:pPr>
              <w:spacing w:after="20"/>
            </w:pPr>
            <w:r>
              <w:rPr>
                <w:sz w:val="15"/>
              </w:rPr>
              <w:t>Where should safety review or corrective action be prioritized?</w:t>
            </w:r>
          </w:p>
        </w:tc>
        <w:tc>
          <w:tcPr>
            <w:tcW w:w="2448" w:type="dxa"/>
            <w:shd w:val="clear" w:color="auto" w:fill="F1F5F9"/>
            <w:vAlign w:val="center"/>
          </w:tcPr>
          <w:p w14:paraId="255A6A3E" w14:textId="77777777" w:rsidR="004B0C7C" w:rsidRDefault="00000000">
            <w:pPr>
              <w:spacing w:after="20"/>
            </w:pPr>
            <w:r>
              <w:rPr>
                <w:sz w:val="15"/>
              </w:rPr>
              <w:t>Confirm incident definition, severity and reporting completeness</w:t>
            </w:r>
          </w:p>
        </w:tc>
      </w:tr>
      <w:tr w:rsidR="004B0C7C" w14:paraId="70C8A65A" w14:textId="77777777">
        <w:trPr>
          <w:cantSplit/>
          <w:jc w:val="center"/>
        </w:trPr>
        <w:tc>
          <w:tcPr>
            <w:tcW w:w="1944" w:type="dxa"/>
            <w:vAlign w:val="center"/>
          </w:tcPr>
          <w:p w14:paraId="606D6CA0" w14:textId="77777777" w:rsidR="004B0C7C" w:rsidRDefault="00000000">
            <w:pPr>
              <w:spacing w:after="20"/>
            </w:pPr>
            <w:r>
              <w:rPr>
                <w:sz w:val="15"/>
              </w:rPr>
              <w:t>Risk score</w:t>
            </w:r>
          </w:p>
        </w:tc>
        <w:tc>
          <w:tcPr>
            <w:tcW w:w="3384" w:type="dxa"/>
            <w:vAlign w:val="center"/>
          </w:tcPr>
          <w:p w14:paraId="60ED2E9C" w14:textId="77777777" w:rsidR="004B0C7C" w:rsidRDefault="00000000">
            <w:pPr>
              <w:spacing w:after="20"/>
            </w:pPr>
            <w:r>
              <w:rPr>
                <w:sz w:val="15"/>
              </w:rPr>
              <w:t>Source-provided risk indicator</w:t>
            </w:r>
          </w:p>
        </w:tc>
        <w:tc>
          <w:tcPr>
            <w:tcW w:w="2448" w:type="dxa"/>
            <w:vAlign w:val="center"/>
          </w:tcPr>
          <w:p w14:paraId="0621F383" w14:textId="77777777" w:rsidR="004B0C7C" w:rsidRDefault="00000000">
            <w:pPr>
              <w:spacing w:after="20"/>
            </w:pPr>
            <w:r>
              <w:rPr>
                <w:sz w:val="15"/>
              </w:rPr>
              <w:t>Which records require investigation?</w:t>
            </w:r>
          </w:p>
        </w:tc>
        <w:tc>
          <w:tcPr>
            <w:tcW w:w="2448" w:type="dxa"/>
            <w:vAlign w:val="center"/>
          </w:tcPr>
          <w:p w14:paraId="5F879E16" w14:textId="77777777" w:rsidR="004B0C7C" w:rsidRDefault="00000000">
            <w:pPr>
              <w:spacing w:after="20"/>
            </w:pPr>
            <w:r>
              <w:rPr>
                <w:sz w:val="15"/>
              </w:rPr>
              <w:t>Obtain scoring scale, interpretation and threshold owner</w:t>
            </w:r>
          </w:p>
        </w:tc>
      </w:tr>
      <w:tr w:rsidR="004B0C7C" w14:paraId="4AEA19D1" w14:textId="77777777">
        <w:trPr>
          <w:cantSplit/>
          <w:jc w:val="center"/>
        </w:trPr>
        <w:tc>
          <w:tcPr>
            <w:tcW w:w="1944" w:type="dxa"/>
            <w:shd w:val="clear" w:color="auto" w:fill="F1F5F9"/>
            <w:vAlign w:val="center"/>
          </w:tcPr>
          <w:p w14:paraId="5CA2CE45" w14:textId="77777777" w:rsidR="004B0C7C" w:rsidRDefault="00000000">
            <w:pPr>
              <w:spacing w:after="20"/>
            </w:pPr>
            <w:r>
              <w:rPr>
                <w:sz w:val="15"/>
              </w:rPr>
              <w:t>Material shortage alert</w:t>
            </w:r>
          </w:p>
        </w:tc>
        <w:tc>
          <w:tcPr>
            <w:tcW w:w="3384" w:type="dxa"/>
            <w:shd w:val="clear" w:color="auto" w:fill="F1F5F9"/>
            <w:vAlign w:val="center"/>
          </w:tcPr>
          <w:p w14:paraId="6CD00568" w14:textId="77777777" w:rsidR="004B0C7C" w:rsidRDefault="00000000">
            <w:pPr>
              <w:spacing w:after="20"/>
            </w:pPr>
            <w:r>
              <w:rPr>
                <w:sz w:val="15"/>
              </w:rPr>
              <w:t>Source-provided shortage flag or alert</w:t>
            </w:r>
          </w:p>
        </w:tc>
        <w:tc>
          <w:tcPr>
            <w:tcW w:w="2448" w:type="dxa"/>
            <w:shd w:val="clear" w:color="auto" w:fill="F1F5F9"/>
            <w:vAlign w:val="center"/>
          </w:tcPr>
          <w:p w14:paraId="036C468B" w14:textId="77777777" w:rsidR="004B0C7C" w:rsidRDefault="00000000">
            <w:pPr>
              <w:spacing w:after="20"/>
            </w:pPr>
            <w:r>
              <w:rPr>
                <w:sz w:val="15"/>
              </w:rPr>
              <w:t>Where might material availability disrupt work?</w:t>
            </w:r>
          </w:p>
        </w:tc>
        <w:tc>
          <w:tcPr>
            <w:tcW w:w="2448" w:type="dxa"/>
            <w:shd w:val="clear" w:color="auto" w:fill="F1F5F9"/>
            <w:vAlign w:val="center"/>
          </w:tcPr>
          <w:p w14:paraId="6BDAFB5D" w14:textId="77777777" w:rsidR="004B0C7C" w:rsidRDefault="00000000">
            <w:pPr>
              <w:spacing w:after="20"/>
            </w:pPr>
            <w:r>
              <w:rPr>
                <w:sz w:val="15"/>
              </w:rPr>
              <w:t>Confirm valid values and how alerts are generated</w:t>
            </w:r>
          </w:p>
        </w:tc>
      </w:tr>
      <w:tr w:rsidR="004B0C7C" w14:paraId="7D84176B" w14:textId="77777777">
        <w:trPr>
          <w:cantSplit/>
          <w:jc w:val="center"/>
        </w:trPr>
        <w:tc>
          <w:tcPr>
            <w:tcW w:w="1944" w:type="dxa"/>
            <w:vAlign w:val="center"/>
          </w:tcPr>
          <w:p w14:paraId="11ED4AA9" w14:textId="77777777" w:rsidR="004B0C7C" w:rsidRDefault="00000000">
            <w:pPr>
              <w:spacing w:after="20"/>
            </w:pPr>
            <w:r>
              <w:rPr>
                <w:sz w:val="15"/>
              </w:rPr>
              <w:t>Equipment/resource utilization</w:t>
            </w:r>
          </w:p>
        </w:tc>
        <w:tc>
          <w:tcPr>
            <w:tcW w:w="3384" w:type="dxa"/>
            <w:vAlign w:val="center"/>
          </w:tcPr>
          <w:p w14:paraId="5755DFCE" w14:textId="77777777" w:rsidR="004B0C7C" w:rsidRDefault="00000000">
            <w:pPr>
              <w:spacing w:after="20"/>
            </w:pPr>
            <w:r>
              <w:rPr>
                <w:sz w:val="15"/>
              </w:rPr>
              <w:t>Reported percentage of time or capacity used</w:t>
            </w:r>
          </w:p>
        </w:tc>
        <w:tc>
          <w:tcPr>
            <w:tcW w:w="2448" w:type="dxa"/>
            <w:vAlign w:val="center"/>
          </w:tcPr>
          <w:p w14:paraId="1477B456" w14:textId="77777777" w:rsidR="004B0C7C" w:rsidRDefault="00000000">
            <w:pPr>
              <w:spacing w:after="20"/>
            </w:pPr>
            <w:r>
              <w:rPr>
                <w:sz w:val="15"/>
              </w:rPr>
              <w:t>Are resources underused or heavily loaded?</w:t>
            </w:r>
          </w:p>
        </w:tc>
        <w:tc>
          <w:tcPr>
            <w:tcW w:w="2448" w:type="dxa"/>
            <w:vAlign w:val="center"/>
          </w:tcPr>
          <w:p w14:paraId="4F4DFA31" w14:textId="77777777" w:rsidR="004B0C7C" w:rsidRDefault="00000000">
            <w:pPr>
              <w:spacing w:after="20"/>
            </w:pPr>
            <w:r>
              <w:rPr>
                <w:sz w:val="15"/>
              </w:rPr>
              <w:t>Confirm numerator, denominator, unit and expected range</w:t>
            </w:r>
          </w:p>
        </w:tc>
      </w:tr>
      <w:tr w:rsidR="004B0C7C" w14:paraId="50CB2347" w14:textId="77777777">
        <w:trPr>
          <w:cantSplit/>
          <w:jc w:val="center"/>
        </w:trPr>
        <w:tc>
          <w:tcPr>
            <w:tcW w:w="1944" w:type="dxa"/>
            <w:shd w:val="clear" w:color="auto" w:fill="F1F5F9"/>
            <w:vAlign w:val="center"/>
          </w:tcPr>
          <w:p w14:paraId="4F835A1B" w14:textId="77777777" w:rsidR="004B0C7C" w:rsidRDefault="00000000">
            <w:pPr>
              <w:spacing w:after="20"/>
            </w:pPr>
            <w:r>
              <w:rPr>
                <w:sz w:val="15"/>
              </w:rPr>
              <w:t>Energy consumption</w:t>
            </w:r>
          </w:p>
        </w:tc>
        <w:tc>
          <w:tcPr>
            <w:tcW w:w="3384" w:type="dxa"/>
            <w:shd w:val="clear" w:color="auto" w:fill="F1F5F9"/>
            <w:vAlign w:val="center"/>
          </w:tcPr>
          <w:p w14:paraId="7D24AFEC" w14:textId="77777777" w:rsidR="004B0C7C" w:rsidRDefault="00000000">
            <w:pPr>
              <w:spacing w:after="20"/>
            </w:pPr>
            <w:r>
              <w:rPr>
                <w:sz w:val="15"/>
              </w:rPr>
              <w:t>Reported energy consumed, with unit confirmed</w:t>
            </w:r>
          </w:p>
        </w:tc>
        <w:tc>
          <w:tcPr>
            <w:tcW w:w="2448" w:type="dxa"/>
            <w:shd w:val="clear" w:color="auto" w:fill="F1F5F9"/>
            <w:vAlign w:val="center"/>
          </w:tcPr>
          <w:p w14:paraId="037DE314" w14:textId="77777777" w:rsidR="004B0C7C" w:rsidRDefault="00000000">
            <w:pPr>
              <w:spacing w:after="20"/>
            </w:pPr>
            <w:r>
              <w:rPr>
                <w:sz w:val="15"/>
              </w:rPr>
              <w:t>How does energy use vary with site activity?</w:t>
            </w:r>
          </w:p>
        </w:tc>
        <w:tc>
          <w:tcPr>
            <w:tcW w:w="2448" w:type="dxa"/>
            <w:shd w:val="clear" w:color="auto" w:fill="F1F5F9"/>
            <w:vAlign w:val="center"/>
          </w:tcPr>
          <w:p w14:paraId="0F7D30F0" w14:textId="77777777" w:rsidR="004B0C7C" w:rsidRDefault="00000000">
            <w:pPr>
              <w:spacing w:after="20"/>
            </w:pPr>
            <w:r>
              <w:rPr>
                <w:sz w:val="15"/>
              </w:rPr>
              <w:t>Confirm unit, meter/source and reporting interval</w:t>
            </w:r>
          </w:p>
        </w:tc>
      </w:tr>
    </w:tbl>
    <w:p w14:paraId="1C154E8F" w14:textId="77777777" w:rsidR="004B0C7C" w:rsidRDefault="004B0C7C">
      <w:pPr>
        <w:spacing w:after="20"/>
      </w:pPr>
    </w:p>
    <w:p w14:paraId="78738FC6" w14:textId="77777777" w:rsidR="004B0C7C" w:rsidRDefault="00000000">
      <w:r>
        <w:t>KPI definitions should be approved by the relevant business owner before publication. A KPI dictionary should document name, purpose, formula, unit, source, refresh frequency, owner, thresholds, exclusions and known limitations. Thresholds must be agreed with the business rather than chosen arbitrarily.</w:t>
      </w:r>
    </w:p>
    <w:p w14:paraId="045F983E" w14:textId="77777777" w:rsidR="004B0C7C" w:rsidRDefault="00000000">
      <w:pPr>
        <w:pStyle w:val="Heading1"/>
      </w:pPr>
      <w:r>
        <w:t>8. Proposed BI Use Cases</w:t>
      </w:r>
    </w:p>
    <w:p w14:paraId="626038FF" w14:textId="77777777" w:rsidR="004B0C7C" w:rsidRDefault="00000000">
      <w:pPr>
        <w:pStyle w:val="Heading2"/>
      </w:pPr>
      <w:r>
        <w:t>Use Case 1 — Cost and Schedule Control</w:t>
      </w:r>
    </w:p>
    <w:p w14:paraId="20776A80" w14:textId="77777777" w:rsidR="004B0C7C" w:rsidRDefault="00000000">
      <w:r>
        <w:t>Problem: project managers may discover budget or schedule slippage only after reviewing multiple reports. Proposed BI response: organize cost deviation, time deviation and task progress by available reporting period and valid project/work-package dimensions. Use exception tables and trends to direct attention to records outside agreed thresholds.</w:t>
      </w:r>
    </w:p>
    <w:p w14:paraId="203D7E81" w14:textId="77777777" w:rsidR="004B0C7C" w:rsidRDefault="00000000">
      <w:r>
        <w:t>Expected business value: earlier investigation, more consistent progress reviews and clearer accountability for corrective actions.</w:t>
      </w:r>
    </w:p>
    <w:p w14:paraId="722AD1B5" w14:textId="77777777" w:rsidR="004B0C7C" w:rsidRDefault="00000000">
      <w:r>
        <w:t>Data dependency: a reliable project or work-package identifier, agreed baselines, and documented units/sign conventions. If those are unavailable, analysis must be limited to the level supported by the source.</w:t>
      </w:r>
    </w:p>
    <w:p w14:paraId="6FBC0B74" w14:textId="77777777" w:rsidR="004B0C7C" w:rsidRDefault="00000000">
      <w:pPr>
        <w:pStyle w:val="Heading2"/>
      </w:pPr>
      <w:r>
        <w:lastRenderedPageBreak/>
        <w:t>Use Case 2 — Safety and Operational Risk Monitoring</w:t>
      </w:r>
    </w:p>
    <w:p w14:paraId="1C106757" w14:textId="77777777" w:rsidR="004B0C7C" w:rsidRDefault="00000000">
      <w:r>
        <w:t>Problem: safety incidents and operational risk indicators may be difficult to compare across time and operating conditions. Proposed BI response: trend safety incidents and risk scores over time, review high-risk observations, and provide drill-downs where valid site, shift or sensor context exists.</w:t>
      </w:r>
    </w:p>
    <w:p w14:paraId="3C59345F" w14:textId="77777777" w:rsidR="004B0C7C" w:rsidRDefault="00000000">
      <w:r>
        <w:t>Expected business value: more structured safety reviews and better visibility of recurring risk patterns. BI should support—not replace—professional safety judgement or mandatory reporting.</w:t>
      </w:r>
    </w:p>
    <w:p w14:paraId="453AEA17" w14:textId="77777777" w:rsidR="004B0C7C" w:rsidRDefault="00000000">
      <w:r>
        <w:t>Data dependency: a documented risk-score scale, incident definitions, sufficient contextual fields and checks for missing or under-reported incidents.</w:t>
      </w:r>
    </w:p>
    <w:p w14:paraId="00335C6F" w14:textId="77777777" w:rsidR="004B0C7C" w:rsidRDefault="00000000">
      <w:pPr>
        <w:pStyle w:val="Heading2"/>
      </w:pPr>
      <w:r>
        <w:t>Use Case 3 — Resource, Equipment and Material Efficiency</w:t>
      </w:r>
    </w:p>
    <w:p w14:paraId="4D6DCD43" w14:textId="77777777" w:rsidR="004B0C7C" w:rsidRDefault="00000000">
      <w:r>
        <w:t>Problem: material shortages, equipment under-utilization and energy consumption can affect productivity and cost. Proposed BI response: examine material usage, shortage alerts, equipment/resource utilization, machinery status, worker count and energy consumption. Compare trends only where observations have compatible time intervals and comparable units.</w:t>
      </w:r>
    </w:p>
    <w:p w14:paraId="0868735D" w14:textId="77777777" w:rsidR="004B0C7C" w:rsidRDefault="00000000">
      <w:r>
        <w:t>Expected business value: better-targeted investigations into resource bottlenecks, material planning and equipment use.</w:t>
      </w:r>
    </w:p>
    <w:p w14:paraId="2A1E677D" w14:textId="77777777" w:rsidR="004B0C7C" w:rsidRDefault="00000000">
      <w:r>
        <w:t>Data dependency: confirmed measurement units, equipment/sensor identifiers, reporting cadence and context that distinguishes one site or activity from another.</w:t>
      </w:r>
    </w:p>
    <w:p w14:paraId="6B7502CB" w14:textId="77777777" w:rsidR="004B0C7C" w:rsidRDefault="00000000">
      <w:pPr>
        <w:pStyle w:val="Heading1"/>
      </w:pPr>
      <w:r>
        <w:t>9. Proposed Power BI Integration Approach</w:t>
      </w:r>
    </w:p>
    <w:p w14:paraId="02F92487" w14:textId="77777777" w:rsidR="004B0C7C" w:rsidRDefault="00000000">
      <w:r>
        <w:t>The recommended high-level flow is:</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4B0C7C" w14:paraId="1238F82A" w14:textId="77777777">
        <w:trPr>
          <w:cantSplit/>
          <w:jc w:val="center"/>
        </w:trPr>
        <w:tc>
          <w:tcPr>
            <w:tcW w:w="1999" w:type="dxa"/>
            <w:shd w:val="clear" w:color="auto" w:fill="E7F2F3"/>
          </w:tcPr>
          <w:p w14:paraId="2AFB0F68" w14:textId="77777777" w:rsidR="004B0C7C" w:rsidRDefault="00000000">
            <w:pPr>
              <w:spacing w:after="40"/>
              <w:jc w:val="center"/>
            </w:pPr>
            <w:r>
              <w:rPr>
                <w:b/>
                <w:color w:val="007F86"/>
                <w:sz w:val="16"/>
              </w:rPr>
              <w:t>1. Sources</w:t>
            </w:r>
            <w:r>
              <w:rPr>
                <w:b/>
                <w:color w:val="007F86"/>
                <w:sz w:val="16"/>
              </w:rPr>
              <w:br/>
            </w:r>
            <w:r>
              <w:rPr>
                <w:sz w:val="14"/>
              </w:rPr>
              <w:t>CSV files and, later, approved operational systems</w:t>
            </w:r>
          </w:p>
        </w:tc>
        <w:tc>
          <w:tcPr>
            <w:tcW w:w="1999" w:type="dxa"/>
            <w:shd w:val="clear" w:color="auto" w:fill="F1F5F9"/>
          </w:tcPr>
          <w:p w14:paraId="7C8AE3BE" w14:textId="77777777" w:rsidR="004B0C7C" w:rsidRDefault="00000000">
            <w:pPr>
              <w:spacing w:after="40"/>
              <w:jc w:val="center"/>
            </w:pPr>
            <w:r>
              <w:rPr>
                <w:b/>
                <w:color w:val="007F86"/>
                <w:sz w:val="16"/>
              </w:rPr>
              <w:t>2. Prepare</w:t>
            </w:r>
            <w:r>
              <w:rPr>
                <w:b/>
                <w:color w:val="007F86"/>
                <w:sz w:val="16"/>
              </w:rPr>
              <w:br/>
            </w:r>
            <w:r>
              <w:rPr>
                <w:sz w:val="14"/>
              </w:rPr>
              <w:t>Power Query: types, standardization, validation</w:t>
            </w:r>
          </w:p>
        </w:tc>
        <w:tc>
          <w:tcPr>
            <w:tcW w:w="1999" w:type="dxa"/>
            <w:shd w:val="clear" w:color="auto" w:fill="E7F2F3"/>
          </w:tcPr>
          <w:p w14:paraId="774FF47E" w14:textId="77777777" w:rsidR="004B0C7C" w:rsidRDefault="00000000">
            <w:pPr>
              <w:spacing w:after="40"/>
              <w:jc w:val="center"/>
            </w:pPr>
            <w:r>
              <w:rPr>
                <w:b/>
                <w:color w:val="007F86"/>
                <w:sz w:val="16"/>
              </w:rPr>
              <w:t>3. Model</w:t>
            </w:r>
            <w:r>
              <w:rPr>
                <w:b/>
                <w:color w:val="007F86"/>
                <w:sz w:val="16"/>
              </w:rPr>
              <w:br/>
            </w:r>
            <w:r>
              <w:rPr>
                <w:sz w:val="14"/>
              </w:rPr>
              <w:t>Documented tables, keys and relationships</w:t>
            </w:r>
          </w:p>
        </w:tc>
        <w:tc>
          <w:tcPr>
            <w:tcW w:w="1999" w:type="dxa"/>
            <w:shd w:val="clear" w:color="auto" w:fill="F1F5F9"/>
          </w:tcPr>
          <w:p w14:paraId="51638B5F" w14:textId="77777777" w:rsidR="004B0C7C" w:rsidRDefault="00000000">
            <w:pPr>
              <w:spacing w:after="40"/>
              <w:jc w:val="center"/>
            </w:pPr>
            <w:r>
              <w:rPr>
                <w:b/>
                <w:color w:val="007F86"/>
                <w:sz w:val="16"/>
              </w:rPr>
              <w:t>4. Analyze</w:t>
            </w:r>
            <w:r>
              <w:rPr>
                <w:b/>
                <w:color w:val="007F86"/>
                <w:sz w:val="16"/>
              </w:rPr>
              <w:br/>
            </w:r>
            <w:r>
              <w:rPr>
                <w:sz w:val="14"/>
              </w:rPr>
              <w:t>Approved KPI definitions and DAX measures</w:t>
            </w:r>
          </w:p>
        </w:tc>
        <w:tc>
          <w:tcPr>
            <w:tcW w:w="1999" w:type="dxa"/>
            <w:shd w:val="clear" w:color="auto" w:fill="E7F2F3"/>
          </w:tcPr>
          <w:p w14:paraId="72E69041" w14:textId="77777777" w:rsidR="004B0C7C" w:rsidRDefault="00000000">
            <w:pPr>
              <w:spacing w:after="40"/>
              <w:jc w:val="center"/>
            </w:pPr>
            <w:r>
              <w:rPr>
                <w:b/>
                <w:color w:val="007F86"/>
                <w:sz w:val="16"/>
              </w:rPr>
              <w:t>5. Share</w:t>
            </w:r>
            <w:r>
              <w:rPr>
                <w:b/>
                <w:color w:val="007F86"/>
                <w:sz w:val="16"/>
              </w:rPr>
              <w:br/>
            </w:r>
            <w:r>
              <w:rPr>
                <w:sz w:val="14"/>
              </w:rPr>
              <w:t>Validated reports, controlled access and refresh</w:t>
            </w:r>
          </w:p>
        </w:tc>
      </w:tr>
    </w:tbl>
    <w:p w14:paraId="2E952220" w14:textId="77777777" w:rsidR="004B0C7C" w:rsidRDefault="004B0C7C"/>
    <w:p w14:paraId="2A4AE850" w14:textId="77777777" w:rsidR="004B0C7C" w:rsidRDefault="00000000">
      <w:pPr>
        <w:pStyle w:val="ListNumber"/>
        <w:spacing w:after="40"/>
      </w:pPr>
      <w:r>
        <w:t>Confirm business questions, source owners, refresh frequency and data access permissions.</w:t>
      </w:r>
    </w:p>
    <w:p w14:paraId="16BF11DE" w14:textId="77777777" w:rsidR="004B0C7C" w:rsidRDefault="00000000">
      <w:pPr>
        <w:pStyle w:val="ListNumber"/>
        <w:spacing w:after="40"/>
      </w:pPr>
      <w:r>
        <w:t>Profile each file separately; standardize column names, data types, units and categories in Power Query.</w:t>
      </w:r>
    </w:p>
    <w:p w14:paraId="3B1D2C18" w14:textId="77777777" w:rsidR="004B0C7C" w:rsidRDefault="00000000">
      <w:pPr>
        <w:pStyle w:val="ListNumber"/>
        <w:spacing w:after="40"/>
      </w:pPr>
      <w:r>
        <w:t>Document the grain of each table and identify valid keys before creating relationships. Do not create a relationship merely because column names look similar.</w:t>
      </w:r>
    </w:p>
    <w:p w14:paraId="69316244" w14:textId="77777777" w:rsidR="004B0C7C" w:rsidRDefault="00000000">
      <w:pPr>
        <w:pStyle w:val="ListNumber"/>
        <w:spacing w:after="40"/>
      </w:pPr>
      <w:r>
        <w:t>Create a small, documented model and validate measures against hand-calculated examples.</w:t>
      </w:r>
    </w:p>
    <w:p w14:paraId="2693CAD5" w14:textId="77777777" w:rsidR="004B0C7C" w:rsidRDefault="00000000">
      <w:pPr>
        <w:pStyle w:val="ListNumber"/>
        <w:spacing w:after="40"/>
      </w:pPr>
      <w:r>
        <w:t>Design role-relevant reports only after the KPI definitions and data quality are accepted by stakeholders.</w:t>
      </w:r>
    </w:p>
    <w:p w14:paraId="0ED91816" w14:textId="77777777" w:rsidR="004B0C7C" w:rsidRDefault="00000000">
      <w:pPr>
        <w:pStyle w:val="ListNumber"/>
        <w:spacing w:after="40"/>
      </w:pPr>
      <w:r>
        <w:t>Publish to Power BI Service only after security, licensing, refresh and access arrangements are approved.</w:t>
      </w:r>
    </w:p>
    <w:p w14:paraId="397DBB24" w14:textId="77777777" w:rsidR="004B0C7C" w:rsidRDefault="00000000">
      <w:pPr>
        <w:pStyle w:val="Heading1"/>
      </w:pPr>
      <w:r>
        <w:t>10. Implementation Roadmap</w:t>
      </w:r>
    </w:p>
    <w:tbl>
      <w:tblPr>
        <w:tblStyle w:val="TableGrid"/>
        <w:tblW w:w="0" w:type="auto"/>
        <w:jc w:val="center"/>
        <w:tblLook w:val="04A0" w:firstRow="1" w:lastRow="0" w:firstColumn="1" w:lastColumn="0" w:noHBand="0" w:noVBand="1"/>
      </w:tblPr>
      <w:tblGrid>
        <w:gridCol w:w="1438"/>
        <w:gridCol w:w="4961"/>
        <w:gridCol w:w="3811"/>
      </w:tblGrid>
      <w:tr w:rsidR="004B0C7C" w14:paraId="549198BF" w14:textId="77777777">
        <w:trPr>
          <w:cantSplit/>
          <w:jc w:val="center"/>
        </w:trPr>
        <w:tc>
          <w:tcPr>
            <w:tcW w:w="1440" w:type="dxa"/>
            <w:shd w:val="clear" w:color="auto" w:fill="17365D"/>
            <w:vAlign w:val="center"/>
          </w:tcPr>
          <w:p w14:paraId="278121EE" w14:textId="77777777" w:rsidR="004B0C7C" w:rsidRDefault="00000000">
            <w:pPr>
              <w:spacing w:after="20"/>
            </w:pPr>
            <w:r>
              <w:rPr>
                <w:b/>
                <w:color w:val="FFFFFF"/>
                <w:sz w:val="16"/>
              </w:rPr>
              <w:t>Phase</w:t>
            </w:r>
          </w:p>
        </w:tc>
        <w:tc>
          <w:tcPr>
            <w:tcW w:w="4968" w:type="dxa"/>
            <w:shd w:val="clear" w:color="auto" w:fill="17365D"/>
            <w:vAlign w:val="center"/>
          </w:tcPr>
          <w:p w14:paraId="1FFF76BD" w14:textId="77777777" w:rsidR="004B0C7C" w:rsidRDefault="00000000">
            <w:pPr>
              <w:spacing w:after="20"/>
            </w:pPr>
            <w:r>
              <w:rPr>
                <w:b/>
                <w:color w:val="FFFFFF"/>
                <w:sz w:val="16"/>
              </w:rPr>
              <w:t>Main activities</w:t>
            </w:r>
          </w:p>
        </w:tc>
        <w:tc>
          <w:tcPr>
            <w:tcW w:w="3816" w:type="dxa"/>
            <w:shd w:val="clear" w:color="auto" w:fill="17365D"/>
            <w:vAlign w:val="center"/>
          </w:tcPr>
          <w:p w14:paraId="267AEAE2" w14:textId="77777777" w:rsidR="004B0C7C" w:rsidRDefault="00000000">
            <w:pPr>
              <w:spacing w:after="20"/>
            </w:pPr>
            <w:r>
              <w:rPr>
                <w:b/>
                <w:color w:val="FFFFFF"/>
                <w:sz w:val="16"/>
              </w:rPr>
              <w:t>Deliverable / exit criterion</w:t>
            </w:r>
          </w:p>
        </w:tc>
      </w:tr>
      <w:tr w:rsidR="004B0C7C" w14:paraId="236E22CE" w14:textId="77777777">
        <w:trPr>
          <w:cantSplit/>
          <w:jc w:val="center"/>
        </w:trPr>
        <w:tc>
          <w:tcPr>
            <w:tcW w:w="1440" w:type="dxa"/>
            <w:vAlign w:val="center"/>
          </w:tcPr>
          <w:p w14:paraId="709DBD83" w14:textId="77777777" w:rsidR="004B0C7C" w:rsidRDefault="00000000">
            <w:pPr>
              <w:spacing w:after="20"/>
            </w:pPr>
            <w:r>
              <w:rPr>
                <w:sz w:val="16"/>
              </w:rPr>
              <w:t>1. Discover</w:t>
            </w:r>
          </w:p>
        </w:tc>
        <w:tc>
          <w:tcPr>
            <w:tcW w:w="4968" w:type="dxa"/>
            <w:vAlign w:val="center"/>
          </w:tcPr>
          <w:p w14:paraId="6E7C3A88" w14:textId="77777777" w:rsidR="004B0C7C" w:rsidRDefault="00000000">
            <w:pPr>
              <w:spacing w:after="20"/>
            </w:pPr>
            <w:r>
              <w:rPr>
                <w:sz w:val="16"/>
              </w:rPr>
              <w:t>Interview project, site, finance, procurement and safety stakeholders; confirm decisions to support</w:t>
            </w:r>
          </w:p>
        </w:tc>
        <w:tc>
          <w:tcPr>
            <w:tcW w:w="3816" w:type="dxa"/>
            <w:vAlign w:val="center"/>
          </w:tcPr>
          <w:p w14:paraId="2EDE5BA2" w14:textId="77777777" w:rsidR="004B0C7C" w:rsidRDefault="00000000">
            <w:pPr>
              <w:spacing w:after="20"/>
            </w:pPr>
            <w:r>
              <w:rPr>
                <w:sz w:val="16"/>
              </w:rPr>
              <w:t>Agreed business questions and KPI owners</w:t>
            </w:r>
          </w:p>
        </w:tc>
      </w:tr>
      <w:tr w:rsidR="004B0C7C" w14:paraId="5508C1BC" w14:textId="77777777">
        <w:trPr>
          <w:cantSplit/>
          <w:jc w:val="center"/>
        </w:trPr>
        <w:tc>
          <w:tcPr>
            <w:tcW w:w="1440" w:type="dxa"/>
            <w:shd w:val="clear" w:color="auto" w:fill="F1F5F9"/>
            <w:vAlign w:val="center"/>
          </w:tcPr>
          <w:p w14:paraId="533A0137" w14:textId="77777777" w:rsidR="004B0C7C" w:rsidRDefault="00000000">
            <w:pPr>
              <w:spacing w:after="20"/>
            </w:pPr>
            <w:r>
              <w:rPr>
                <w:sz w:val="16"/>
              </w:rPr>
              <w:t>2. Profile data</w:t>
            </w:r>
          </w:p>
        </w:tc>
        <w:tc>
          <w:tcPr>
            <w:tcW w:w="4968" w:type="dxa"/>
            <w:shd w:val="clear" w:color="auto" w:fill="F1F5F9"/>
            <w:vAlign w:val="center"/>
          </w:tcPr>
          <w:p w14:paraId="734D86A6" w14:textId="77777777" w:rsidR="004B0C7C" w:rsidRDefault="00000000">
            <w:pPr>
              <w:spacing w:after="20"/>
            </w:pPr>
            <w:r>
              <w:rPr>
                <w:sz w:val="16"/>
              </w:rPr>
              <w:t>Inspect schema, ranges, timestamps, keys, categories, quality and coverage</w:t>
            </w:r>
          </w:p>
        </w:tc>
        <w:tc>
          <w:tcPr>
            <w:tcW w:w="3816" w:type="dxa"/>
            <w:shd w:val="clear" w:color="auto" w:fill="F1F5F9"/>
            <w:vAlign w:val="center"/>
          </w:tcPr>
          <w:p w14:paraId="00338F30" w14:textId="77777777" w:rsidR="004B0C7C" w:rsidRDefault="00000000">
            <w:pPr>
              <w:spacing w:after="20"/>
            </w:pPr>
            <w:r>
              <w:rPr>
                <w:sz w:val="16"/>
              </w:rPr>
              <w:t>Data profile and issue log</w:t>
            </w:r>
          </w:p>
        </w:tc>
      </w:tr>
      <w:tr w:rsidR="004B0C7C" w14:paraId="08822086" w14:textId="77777777">
        <w:trPr>
          <w:cantSplit/>
          <w:jc w:val="center"/>
        </w:trPr>
        <w:tc>
          <w:tcPr>
            <w:tcW w:w="1440" w:type="dxa"/>
            <w:vAlign w:val="center"/>
          </w:tcPr>
          <w:p w14:paraId="4BFD23F6" w14:textId="77777777" w:rsidR="004B0C7C" w:rsidRDefault="00000000">
            <w:pPr>
              <w:spacing w:after="20"/>
            </w:pPr>
            <w:r>
              <w:rPr>
                <w:sz w:val="16"/>
              </w:rPr>
              <w:t>3. Prepare and model</w:t>
            </w:r>
          </w:p>
        </w:tc>
        <w:tc>
          <w:tcPr>
            <w:tcW w:w="4968" w:type="dxa"/>
            <w:vAlign w:val="center"/>
          </w:tcPr>
          <w:p w14:paraId="4959745A" w14:textId="77777777" w:rsidR="004B0C7C" w:rsidRDefault="00000000">
            <w:pPr>
              <w:spacing w:after="20"/>
            </w:pPr>
            <w:r>
              <w:rPr>
                <w:sz w:val="16"/>
              </w:rPr>
              <w:t>Apply repeatable transformations; define grain and valid relationships</w:t>
            </w:r>
          </w:p>
        </w:tc>
        <w:tc>
          <w:tcPr>
            <w:tcW w:w="3816" w:type="dxa"/>
            <w:vAlign w:val="center"/>
          </w:tcPr>
          <w:p w14:paraId="07D16E53" w14:textId="77777777" w:rsidR="004B0C7C" w:rsidRDefault="00000000">
            <w:pPr>
              <w:spacing w:after="20"/>
            </w:pPr>
            <w:r>
              <w:rPr>
                <w:sz w:val="16"/>
              </w:rPr>
              <w:t>Documented, validated data model</w:t>
            </w:r>
          </w:p>
        </w:tc>
      </w:tr>
      <w:tr w:rsidR="004B0C7C" w14:paraId="69487F2A" w14:textId="77777777">
        <w:trPr>
          <w:cantSplit/>
          <w:jc w:val="center"/>
        </w:trPr>
        <w:tc>
          <w:tcPr>
            <w:tcW w:w="1440" w:type="dxa"/>
            <w:shd w:val="clear" w:color="auto" w:fill="F1F5F9"/>
            <w:vAlign w:val="center"/>
          </w:tcPr>
          <w:p w14:paraId="03267B44" w14:textId="77777777" w:rsidR="004B0C7C" w:rsidRDefault="00000000">
            <w:pPr>
              <w:spacing w:after="20"/>
            </w:pPr>
            <w:r>
              <w:rPr>
                <w:sz w:val="16"/>
              </w:rPr>
              <w:t>4. Build and verify</w:t>
            </w:r>
          </w:p>
        </w:tc>
        <w:tc>
          <w:tcPr>
            <w:tcW w:w="4968" w:type="dxa"/>
            <w:shd w:val="clear" w:color="auto" w:fill="F1F5F9"/>
            <w:vAlign w:val="center"/>
          </w:tcPr>
          <w:p w14:paraId="76539739" w14:textId="77777777" w:rsidR="004B0C7C" w:rsidRDefault="00000000">
            <w:pPr>
              <w:spacing w:after="20"/>
            </w:pPr>
            <w:r>
              <w:rPr>
                <w:sz w:val="16"/>
              </w:rPr>
              <w:t>Develop measures and reports; compare outputs to source records and stakeholder expectations</w:t>
            </w:r>
          </w:p>
        </w:tc>
        <w:tc>
          <w:tcPr>
            <w:tcW w:w="3816" w:type="dxa"/>
            <w:shd w:val="clear" w:color="auto" w:fill="F1F5F9"/>
            <w:vAlign w:val="center"/>
          </w:tcPr>
          <w:p w14:paraId="7FDD5666" w14:textId="77777777" w:rsidR="004B0C7C" w:rsidRDefault="00000000">
            <w:pPr>
              <w:spacing w:after="20"/>
            </w:pPr>
            <w:r>
              <w:rPr>
                <w:sz w:val="16"/>
              </w:rPr>
              <w:t>Tested report and KPI dictionary</w:t>
            </w:r>
          </w:p>
        </w:tc>
      </w:tr>
      <w:tr w:rsidR="004B0C7C" w14:paraId="33A7BDEF" w14:textId="77777777">
        <w:trPr>
          <w:cantSplit/>
          <w:jc w:val="center"/>
        </w:trPr>
        <w:tc>
          <w:tcPr>
            <w:tcW w:w="1440" w:type="dxa"/>
            <w:vAlign w:val="center"/>
          </w:tcPr>
          <w:p w14:paraId="1D434EB1" w14:textId="77777777" w:rsidR="004B0C7C" w:rsidRDefault="00000000">
            <w:pPr>
              <w:spacing w:after="20"/>
            </w:pPr>
            <w:r>
              <w:rPr>
                <w:sz w:val="16"/>
              </w:rPr>
              <w:t>5. Pilot</w:t>
            </w:r>
          </w:p>
        </w:tc>
        <w:tc>
          <w:tcPr>
            <w:tcW w:w="4968" w:type="dxa"/>
            <w:vAlign w:val="center"/>
          </w:tcPr>
          <w:p w14:paraId="3A2EAD60" w14:textId="77777777" w:rsidR="004B0C7C" w:rsidRDefault="00000000">
            <w:pPr>
              <w:spacing w:after="20"/>
            </w:pPr>
            <w:r>
              <w:rPr>
                <w:sz w:val="16"/>
              </w:rPr>
              <w:t>Review with a small group of users; gather feedback and test usability/access</w:t>
            </w:r>
          </w:p>
        </w:tc>
        <w:tc>
          <w:tcPr>
            <w:tcW w:w="3816" w:type="dxa"/>
            <w:vAlign w:val="center"/>
          </w:tcPr>
          <w:p w14:paraId="2BBE03E2" w14:textId="77777777" w:rsidR="004B0C7C" w:rsidRDefault="00000000">
            <w:pPr>
              <w:spacing w:after="20"/>
            </w:pPr>
            <w:r>
              <w:rPr>
                <w:sz w:val="16"/>
              </w:rPr>
              <w:t>Signed-off pilot and prioritized changes</w:t>
            </w:r>
          </w:p>
        </w:tc>
      </w:tr>
      <w:tr w:rsidR="004B0C7C" w14:paraId="5E983FB0" w14:textId="77777777">
        <w:trPr>
          <w:cantSplit/>
          <w:jc w:val="center"/>
        </w:trPr>
        <w:tc>
          <w:tcPr>
            <w:tcW w:w="1440" w:type="dxa"/>
            <w:shd w:val="clear" w:color="auto" w:fill="F1F5F9"/>
            <w:vAlign w:val="center"/>
          </w:tcPr>
          <w:p w14:paraId="452E4294" w14:textId="77777777" w:rsidR="004B0C7C" w:rsidRDefault="00000000">
            <w:pPr>
              <w:spacing w:after="20"/>
            </w:pPr>
            <w:r>
              <w:rPr>
                <w:sz w:val="16"/>
              </w:rPr>
              <w:t>6. Operate and improve</w:t>
            </w:r>
          </w:p>
        </w:tc>
        <w:tc>
          <w:tcPr>
            <w:tcW w:w="4968" w:type="dxa"/>
            <w:shd w:val="clear" w:color="auto" w:fill="F1F5F9"/>
            <w:vAlign w:val="center"/>
          </w:tcPr>
          <w:p w14:paraId="1ABD0FEB" w14:textId="77777777" w:rsidR="004B0C7C" w:rsidRDefault="00000000">
            <w:pPr>
              <w:spacing w:after="20"/>
            </w:pPr>
            <w:r>
              <w:rPr>
                <w:sz w:val="16"/>
              </w:rPr>
              <w:t>Set refresh monitoring, ownership, training and change control</w:t>
            </w:r>
          </w:p>
        </w:tc>
        <w:tc>
          <w:tcPr>
            <w:tcW w:w="3816" w:type="dxa"/>
            <w:shd w:val="clear" w:color="auto" w:fill="F1F5F9"/>
            <w:vAlign w:val="center"/>
          </w:tcPr>
          <w:p w14:paraId="62187047" w14:textId="77777777" w:rsidR="004B0C7C" w:rsidRDefault="00000000">
            <w:pPr>
              <w:spacing w:after="20"/>
            </w:pPr>
            <w:r>
              <w:rPr>
                <w:sz w:val="16"/>
              </w:rPr>
              <w:t>Operating procedure and periodic review</w:t>
            </w:r>
          </w:p>
        </w:tc>
      </w:tr>
    </w:tbl>
    <w:p w14:paraId="11D0325C" w14:textId="77777777" w:rsidR="004B0C7C" w:rsidRDefault="004B0C7C">
      <w:pPr>
        <w:spacing w:after="20"/>
      </w:pPr>
    </w:p>
    <w:p w14:paraId="7B28AAB7" w14:textId="77777777" w:rsidR="004B0C7C" w:rsidRDefault="00000000">
      <w:pPr>
        <w:pStyle w:val="Heading1"/>
      </w:pPr>
      <w:r>
        <w:lastRenderedPageBreak/>
        <w:t>11. Governance, Risks and Mitigations</w:t>
      </w:r>
    </w:p>
    <w:tbl>
      <w:tblPr>
        <w:tblStyle w:val="TableGrid"/>
        <w:tblW w:w="0" w:type="auto"/>
        <w:jc w:val="center"/>
        <w:tblLook w:val="04A0" w:firstRow="1" w:lastRow="0" w:firstColumn="1" w:lastColumn="0" w:noHBand="0" w:noVBand="1"/>
      </w:tblPr>
      <w:tblGrid>
        <w:gridCol w:w="2373"/>
        <w:gridCol w:w="3236"/>
        <w:gridCol w:w="4601"/>
      </w:tblGrid>
      <w:tr w:rsidR="004B0C7C" w14:paraId="27BC6C2F" w14:textId="77777777">
        <w:trPr>
          <w:cantSplit/>
          <w:jc w:val="center"/>
        </w:trPr>
        <w:tc>
          <w:tcPr>
            <w:tcW w:w="2376" w:type="dxa"/>
            <w:shd w:val="clear" w:color="auto" w:fill="17365D"/>
            <w:vAlign w:val="center"/>
          </w:tcPr>
          <w:p w14:paraId="622A30A1" w14:textId="77777777" w:rsidR="004B0C7C" w:rsidRDefault="00000000">
            <w:pPr>
              <w:spacing w:after="20"/>
            </w:pPr>
            <w:r>
              <w:rPr>
                <w:b/>
                <w:color w:val="FFFFFF"/>
                <w:sz w:val="15"/>
              </w:rPr>
              <w:t>Risk</w:t>
            </w:r>
          </w:p>
        </w:tc>
        <w:tc>
          <w:tcPr>
            <w:tcW w:w="3240" w:type="dxa"/>
            <w:shd w:val="clear" w:color="auto" w:fill="17365D"/>
            <w:vAlign w:val="center"/>
          </w:tcPr>
          <w:p w14:paraId="07987DF6" w14:textId="77777777" w:rsidR="004B0C7C" w:rsidRDefault="00000000">
            <w:pPr>
              <w:spacing w:after="20"/>
            </w:pPr>
            <w:r>
              <w:rPr>
                <w:b/>
                <w:color w:val="FFFFFF"/>
                <w:sz w:val="15"/>
              </w:rPr>
              <w:t>Potential impact</w:t>
            </w:r>
          </w:p>
        </w:tc>
        <w:tc>
          <w:tcPr>
            <w:tcW w:w="4608" w:type="dxa"/>
            <w:shd w:val="clear" w:color="auto" w:fill="17365D"/>
            <w:vAlign w:val="center"/>
          </w:tcPr>
          <w:p w14:paraId="0025084F" w14:textId="77777777" w:rsidR="004B0C7C" w:rsidRDefault="00000000">
            <w:pPr>
              <w:spacing w:after="20"/>
            </w:pPr>
            <w:r>
              <w:rPr>
                <w:b/>
                <w:color w:val="FFFFFF"/>
                <w:sz w:val="15"/>
              </w:rPr>
              <w:t>Mitigation</w:t>
            </w:r>
          </w:p>
        </w:tc>
      </w:tr>
      <w:tr w:rsidR="004B0C7C" w14:paraId="19C9D4EE" w14:textId="77777777">
        <w:trPr>
          <w:cantSplit/>
          <w:jc w:val="center"/>
        </w:trPr>
        <w:tc>
          <w:tcPr>
            <w:tcW w:w="2376" w:type="dxa"/>
            <w:vAlign w:val="center"/>
          </w:tcPr>
          <w:p w14:paraId="028F045F" w14:textId="77777777" w:rsidR="004B0C7C" w:rsidRDefault="00000000">
            <w:pPr>
              <w:spacing w:after="20"/>
            </w:pPr>
            <w:r>
              <w:rPr>
                <w:sz w:val="15"/>
              </w:rPr>
              <w:t>Unclear KPI definitions</w:t>
            </w:r>
          </w:p>
        </w:tc>
        <w:tc>
          <w:tcPr>
            <w:tcW w:w="3240" w:type="dxa"/>
            <w:vAlign w:val="center"/>
          </w:tcPr>
          <w:p w14:paraId="43A76257" w14:textId="77777777" w:rsidR="004B0C7C" w:rsidRDefault="00000000">
            <w:pPr>
              <w:spacing w:after="20"/>
            </w:pPr>
            <w:r>
              <w:rPr>
                <w:sz w:val="15"/>
              </w:rPr>
              <w:t>Different teams report different values for the same concept</w:t>
            </w:r>
          </w:p>
        </w:tc>
        <w:tc>
          <w:tcPr>
            <w:tcW w:w="4608" w:type="dxa"/>
            <w:vAlign w:val="center"/>
          </w:tcPr>
          <w:p w14:paraId="0774756F" w14:textId="77777777" w:rsidR="004B0C7C" w:rsidRDefault="00000000">
            <w:pPr>
              <w:spacing w:after="20"/>
            </w:pPr>
            <w:r>
              <w:rPr>
                <w:sz w:val="15"/>
              </w:rPr>
              <w:t>Maintain an approved KPI dictionary and named owners</w:t>
            </w:r>
          </w:p>
        </w:tc>
      </w:tr>
      <w:tr w:rsidR="004B0C7C" w14:paraId="35F41ED6" w14:textId="77777777">
        <w:trPr>
          <w:cantSplit/>
          <w:jc w:val="center"/>
        </w:trPr>
        <w:tc>
          <w:tcPr>
            <w:tcW w:w="2376" w:type="dxa"/>
            <w:shd w:val="clear" w:color="auto" w:fill="F1F5F9"/>
            <w:vAlign w:val="center"/>
          </w:tcPr>
          <w:p w14:paraId="6EFA6B60" w14:textId="77777777" w:rsidR="004B0C7C" w:rsidRDefault="00000000">
            <w:pPr>
              <w:spacing w:after="20"/>
            </w:pPr>
            <w:r>
              <w:rPr>
                <w:sz w:val="15"/>
              </w:rPr>
              <w:t>Unverified relationship between CSVs</w:t>
            </w:r>
          </w:p>
        </w:tc>
        <w:tc>
          <w:tcPr>
            <w:tcW w:w="3240" w:type="dxa"/>
            <w:shd w:val="clear" w:color="auto" w:fill="F1F5F9"/>
            <w:vAlign w:val="center"/>
          </w:tcPr>
          <w:p w14:paraId="17F63591" w14:textId="77777777" w:rsidR="004B0C7C" w:rsidRDefault="00000000">
            <w:pPr>
              <w:spacing w:after="20"/>
            </w:pPr>
            <w:r>
              <w:rPr>
                <w:sz w:val="15"/>
              </w:rPr>
              <w:t>Incorrect joins or double-counted observations</w:t>
            </w:r>
          </w:p>
        </w:tc>
        <w:tc>
          <w:tcPr>
            <w:tcW w:w="4608" w:type="dxa"/>
            <w:shd w:val="clear" w:color="auto" w:fill="F1F5F9"/>
            <w:vAlign w:val="center"/>
          </w:tcPr>
          <w:p w14:paraId="5B71C089" w14:textId="77777777" w:rsidR="004B0C7C" w:rsidRDefault="00000000">
            <w:pPr>
              <w:spacing w:after="20"/>
            </w:pPr>
            <w:r>
              <w:rPr>
                <w:sz w:val="15"/>
              </w:rPr>
              <w:t>Confirm row grain and stable keys; keep files separate until proven</w:t>
            </w:r>
          </w:p>
        </w:tc>
      </w:tr>
      <w:tr w:rsidR="004B0C7C" w14:paraId="126A6268" w14:textId="77777777">
        <w:trPr>
          <w:cantSplit/>
          <w:jc w:val="center"/>
        </w:trPr>
        <w:tc>
          <w:tcPr>
            <w:tcW w:w="2376" w:type="dxa"/>
            <w:vAlign w:val="center"/>
          </w:tcPr>
          <w:p w14:paraId="714FD420" w14:textId="77777777" w:rsidR="004B0C7C" w:rsidRDefault="00000000">
            <w:pPr>
              <w:spacing w:after="20"/>
            </w:pPr>
            <w:r>
              <w:rPr>
                <w:sz w:val="15"/>
              </w:rPr>
              <w:t>Constant or misleading labels</w:t>
            </w:r>
          </w:p>
        </w:tc>
        <w:tc>
          <w:tcPr>
            <w:tcW w:w="3240" w:type="dxa"/>
            <w:vAlign w:val="center"/>
          </w:tcPr>
          <w:p w14:paraId="1E89CE68" w14:textId="77777777" w:rsidR="004B0C7C" w:rsidRDefault="00000000">
            <w:pPr>
              <w:spacing w:after="20"/>
            </w:pPr>
            <w:r>
              <w:rPr>
                <w:sz w:val="15"/>
              </w:rPr>
              <w:t>False conclusions about performance differences</w:t>
            </w:r>
          </w:p>
        </w:tc>
        <w:tc>
          <w:tcPr>
            <w:tcW w:w="4608" w:type="dxa"/>
            <w:vAlign w:val="center"/>
          </w:tcPr>
          <w:p w14:paraId="27C02C25" w14:textId="77777777" w:rsidR="004B0C7C" w:rsidRDefault="00000000">
            <w:pPr>
              <w:spacing w:after="20"/>
            </w:pPr>
            <w:r>
              <w:rPr>
                <w:sz w:val="15"/>
              </w:rPr>
              <w:t>Investigate source-generation logic and validate distributions before use</w:t>
            </w:r>
          </w:p>
        </w:tc>
      </w:tr>
      <w:tr w:rsidR="004B0C7C" w14:paraId="66BE5103" w14:textId="77777777">
        <w:trPr>
          <w:cantSplit/>
          <w:jc w:val="center"/>
        </w:trPr>
        <w:tc>
          <w:tcPr>
            <w:tcW w:w="2376" w:type="dxa"/>
            <w:shd w:val="clear" w:color="auto" w:fill="F1F5F9"/>
            <w:vAlign w:val="center"/>
          </w:tcPr>
          <w:p w14:paraId="164DF6E4" w14:textId="77777777" w:rsidR="004B0C7C" w:rsidRDefault="00000000">
            <w:pPr>
              <w:spacing w:after="20"/>
            </w:pPr>
            <w:r>
              <w:rPr>
                <w:sz w:val="15"/>
              </w:rPr>
              <w:t>Missing project/site context</w:t>
            </w:r>
          </w:p>
        </w:tc>
        <w:tc>
          <w:tcPr>
            <w:tcW w:w="3240" w:type="dxa"/>
            <w:shd w:val="clear" w:color="auto" w:fill="F1F5F9"/>
            <w:vAlign w:val="center"/>
          </w:tcPr>
          <w:p w14:paraId="48054AC4" w14:textId="77777777" w:rsidR="004B0C7C" w:rsidRDefault="00000000">
            <w:pPr>
              <w:spacing w:after="20"/>
            </w:pPr>
            <w:r>
              <w:rPr>
                <w:sz w:val="15"/>
              </w:rPr>
              <w:t>Limited ability to attribute results to a responsible project</w:t>
            </w:r>
          </w:p>
        </w:tc>
        <w:tc>
          <w:tcPr>
            <w:tcW w:w="4608" w:type="dxa"/>
            <w:shd w:val="clear" w:color="auto" w:fill="F1F5F9"/>
            <w:vAlign w:val="center"/>
          </w:tcPr>
          <w:p w14:paraId="0E12150D" w14:textId="77777777" w:rsidR="004B0C7C" w:rsidRDefault="00000000">
            <w:pPr>
              <w:spacing w:after="20"/>
            </w:pPr>
            <w:r>
              <w:rPr>
                <w:sz w:val="15"/>
              </w:rPr>
              <w:t>Request appropriate identifiers from the data owner; state analytical limits</w:t>
            </w:r>
          </w:p>
        </w:tc>
      </w:tr>
      <w:tr w:rsidR="004B0C7C" w14:paraId="3C8029AC" w14:textId="77777777">
        <w:trPr>
          <w:cantSplit/>
          <w:jc w:val="center"/>
        </w:trPr>
        <w:tc>
          <w:tcPr>
            <w:tcW w:w="2376" w:type="dxa"/>
            <w:vAlign w:val="center"/>
          </w:tcPr>
          <w:p w14:paraId="2E36D042" w14:textId="77777777" w:rsidR="004B0C7C" w:rsidRDefault="00000000">
            <w:pPr>
              <w:spacing w:after="20"/>
            </w:pPr>
            <w:r>
              <w:rPr>
                <w:sz w:val="15"/>
              </w:rPr>
              <w:t>Inaccurate or delayed updates</w:t>
            </w:r>
          </w:p>
        </w:tc>
        <w:tc>
          <w:tcPr>
            <w:tcW w:w="3240" w:type="dxa"/>
            <w:vAlign w:val="center"/>
          </w:tcPr>
          <w:p w14:paraId="07E04A99" w14:textId="77777777" w:rsidR="004B0C7C" w:rsidRDefault="00000000">
            <w:pPr>
              <w:spacing w:after="20"/>
            </w:pPr>
            <w:r>
              <w:rPr>
                <w:sz w:val="15"/>
              </w:rPr>
              <w:t>Decisions based on stale or erroneous metrics</w:t>
            </w:r>
          </w:p>
        </w:tc>
        <w:tc>
          <w:tcPr>
            <w:tcW w:w="4608" w:type="dxa"/>
            <w:vAlign w:val="center"/>
          </w:tcPr>
          <w:p w14:paraId="429A8229" w14:textId="77777777" w:rsidR="004B0C7C" w:rsidRDefault="00000000">
            <w:pPr>
              <w:spacing w:after="20"/>
            </w:pPr>
            <w:r>
              <w:rPr>
                <w:sz w:val="15"/>
              </w:rPr>
              <w:t>Add validation checks, timestamp monitoring and issue ownership</w:t>
            </w:r>
          </w:p>
        </w:tc>
      </w:tr>
      <w:tr w:rsidR="004B0C7C" w14:paraId="7D0D2B16" w14:textId="77777777">
        <w:trPr>
          <w:cantSplit/>
          <w:jc w:val="center"/>
        </w:trPr>
        <w:tc>
          <w:tcPr>
            <w:tcW w:w="2376" w:type="dxa"/>
            <w:shd w:val="clear" w:color="auto" w:fill="F1F5F9"/>
            <w:vAlign w:val="center"/>
          </w:tcPr>
          <w:p w14:paraId="1BCB8FF7" w14:textId="77777777" w:rsidR="004B0C7C" w:rsidRDefault="00000000">
            <w:pPr>
              <w:spacing w:after="20"/>
            </w:pPr>
            <w:r>
              <w:rPr>
                <w:sz w:val="15"/>
              </w:rPr>
              <w:t>Unauthorized access</w:t>
            </w:r>
          </w:p>
        </w:tc>
        <w:tc>
          <w:tcPr>
            <w:tcW w:w="3240" w:type="dxa"/>
            <w:shd w:val="clear" w:color="auto" w:fill="F1F5F9"/>
            <w:vAlign w:val="center"/>
          </w:tcPr>
          <w:p w14:paraId="6B5EC075" w14:textId="77777777" w:rsidR="004B0C7C" w:rsidRDefault="00000000">
            <w:pPr>
              <w:spacing w:after="20"/>
            </w:pPr>
            <w:r>
              <w:rPr>
                <w:sz w:val="15"/>
              </w:rPr>
              <w:t>Exposure of commercially or operationally sensitive information</w:t>
            </w:r>
          </w:p>
        </w:tc>
        <w:tc>
          <w:tcPr>
            <w:tcW w:w="4608" w:type="dxa"/>
            <w:shd w:val="clear" w:color="auto" w:fill="F1F5F9"/>
            <w:vAlign w:val="center"/>
          </w:tcPr>
          <w:p w14:paraId="2D0A3E84" w14:textId="77777777" w:rsidR="004B0C7C" w:rsidRDefault="00000000">
            <w:pPr>
              <w:spacing w:after="20"/>
            </w:pPr>
            <w:r>
              <w:rPr>
                <w:sz w:val="15"/>
              </w:rPr>
              <w:t>Use least-privilege access, approved sharing and organizational policies</w:t>
            </w:r>
          </w:p>
        </w:tc>
      </w:tr>
      <w:tr w:rsidR="004B0C7C" w14:paraId="6A293050" w14:textId="77777777">
        <w:trPr>
          <w:cantSplit/>
          <w:jc w:val="center"/>
        </w:trPr>
        <w:tc>
          <w:tcPr>
            <w:tcW w:w="2376" w:type="dxa"/>
            <w:vAlign w:val="center"/>
          </w:tcPr>
          <w:p w14:paraId="7D3AE2B9" w14:textId="77777777" w:rsidR="004B0C7C" w:rsidRDefault="00000000">
            <w:pPr>
              <w:spacing w:after="20"/>
            </w:pPr>
            <w:r>
              <w:rPr>
                <w:sz w:val="15"/>
              </w:rPr>
              <w:t>Low report adoption</w:t>
            </w:r>
          </w:p>
        </w:tc>
        <w:tc>
          <w:tcPr>
            <w:tcW w:w="3240" w:type="dxa"/>
            <w:vAlign w:val="center"/>
          </w:tcPr>
          <w:p w14:paraId="5718DD99" w14:textId="77777777" w:rsidR="004B0C7C" w:rsidRDefault="00000000">
            <w:pPr>
              <w:spacing w:after="20"/>
            </w:pPr>
            <w:r>
              <w:rPr>
                <w:sz w:val="15"/>
              </w:rPr>
              <w:t>Teams continue using inconsistent manual reports</w:t>
            </w:r>
          </w:p>
        </w:tc>
        <w:tc>
          <w:tcPr>
            <w:tcW w:w="4608" w:type="dxa"/>
            <w:vAlign w:val="center"/>
          </w:tcPr>
          <w:p w14:paraId="6FFA234D" w14:textId="77777777" w:rsidR="004B0C7C" w:rsidRDefault="00000000">
            <w:pPr>
              <w:spacing w:after="20"/>
            </w:pPr>
            <w:r>
              <w:rPr>
                <w:sz w:val="15"/>
              </w:rPr>
              <w:t>Involve end users, provide training and align reporting with existing reviews</w:t>
            </w:r>
          </w:p>
        </w:tc>
      </w:tr>
      <w:tr w:rsidR="004B0C7C" w14:paraId="0C96F5D2" w14:textId="77777777">
        <w:trPr>
          <w:cantSplit/>
          <w:jc w:val="center"/>
        </w:trPr>
        <w:tc>
          <w:tcPr>
            <w:tcW w:w="2376" w:type="dxa"/>
            <w:shd w:val="clear" w:color="auto" w:fill="F1F5F9"/>
            <w:vAlign w:val="center"/>
          </w:tcPr>
          <w:p w14:paraId="492F6A44" w14:textId="77777777" w:rsidR="004B0C7C" w:rsidRDefault="00000000">
            <w:pPr>
              <w:spacing w:after="20"/>
            </w:pPr>
            <w:r>
              <w:rPr>
                <w:sz w:val="15"/>
              </w:rPr>
              <w:t>Over-reliance on indicators</w:t>
            </w:r>
          </w:p>
        </w:tc>
        <w:tc>
          <w:tcPr>
            <w:tcW w:w="3240" w:type="dxa"/>
            <w:shd w:val="clear" w:color="auto" w:fill="F1F5F9"/>
            <w:vAlign w:val="center"/>
          </w:tcPr>
          <w:p w14:paraId="3B0CA08C" w14:textId="77777777" w:rsidR="004B0C7C" w:rsidRDefault="00000000">
            <w:pPr>
              <w:spacing w:after="20"/>
            </w:pPr>
            <w:r>
              <w:rPr>
                <w:sz w:val="15"/>
              </w:rPr>
              <w:t>A metric is treated as a complete explanation of site performance</w:t>
            </w:r>
          </w:p>
        </w:tc>
        <w:tc>
          <w:tcPr>
            <w:tcW w:w="4608" w:type="dxa"/>
            <w:shd w:val="clear" w:color="auto" w:fill="F1F5F9"/>
            <w:vAlign w:val="center"/>
          </w:tcPr>
          <w:p w14:paraId="6E77FFA3" w14:textId="77777777" w:rsidR="004B0C7C" w:rsidRDefault="00000000">
            <w:pPr>
              <w:spacing w:after="20"/>
            </w:pPr>
            <w:r>
              <w:rPr>
                <w:sz w:val="15"/>
              </w:rPr>
              <w:t>Provide context, document limitations and retain expert review</w:t>
            </w:r>
          </w:p>
        </w:tc>
      </w:tr>
    </w:tbl>
    <w:p w14:paraId="16613875" w14:textId="77777777" w:rsidR="004B0C7C" w:rsidRDefault="004B0C7C">
      <w:pPr>
        <w:spacing w:after="20"/>
      </w:pPr>
    </w:p>
    <w:p w14:paraId="2ABF98B4" w14:textId="77777777" w:rsidR="004B0C7C" w:rsidRDefault="00000000">
      <w:pPr>
        <w:pStyle w:val="Heading1"/>
      </w:pPr>
      <w:r>
        <w:t>12. Measuring Success</w:t>
      </w:r>
    </w:p>
    <w:p w14:paraId="1351EDB6" w14:textId="77777777" w:rsidR="004B0C7C" w:rsidRDefault="00000000">
      <w:r>
        <w:t>Success criteria should be agreed during discovery and measured against a baseline. The following are proposed measures, not achieved results or guaranteed improvements:</w:t>
      </w:r>
    </w:p>
    <w:p w14:paraId="49191B0F" w14:textId="77777777" w:rsidR="004B0C7C" w:rsidRDefault="00000000">
      <w:pPr>
        <w:pStyle w:val="ListBullet"/>
        <w:spacing w:after="40"/>
      </w:pPr>
      <w:r>
        <w:t>Data quality: proportion of records passing agreed validation checks.</w:t>
      </w:r>
    </w:p>
    <w:p w14:paraId="632FF446" w14:textId="77777777" w:rsidR="004B0C7C" w:rsidRDefault="00000000">
      <w:pPr>
        <w:pStyle w:val="ListBullet"/>
        <w:spacing w:after="40"/>
      </w:pPr>
      <w:r>
        <w:t>Reporting efficiency: time required to prepare the recurring report compared with the current process.</w:t>
      </w:r>
    </w:p>
    <w:p w14:paraId="41BB1BDD" w14:textId="77777777" w:rsidR="004B0C7C" w:rsidRDefault="00000000">
      <w:pPr>
        <w:pStyle w:val="ListBullet"/>
        <w:spacing w:after="40"/>
      </w:pPr>
      <w:r>
        <w:t>Timeliness: percentage of reports refreshed and available by the agreed reporting deadline.</w:t>
      </w:r>
    </w:p>
    <w:p w14:paraId="4228BF7B" w14:textId="77777777" w:rsidR="004B0C7C" w:rsidRDefault="00000000">
      <w:pPr>
        <w:pStyle w:val="ListBullet"/>
        <w:spacing w:after="40"/>
      </w:pPr>
      <w:r>
        <w:t>Actionability: number or proportion of flagged exceptions assigned an owner and reviewed within the agreed service window.</w:t>
      </w:r>
    </w:p>
    <w:p w14:paraId="3046B57D" w14:textId="77777777" w:rsidR="004B0C7C" w:rsidRDefault="00000000">
      <w:pPr>
        <w:pStyle w:val="ListBullet"/>
        <w:spacing w:after="40"/>
      </w:pPr>
      <w:r>
        <w:t>Adoption: active use by the intended stakeholder group and feedback from pilot reviews.</w:t>
      </w:r>
    </w:p>
    <w:p w14:paraId="23AD5427" w14:textId="77777777" w:rsidR="004B0C7C" w:rsidRDefault="00000000">
      <w:pPr>
        <w:pStyle w:val="ListBullet"/>
        <w:spacing w:after="40"/>
      </w:pPr>
      <w:r>
        <w:t>Trust: reconciliation differences between Power BI outputs and approved source totals.</w:t>
      </w:r>
    </w:p>
    <w:p w14:paraId="4B822A8B" w14:textId="77777777" w:rsidR="004B0C7C" w:rsidRDefault="00000000">
      <w:r>
        <w:t>Targets should be set only after a baseline is measured. For example, the team may decide to reduce manual reporting time or increase on-time review of exceptions, but any numeric target should be approved by the relevant stakeholders.</w:t>
      </w:r>
    </w:p>
    <w:p w14:paraId="5BA6F02F" w14:textId="77777777" w:rsidR="004B0C7C" w:rsidRDefault="00000000">
      <w:pPr>
        <w:pStyle w:val="Heading1"/>
      </w:pPr>
      <w:r>
        <w:t>13. Recommendations and Conclusion</w:t>
      </w:r>
    </w:p>
    <w:p w14:paraId="2E59252D" w14:textId="77777777" w:rsidR="004B0C7C" w:rsidRDefault="00000000">
      <w:pPr>
        <w:pStyle w:val="ListBullet"/>
        <w:spacing w:after="40"/>
      </w:pPr>
      <w:r>
        <w:t>Start with a narrow pilot around cost/schedule control, safety/risk monitoring and resource efficiency.</w:t>
      </w:r>
    </w:p>
    <w:p w14:paraId="2CF3EA9E" w14:textId="77777777" w:rsidR="004B0C7C" w:rsidRDefault="00000000">
      <w:pPr>
        <w:pStyle w:val="ListBullet"/>
        <w:spacing w:after="40"/>
      </w:pPr>
      <w:r>
        <w:t>Use the first CSV as the initial candidate for cost and schedule analysis; assess the sensor-oriented file separately.</w:t>
      </w:r>
    </w:p>
    <w:p w14:paraId="247C7CE0" w14:textId="77777777" w:rsidR="004B0C7C" w:rsidRDefault="00000000">
      <w:pPr>
        <w:pStyle w:val="ListBullet"/>
        <w:spacing w:after="40"/>
      </w:pPr>
      <w:r>
        <w:t>Validate KPI formulas, units, row grain, timestamps and data ownership before building relationships or publishing results.</w:t>
      </w:r>
    </w:p>
    <w:p w14:paraId="56CF702B" w14:textId="77777777" w:rsidR="004B0C7C" w:rsidRDefault="00000000">
      <w:pPr>
        <w:pStyle w:val="ListBullet"/>
        <w:spacing w:after="40"/>
      </w:pPr>
      <w:r>
        <w:t>Treat the constant performance labels as a data-quality question, not as evidence that all observations truly perform at the same level.</w:t>
      </w:r>
    </w:p>
    <w:p w14:paraId="6F0F16CE" w14:textId="77777777" w:rsidR="004B0C7C" w:rsidRDefault="00000000">
      <w:pPr>
        <w:pStyle w:val="ListBullet"/>
        <w:spacing w:after="40"/>
      </w:pPr>
      <w:r>
        <w:t>Use Power Query for repeatable preparation and Power BI for a governed model and reporting layer.</w:t>
      </w:r>
    </w:p>
    <w:p w14:paraId="30EAE056" w14:textId="77777777" w:rsidR="004B0C7C" w:rsidRDefault="00000000">
      <w:pPr>
        <w:pStyle w:val="ListBullet"/>
        <w:spacing w:after="40"/>
      </w:pPr>
      <w:r>
        <w:t>Measure success through data trust, reporting timeliness, adoption and follow-through on exceptions.</w:t>
      </w:r>
    </w:p>
    <w:p w14:paraId="3DAD14B1" w14:textId="77777777" w:rsidR="004B0C7C" w:rsidRDefault="00000000">
      <w:r>
        <w:t>In conclusion, Power BI can provide a practical reporting layer for construction intelligence when it is built around clear decisions, reliable data and agreed KPI definitions. The immediate priority is disciplined discovery and data validation—not dashboard decoration. A phased approach lowers risk and creates a foundation that can expand as better project identifiers, trusted operational sources and stakeholder requirements become available.</w:t>
      </w:r>
    </w:p>
    <w:p w14:paraId="33FF8EC9" w14:textId="77777777" w:rsidR="004B0C7C" w:rsidRDefault="00000000">
      <w:pPr>
        <w:pStyle w:val="Heading1"/>
      </w:pPr>
      <w:r>
        <w:t>References</w:t>
      </w:r>
    </w:p>
    <w:p w14:paraId="6E158F9B" w14:textId="77777777" w:rsidR="004B0C7C" w:rsidRDefault="00000000">
      <w:pPr>
        <w:pStyle w:val="ListBullet"/>
        <w:spacing w:after="40"/>
      </w:pPr>
      <w:r>
        <w:t>Microsoft Learn. Power BI documentation. https://learn.microsoft.com/power-bi/</w:t>
      </w:r>
    </w:p>
    <w:p w14:paraId="4C331E4D" w14:textId="134362FA" w:rsidR="004B0C7C" w:rsidRDefault="00000000">
      <w:pPr>
        <w:pStyle w:val="ListBullet"/>
        <w:spacing w:after="40"/>
      </w:pPr>
      <w:r>
        <w:lastRenderedPageBreak/>
        <w:t xml:space="preserve">Microsoft Learn. Power Query documentation. </w:t>
      </w:r>
      <w:hyperlink r:id="rId8" w:history="1">
        <w:r w:rsidR="006C1A9C" w:rsidRPr="00537CB9">
          <w:rPr>
            <w:rStyle w:val="Hyperlink"/>
          </w:rPr>
          <w:t>https://learn.microsoft.com/power-query/</w:t>
        </w:r>
      </w:hyperlink>
    </w:p>
    <w:p w14:paraId="474D4B76" w14:textId="0842DD13" w:rsidR="006C1A9C" w:rsidRDefault="006C1A9C">
      <w:pPr>
        <w:pStyle w:val="ListBullet"/>
        <w:spacing w:after="40"/>
      </w:pPr>
      <w:r>
        <w:t xml:space="preserve">Kaggle Dataset:  </w:t>
      </w:r>
      <w:r w:rsidRPr="006C1A9C">
        <w:t>https://www.kaggle.com/datasets/ziya07/construction-project-performance-dataset?select=construction_project_performance_dataset.csv</w:t>
      </w:r>
    </w:p>
    <w:p w14:paraId="5830DDFF" w14:textId="77777777" w:rsidR="004B0C7C" w:rsidRDefault="00000000">
      <w:r>
        <w:t>Note: These references provide general background on the proposed tools and sector context. Dataset-specific observations in this report are based on the two CSV files supplied for this task. The business name and proposed workflows are illustrative, not claims about a real company.</w:t>
      </w:r>
    </w:p>
    <w:p w14:paraId="65C163BD" w14:textId="77777777" w:rsidR="004B0C7C" w:rsidRDefault="00000000">
      <w:pPr>
        <w:pStyle w:val="Heading1"/>
      </w:pPr>
      <w:r>
        <w:t>Appendix A — Submission Description (200+ words)</w:t>
      </w:r>
    </w:p>
    <w:p w14:paraId="471C3D46" w14:textId="77777777" w:rsidR="004B0C7C" w:rsidRDefault="00000000">
      <w:r>
        <w:t>This report presents a strategic plan for using Business Intelligence to improve visibility and decision-making in a hypothetical construction organization. It outlines common operational challenges across project cost, schedule, safety, materials, equipment and resource utilization, and explains how Microsoft Power BI can provide a structured reporting layer for these needs. The plan identifies three priority use cases: cost and schedule control, safety and operational risk monitoring, and resource, equipment and material efficiency. It proposes a KPI framework covering cost deviation, time deviation, task progress, safety incidents, risk score, material shortage alerts, equipment/resource utilization and energy consumption. Each KPI requires a confirmed definition, unit, owner and validation rule before being used for decisions.</w:t>
      </w:r>
      <w:r>
        <w:br/>
      </w:r>
      <w:r>
        <w:br/>
        <w:t>The report also considers two candidate construction-monitoring CSV files. Their structures and overlapping fields suggest potential analytical value, but their row grain, keys and relationship must be verified before they are combined. The constant performance labels observed in the initial review are identified as a limitation that needs investigation. The proposed implementation approach moves through discovery, data profiling, repeatable transformation, data modelling, report validation, pilot testing and controlled operation. Governance risks—including inconsistent KPI definitions, incorrect joins, stale data, access control and low adoption—are paired with practical mitigations. Finally, the report proposes success measures such as data quality, reporting efficiency, refresh timeliness, user adoption and documented follow-up on exceptions. The plan is strategic and preparatory; it does not claim that a production dashboard or predictive model has already been completed.</w:t>
      </w:r>
    </w:p>
    <w:sectPr w:rsidR="004B0C7C" w:rsidSect="00034616">
      <w:head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9779" w14:textId="77777777" w:rsidR="00996DDB" w:rsidRDefault="00996DDB">
      <w:pPr>
        <w:spacing w:after="0" w:line="240" w:lineRule="auto"/>
      </w:pPr>
      <w:r>
        <w:separator/>
      </w:r>
    </w:p>
  </w:endnote>
  <w:endnote w:type="continuationSeparator" w:id="0">
    <w:p w14:paraId="5B65FFA3" w14:textId="77777777" w:rsidR="00996DDB" w:rsidRDefault="00996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FC99" w14:textId="77777777" w:rsidR="00996DDB" w:rsidRDefault="00996DDB">
      <w:pPr>
        <w:spacing w:after="0" w:line="240" w:lineRule="auto"/>
      </w:pPr>
      <w:r>
        <w:separator/>
      </w:r>
    </w:p>
  </w:footnote>
  <w:footnote w:type="continuationSeparator" w:id="0">
    <w:p w14:paraId="4CAF96D6" w14:textId="77777777" w:rsidR="00996DDB" w:rsidRDefault="00996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D464" w14:textId="5D95C414" w:rsidR="004B0C7C" w:rsidRDefault="004B0C7C" w:rsidP="006C1A9C">
    <w:pPr>
      <w:pStyle w:val="Caption"/>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818547">
    <w:abstractNumId w:val="8"/>
  </w:num>
  <w:num w:numId="2" w16cid:durableId="1712610293">
    <w:abstractNumId w:val="6"/>
  </w:num>
  <w:num w:numId="3" w16cid:durableId="1507859907">
    <w:abstractNumId w:val="5"/>
  </w:num>
  <w:num w:numId="4" w16cid:durableId="1128743473">
    <w:abstractNumId w:val="4"/>
  </w:num>
  <w:num w:numId="5" w16cid:durableId="593629852">
    <w:abstractNumId w:val="7"/>
  </w:num>
  <w:num w:numId="6" w16cid:durableId="479078235">
    <w:abstractNumId w:val="3"/>
  </w:num>
  <w:num w:numId="7" w16cid:durableId="1878201831">
    <w:abstractNumId w:val="2"/>
  </w:num>
  <w:num w:numId="8" w16cid:durableId="1503593176">
    <w:abstractNumId w:val="1"/>
  </w:num>
  <w:num w:numId="9" w16cid:durableId="12636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732"/>
    <w:rsid w:val="004B0C7C"/>
    <w:rsid w:val="006C1A9C"/>
    <w:rsid w:val="00996D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FAF5B"/>
  <w14:defaultImageDpi w14:val="300"/>
  <w15:docId w15:val="{EBDDC192-DED0-4F94-866C-7A66E724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C1A9C"/>
    <w:rPr>
      <w:color w:val="0000FF" w:themeColor="hyperlink"/>
      <w:u w:val="single"/>
    </w:rPr>
  </w:style>
  <w:style w:type="character" w:styleId="UnresolvedMention">
    <w:name w:val="Unresolved Mention"/>
    <w:basedOn w:val="DefaultParagraphFont"/>
    <w:uiPriority w:val="99"/>
    <w:semiHidden/>
    <w:unhideWhenUsed/>
    <w:rsid w:val="006C1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ower-que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3123</Words>
  <Characters>17804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mudiraj</cp:lastModifiedBy>
  <cp:revision>2</cp:revision>
  <dcterms:created xsi:type="dcterms:W3CDTF">2013-12-23T23:15:00Z</dcterms:created>
  <dcterms:modified xsi:type="dcterms:W3CDTF">2026-10-23T03:30:00Z</dcterms:modified>
  <cp:category/>
</cp:coreProperties>
</file>