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</w:pPr>
      <w:r>
        <w:rPr>
          <w:rFonts w:ascii="Calibri" w:hAnsi="Calibri" w:eastAsia="Microsoft YaHei"/>
          <w:b/>
          <w:color w:val="0B2545"/>
          <w:sz w:val="44"/>
        </w:rPr>
        <w:t>摄像头设备技术要求</w:t>
      </w:r>
    </w:p>
    <w:p>
      <w:pPr>
        <w:keepNext/>
        <w:spacing w:before="0" w:after="200" w:line="276" w:lineRule="auto"/>
      </w:pPr>
      <w:r>
        <w:rPr>
          <w:rFonts w:ascii="Calibri" w:hAnsi="Calibri" w:eastAsia="Microsoft YaHei"/>
          <w:color w:val="5F6B7A"/>
          <w:sz w:val="19"/>
        </w:rPr>
        <w:t>用于厂商选型、工程样机确认和定制报价。设备必须能脱离厂家 App 和厂家云使用。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6" w:space="0" w:color="C8D3E0"/>
          <w:left w:val="single" w:sz="6" w:space="0" w:color="C8D3E0"/>
          <w:bottom w:val="single" w:sz="6" w:space="0" w:color="C8D3E0"/>
          <w:right w:val="single" w:sz="6" w:space="0" w:color="C8D3E0"/>
          <w:insideH w:val="single" w:sz="6" w:space="0" w:color="C8D3E0"/>
          <w:insideV w:val="single" w:sz="6" w:space="0" w:color="C8D3E0"/>
        </w:tblBorders>
        <w:tblInd w:w="120" w:type="dxa"/>
      </w:tblPr>
      <w:tblGrid>
        <w:gridCol w:w="1800"/>
        <w:gridCol w:w="7560"/>
      </w:tblGrid>
      <w:tr>
        <w:trPr>
          <w:tblHeader w:val="true"/>
          <w:cantSplit/>
        </w:trPr>
        <w:tc>
          <w:tcPr>
            <w:tcW w:type="dxa" w:w="18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模块</w:t>
            </w:r>
          </w:p>
        </w:tc>
        <w:tc>
          <w:tcPr>
            <w:tcW w:type="dxa" w:w="756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最低要求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视频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2K/3K 以上，H.264/H.265，主辅双码流，低照度/夜视，约 110–120° 广角。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ONVIF</w:t>
            </w:r>
          </w:p>
        </w:tc>
        <w:tc>
          <w:tcPr>
            <w:tcW w:type="dxa" w:w="7560"/>
            <w:vAlign w:val="center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必须开放；兼容 Profile S，优先 Profile T；支持 WS-Discovery、设备信息、Media、码流地址、截图、PTZ、预置位和运动/人形事件；提供账号鉴权方式及测试报告。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实时视频接口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RTSP 必须开放，WebRTC 可选；支持实时流、截图和事件短片，不能只能通过厂家 App 观看。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云台</w:t>
            </w:r>
          </w:p>
        </w:tc>
        <w:tc>
          <w:tcPr>
            <w:tcW w:type="dxa" w:w="7560"/>
            <w:vAlign w:val="center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水平 360°、垂直至少 90°、低噪音；开放方向、停止、回中、预置位和限位控制。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麦克风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双麦或四麦，支持 16 kHz/48 kHz、3–5 米拾音；可持续输出音频流。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音频处理</w:t>
            </w:r>
          </w:p>
        </w:tc>
        <w:tc>
          <w:tcPr>
            <w:tcW w:type="dxa" w:w="7560"/>
            <w:vAlign w:val="center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支持 VAD、AEC 回声消除、降噪，最好有 AGC；播放语音时不得反复识别自身声音。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扬声器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2–3 W 以上；支持 PCM、Opus、AAC、MP3 或 WAV 中至少两种，最好支持实时音频流。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播放控制</w:t>
            </w:r>
          </w:p>
        </w:tc>
        <w:tc>
          <w:tcPr>
            <w:tcW w:type="dxa" w:w="7560"/>
            <w:vAlign w:val="center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必须开放播放、停止、打断、队列、音量、状态和错误码接口；不能只能播放固定报警音。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本地唤醒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支持离线唤醒词，可定制 2–4 字名称；待机时不持续上传环境音频。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基础端侧 AI</w:t>
            </w:r>
          </w:p>
        </w:tc>
        <w:tc>
          <w:tcPr>
            <w:tcW w:type="dxa" w:w="7560"/>
            <w:vAlign w:val="center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支持人形、运动、虚拟区域、基础声音事件；最好支持坐姿初判和离线任务提醒，端侧模型可升级。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配网与绑定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2.4G/5G Wi-Fi、BLE 配网、二维码绑定、局域网发现、换网和断网自动重连。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SDK/API</w:t>
            </w:r>
          </w:p>
        </w:tc>
        <w:tc>
          <w:tcPr>
            <w:tcW w:type="dxa" w:w="7560"/>
            <w:vAlign w:val="center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提供 Linux ARM64 SDK，或完整局域网 HTTP/CGI、MQTT、WebSocket 接口；须含文档、头文件/库、Demo、错误码和版本兼容说明。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私有服务器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可连接我方 MQTT over TLS、WebSocket 或 HTTPS 服务，支持心跳、事件上报、远程命令和断线重连；不得强制依赖厂家云/P2P。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设备管理</w:t>
            </w:r>
          </w:p>
        </w:tc>
        <w:tc>
          <w:tcPr>
            <w:tcW w:type="dxa" w:w="7560"/>
            <w:vAlign w:val="center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唯一设备 ID、序列号、硬件/固件版本、在线状态、日志、重启、恢复出厂、解绑和二手重置接口。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存储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建议 32 GB eMMC，可选 TF 卡；可保存事件截图、短片、模型、日志和断网任务队列。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隐私</w:t>
            </w:r>
          </w:p>
        </w:tc>
        <w:tc>
          <w:tcPr>
            <w:tcW w:type="dxa" w:w="7560"/>
            <w:vAlign w:val="center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物理遮挡或明显电子隐私盖；查看、录音、通话和隐私模式有明确灯效；隐私模式下停止采集和上传。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安全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每台设备使用独立凭证/证书，TLS 1.2 以上，接口鉴权和权限控制；禁止通用默认密码、未授权调试口和直接暴露公网。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OTA</w:t>
            </w:r>
          </w:p>
        </w:tc>
        <w:tc>
          <w:tcPr>
            <w:tcW w:type="dxa" w:w="7560"/>
            <w:vAlign w:val="center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固件签名校验、升级进度、设备回执、失败回滚、灰度发布和远程诊断；升级后不得破坏 ONVIF、RTSP、音频和 PTZ 接口。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可靠性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支持 7×24 小时运行、断电/断网自动恢复、异常进程自恢复；满负载连续运行 72 小时无异常重启或危险温升。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厂商交付</w:t>
            </w:r>
          </w:p>
        </w:tc>
        <w:tc>
          <w:tcPr>
            <w:tcW w:type="dxa" w:w="7560"/>
            <w:vAlign w:val="center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2–3 台同硬件/同固件工程样机，完整规格书，ONVIF/RTSP 资料，SDK/API 与 Demo，固件升级包，商用授权、定制费、MOQ 和交付周期。</w:t>
            </w:r>
          </w:p>
        </w:tc>
      </w:tr>
    </w:tbl>
    <w:p>
      <w:pPr>
        <w:spacing w:before="0" w:after="40" w:line="240" w:lineRule="auto"/>
      </w:pPr>
    </w:p>
    <w:p>
      <w:pPr>
        <w:spacing w:before="80" w:after="0" w:line="276" w:lineRule="auto"/>
        <w:shd w:fill="F4F6F9"/>
      </w:pPr>
      <w:r>
        <w:rPr>
          <w:rFonts w:ascii="Calibri" w:hAnsi="Calibri" w:eastAsia="Microsoft YaHei"/>
          <w:b/>
          <w:color w:val="2E74B5"/>
          <w:sz w:val="18"/>
        </w:rPr>
        <w:t>说明：</w:t>
      </w:r>
      <w:r>
        <w:rPr>
          <w:rFonts w:ascii="Calibri" w:hAnsi="Calibri" w:eastAsia="Microsoft YaHei"/>
          <w:color w:val="1F2937"/>
          <w:sz w:val="18"/>
        </w:rPr>
        <w:t>ONVIF/RTSP 不能替代扬声器、音频打断、隐私、配网和 OTA 接口；这些能力必须通过开放 SDK 或局域网 API 验证。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 w:eastAsia="Microsoft YaHei"/>
        <w:color w:val="5F6B7A"/>
        <w:sz w:val="18"/>
      </w:rPr>
      <w:t xml:space="preserve">第 </w:t>
    </w:r>
    <w:r>
      <w:rPr>
        <w:rFonts w:ascii="Calibri" w:hAnsi="Calibri" w:eastAsia="Microsoft YaHei"/>
        <w:color w:val="5F6B7A"/>
        <w:sz w:val="18"/>
      </w:rPr>
      <w:fldChar w:fldCharType="begin"/>
      <w:instrText xml:space="preserve"> PAGE </w:instrText>
      <w:fldChar w:fldCharType="end"/>
    </w:r>
    <w:r>
      <w:rPr>
        <w:rFonts w:ascii="Calibri" w:hAnsi="Calibri" w:eastAsia="Microsoft YaHei"/>
        <w:color w:val="5F6B7A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 w:before="0"/>
      <w:contextualSpacing/>
    </w:pPr>
    <w:rPr>
      <w:rFonts w:asciiTheme="majorHAnsi" w:eastAsiaTheme="majorEastAsia" w:hAnsiTheme="majorHAnsi" w:cstheme="majorBidi" w:ascii="Calibri" w:hAnsi="Calibri" w:eastAsia="Microsoft YaHei"/>
      <w:b/>
      <w:color w:val="0B2545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摄像头设备技术要求</dc:title>
  <dc:subject>摄像头厂商选型与工程样机要求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