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dataset_construction_for_cwr_model"/>
      <w:r>
        <w:rPr>
          <w:b/>
          <w:sz w:val="56"/>
        </w:rPr>
        <w:t xml:space="preserve">Dataset Construction for CWR Model</w:t>
      </w:r>
      <w:bookmarkEnd w:id="0"/>
    </w:p>
    <w:p>
      <w:pPr>
        <w:spacing w:line="271" w:before="240" w:lineRule="auto"/>
      </w:pPr>
      <w:bookmarkStart w:id="1" w:name="overview"/>
      <w:r>
        <w:rPr>
          <w:b/>
          <w:sz w:val="42"/>
        </w:rPr>
        <w:t xml:space="preserve">Overview</w:t>
      </w:r>
      <w:bookmarkEnd w:id="1"/>
    </w:p>
    <w:p>
      <w:pPr>
        <w:spacing w:after="210" w:lineRule="auto"/>
      </w:pPr>
      <w:r>
        <w:rPr/>
        <w:t xml:space="preserve">The crop water requirement (CWR) model was trained on a synthetic yet agronomically grounded dataset constructed by combining (i) expert-elicited rules from a structured questionnaire and (ii) the FAO-56 water balance framework as the governing formula for CWR. Rather than relying on scarce and noisy field measurements, this approach uses process-based knowledge to generate physically consistent training labels, in line with emerging paradigms in theory-guided and physics-informed machine learning.[1][2][3][4]</w:t>
      </w:r>
    </w:p>
    <w:p>
      <w:pPr>
        <w:spacing w:line="271" w:before="240" w:lineRule="auto"/>
      </w:pPr>
      <w:bookmarkStart w:id="2" w:name="expert_elicited_agronomic_knowledge"/>
      <w:r>
        <w:rPr>
          <w:b/>
          <w:sz w:val="42"/>
        </w:rPr>
        <w:t xml:space="preserve">Expert-Elicited Agronomic Knowledge</w:t>
      </w:r>
      <w:bookmarkEnd w:id="2"/>
    </w:p>
    <w:p>
      <w:pPr>
        <w:spacing w:after="210" w:lineRule="auto"/>
      </w:pPr>
      <w:r>
        <w:rPr/>
        <w:t xml:space="preserve">A 30-question structured questionnaire was designed to capture domain knowledge on paddy irrigation from an industry agronomist with field experience in Sri Lankan tropical conditions. The questions covered stage-wise target water depths, minimum and maximum safe ponding depths, soil-moisture thresholds for stress and saturation, typical tank-level operating thresholds, evapotranspiration (ET) regimes, and rainfall-based irrigation rules. The responses were encoded in a dedicated </w:t>
      </w:r>
      <w:r>
        <w:rPr>
          <w:rStyle w:val="VerbatimChar"/>
          <w:rFonts w:eastAsia="menlo" w:cs="menlo" w:ascii="menlo" w:hAnsi="menlo"/>
          <w:shd w:val="clear" w:color="auto" w:fill="F8F8FA"/>
        </w:rPr>
        <w:t xml:space="preserve">ExpertParameters</w:t>
      </w:r>
      <w:r>
        <w:rPr/>
        <w:t xml:space="preserve"> class, with each constant (for example, </w:t>
      </w:r>
      <w:r>
        <w:rPr>
          <w:rStyle w:val="VerbatimChar"/>
          <w:rFonts w:eastAsia="menlo" w:cs="menlo" w:ascii="menlo" w:hAnsi="menlo"/>
          <w:shd w:val="clear" w:color="auto" w:fill="F8F8FA"/>
        </w:rPr>
        <w:t xml:space="preserve">SEEDLING_IDEAL_DEPTH</w:t>
      </w:r>
      <w:r>
        <w:rPr/>
        <w:t xml:space="preserve">, </w:t>
      </w:r>
      <w:r>
        <w:rPr>
          <w:rStyle w:val="VerbatimChar"/>
          <w:rFonts w:eastAsia="menlo" w:cs="menlo" w:ascii="menlo" w:hAnsi="menlo"/>
          <w:shd w:val="clear" w:color="auto" w:fill="F8F8FA"/>
        </w:rPr>
        <w:t xml:space="preserve">TANK_MIN_THRESHOLD</w:t>
      </w:r>
      <w:r>
        <w:rPr/>
        <w:t xml:space="preserve">, </w:t>
      </w:r>
      <w:r>
        <w:rPr>
          <w:rStyle w:val="VerbatimChar"/>
          <w:rFonts w:eastAsia="menlo" w:cs="menlo" w:ascii="menlo" w:hAnsi="menlo"/>
          <w:shd w:val="clear" w:color="auto" w:fill="F8F8FA"/>
        </w:rPr>
        <w:t xml:space="preserve">HIGH_ET_THRESHOLD</w:t>
      </w:r>
      <w:r>
        <w:rPr/>
        <w:t xml:space="preserve">) annotated by the corresponding question ID to maintain traceability back to the expert feedback.</w:t>
      </w:r>
    </w:p>
    <w:p>
      <w:pPr>
        <w:spacing w:after="210" w:lineRule="auto"/>
      </w:pPr>
      <w:r>
        <w:rPr>
          <w:rFonts w:eastAsia="Georgia" w:cs="Georgia" w:ascii="Georgia" w:hAnsi="Georgia"/>
        </w:rPr>
        <w:t xml:space="preserve">For flooded stages (seedling, tillering, vegetative, reproductive), the expert specified ideal and acceptable ranges of standing water depth in centimetres, which were converted to millimetres for consistency with FAO-56 notation. For the ripening stage, the expert instead provided target soil-moisture percentages and a stress threshold below which yield risk becomes significant. Additional questions identified a minimum safe tank storage (for example, 25–30%) below which irrigation must be rationed, priority stages under water scarcity (reproductive and tillering), and rainfall thresholds at which irrigation should be reduced or skipped entirely.[2]</w:t>
      </w:r>
    </w:p>
    <w:p>
      <w:pPr>
        <w:spacing w:line="271" w:before="240" w:lineRule="auto"/>
      </w:pPr>
      <w:bookmarkStart w:id="3" w:name="fao_56_based_cwr_formulation"/>
      <w:r>
        <w:rPr>
          <w:b/>
          <w:sz w:val="42"/>
        </w:rPr>
        <w:t xml:space="preserve">FAO-56-Based CWR Formulation</w:t>
      </w:r>
      <w:bookmarkEnd w:id="3"/>
    </w:p>
    <w:p>
      <w:pPr>
        <w:spacing w:after="210" w:lineRule="auto"/>
      </w:pPr>
      <w:r>
        <w:rPr/>
        <w:t xml:space="preserve">The target variable, CWR in millimetres per event, was computed using a water-balance formulation derived from FAO-56 crop water requirement principles. Conceptually, the model estimates the net irrigation depth required to (i) restore the field to a stage-specific target ponding depth or soil-moisture level, and (ii) compensate for upcoming evapotranspiration and percolation losses, after subtracting the contribution of forecast rainfall. For flooded stages, the governing equation can be expressed schematically as[2]</w:t>
      </w:r>
    </w:p>
    <w:p>
      <w:pPr>
        <w:spacing w:after="210" w:lineRule="auto"/>
      </w:pPr>
      <m:oMathPara>
        <m:oMath>
          <m:r>
            <m:rPr>
              <m:sty m:val="i"/>
            </m:rPr>
            <m:t>C</m:t>
          </m:r>
          <m:r>
            <m:rPr>
              <m:sty m:val="i"/>
            </m:rPr>
            <m:t>W</m:t>
          </m:r>
          <m:r>
            <m:rPr>
              <m:sty m:val="i"/>
            </m:rPr>
            <m:t>R</m:t>
          </m:r>
          <m:r>
            <m:rPr>
              <m:sty m:val="p"/>
            </m:rPr>
            <m:t>=</m:t>
          </m:r>
          <m:sSub>
            <m:sSubPr/>
            <m:e>
              <m:r>
                <m:rPr>
                  <m:sty m:val="i"/>
                </m:rPr>
                <m:t>D</m:t>
              </m:r>
            </m:e>
            <m:sub>
              <m:r>
                <m:rPr>
                  <m:nor/>
                </m:rPr>
                <m:t>deficit</m:t>
              </m:r>
            </m:sub>
          </m:sSub>
          <m:r>
            <m:rPr>
              <m:sty m:val="p"/>
            </m:rPr>
            <m:t>+</m:t>
          </m:r>
          <m:r>
            <m:rPr>
              <m:sty m:val="i"/>
            </m:rPr>
            <m:t>E</m:t>
          </m:r>
          <m:r>
            <m:rPr>
              <m:sty m:val="i"/>
            </m:rPr>
            <m:t>T</m:t>
          </m:r>
          <m:r>
            <m:rPr>
              <m:sty m:val="p"/>
            </m:rPr>
            <m:t>+</m:t>
          </m:r>
          <m:sSub>
            <m:sSubPr/>
            <m:e>
              <m:r>
                <m:rPr>
                  <m:sty m:val="i"/>
                </m:rPr>
                <m:t>P</m:t>
              </m:r>
            </m:e>
            <m:sub>
              <m:r>
                <m:rPr>
                  <m:nor/>
                </m:rPr>
                <m:t>perc</m:t>
              </m:r>
            </m:sub>
          </m:sSub>
          <m:r>
            <m:rPr>
              <m:sty m:val="p"/>
            </m:rPr>
            <m:t>−</m:t>
          </m:r>
          <m:sSub>
            <m:sSubPr/>
            <m:e>
              <m:r>
                <m:rPr>
                  <m:sty m:val="i"/>
                </m:rPr>
                <m:t>P</m:t>
              </m:r>
            </m:e>
            <m:sub>
              <m:r>
                <m:rPr>
                  <m:sty m:val="i"/>
                </m:rPr>
                <m:t>e</m:t>
              </m:r>
            </m:sub>
          </m:sSub>
          <m:r>
            <m:rPr>
              <m:sty m:val="p"/>
            </m:rPr>
            <m:t xml:space="preserve"> </m:t>
          </m:r>
          <m:r>
            <m:rPr>
              <m:sty m:val="p"/>
            </m:rPr>
            <m:t>(</m:t>
          </m:r>
          <m:r>
            <m:rPr>
              <m:sty m:val="p"/>
            </m:rPr>
            <m:t>1</m:t>
          </m:r>
          <m:r>
            <m:rPr>
              <m:sty m:val="p"/>
            </m:rPr>
            <m:t>)</m:t>
          </m:r>
        </m:oMath>
      </m:oMathPara>
    </w:p>
    <w:p>
      <w:pPr>
        <w:spacing w:after="210" w:lineRule="auto"/>
      </w:pPr>
      <w:r>
        <w:rPr/>
        <w:t xml:space="preserve">where </w:t>
      </w:r>
      <m:oMath>
        <m:sSub>
          <m:sSubPr/>
          <m:e>
            <m:r>
              <m:rPr>
                <m:sty m:val="i"/>
              </m:rPr>
              <m:t>D</m:t>
            </m:r>
          </m:e>
          <m:sub>
            <m:r>
              <m:rPr>
                <m:nor/>
              </m:rPr>
              <m:t>deficit</m:t>
            </m:r>
          </m:sub>
        </m:sSub>
      </m:oMath>
      <w:r>
        <w:rPr/>
        <w:t xml:space="preserve"> is the difference between the expert-specified target water depth and the current water depth, </w:t>
      </w:r>
      <m:oMath>
        <m:r>
          <m:rPr>
            <m:sty m:val="i"/>
          </m:rPr>
          <m:t>E</m:t>
        </m:r>
        <m:r>
          <m:rPr>
            <m:sty m:val="i"/>
          </m:rPr>
          <m:t>T</m:t>
        </m:r>
      </m:oMath>
      <w:r>
        <w:rPr/>
        <w:t xml:space="preserve"> is daily evapotranspiration obtained from the weather API, </w:t>
      </w:r>
      <m:oMath>
        <m:sSub>
          <m:sSubPr/>
          <m:e>
            <m:r>
              <m:rPr>
                <m:sty m:val="i"/>
              </m:rPr>
              <m:t>P</m:t>
            </m:r>
          </m:e>
          <m:sub>
            <m:r>
              <m:rPr>
                <m:nor/>
              </m:rPr>
              <m:t>perc</m:t>
            </m:r>
          </m:sub>
        </m:sSub>
      </m:oMath>
      <w:r>
        <w:rPr/>
        <w:t xml:space="preserve"> is a fixed percolation/seepage term (for example, 3 mm/day for clay loam paddy soil), and </w:t>
      </w:r>
      <m:oMath>
        <m:sSub>
          <m:sSubPr/>
          <m:e>
            <m:r>
              <m:rPr>
                <m:sty m:val="i"/>
              </m:rPr>
              <m:t>P</m:t>
            </m:r>
          </m:e>
          <m:sub>
            <m:r>
              <m:rPr>
                <m:sty m:val="i"/>
              </m:rPr>
              <m:t>e</m:t>
            </m:r>
          </m:sub>
        </m:sSub>
      </m:oMath>
      <w:r>
        <w:rPr/>
        <w:t xml:space="preserve"> is effective rainfall over the next 24 hours. For the ripening stage, </w:t>
      </w:r>
      <m:oMath>
        <m:sSub>
          <m:sSubPr/>
          <m:e>
            <m:r>
              <m:rPr>
                <m:sty m:val="i"/>
              </m:rPr>
              <m:t>D</m:t>
            </m:r>
          </m:e>
          <m:sub>
            <m:r>
              <m:rPr>
                <m:nor/>
              </m:rPr>
              <m:t>deficit</m:t>
            </m:r>
          </m:sub>
        </m:sSub>
      </m:oMath>
      <w:r>
        <w:rPr/>
        <w:t xml:space="preserve"> is instead based on the deficit between current soil moisture and the expert-specified target moisture, converted to an equivalent water depth over the root zone.[2]</w:t>
      </w:r>
    </w:p>
    <w:p>
      <w:pPr>
        <w:spacing w:after="210" w:lineRule="auto"/>
      </w:pPr>
      <w:r>
        <w:rPr>
          <w:rFonts w:eastAsia="Georgia" w:cs="Georgia" w:ascii="Georgia" w:hAnsi="Georgia"/>
        </w:rPr>
        <w:t xml:space="preserve">Rainfall rules from the questionnaire were implemented on top of this balance. When predicted rainfall exceeded a skip threshold (for example, 10 mm), the CWR was set to zero, reflecting the expert’s guidance that irrigation should be avoided ahead of heavy rain. For moderate predicted rainfall (for example, 5–10 mm), CWR was downscaled by an empirically chosen reduction factor (for example, 40%) based on the expert’s indication that irrigation should be partially reduced rather than fully cancelled. These adjustments are consistent with how FAO-56 recommends treating effective rainfall in irrigation scheduling studies.[2]</w:t>
      </w:r>
    </w:p>
    <w:p>
      <w:pPr>
        <w:spacing w:line="271" w:before="240" w:lineRule="auto"/>
      </w:pPr>
      <w:bookmarkStart w:id="4" w:name="encoding_expert_decision_rules"/>
      <w:r>
        <w:rPr>
          <w:b/>
          <w:sz w:val="42"/>
        </w:rPr>
        <w:t xml:space="preserve">Encoding Expert Decision Rules</w:t>
      </w:r>
      <w:bookmarkEnd w:id="4"/>
    </w:p>
    <w:p>
      <w:pPr>
        <w:spacing w:after="210" w:lineRule="auto"/>
      </w:pPr>
      <w:r>
        <w:rPr>
          <w:rFonts w:eastAsia="Georgia" w:cs="Georgia" w:ascii="Georgia" w:hAnsi="Georgia"/>
        </w:rPr>
        <w:t xml:space="preserve">Beyond the core water balance, several expert rules were embedded to better reflect paddy-physiology constraints. For flooded stages, a “dried field” condition was detected when standing water depth dropped below a small threshold (for example, 0.5 cm). In such cases, the CWR calculation first added water to re-saturate the soil up to a near-saturated moisture level, then added the target ponding depth, and finally accounted for ET, percolation, and rainfall. This reflects the agronomic insight that once the field visually dries, part of the applied water initially goes into refilling soil pores before a stable ponding layer forms.</w:t>
      </w:r>
    </w:p>
    <w:p>
      <w:pPr>
        <w:spacing w:after="210" w:lineRule="auto"/>
      </w:pPr>
      <w:r>
        <w:rPr>
          <w:rFonts w:eastAsia="Georgia" w:cs="Georgia" w:ascii="Georgia" w:hAnsi="Georgia"/>
        </w:rPr>
        <w:t xml:space="preserve">Stage-specific minimum depths and a soil-moisture stress threshold for ripening were used to flag “critical” situations where crops are at immediate risk. In these cases, the computed CWR was boosted (for example, by 30%) to accelerate recovery, capturing the expert’s preference for more aggressive irrigation under stress. Conversely, maximum safe depths per stage and a global harmful depth (for example, 150 mm) were enforced so that the final CWR never implied ponding levels associated with lodging or oxygen stress. These constraints ensure that every synthetic label remains within agronomically plausible and safe operating ranges.</w:t>
      </w:r>
    </w:p>
    <w:p>
      <w:pPr>
        <w:spacing w:after="210" w:lineRule="auto"/>
      </w:pPr>
      <w:r>
        <w:rPr>
          <w:rFonts w:eastAsia="Georgia" w:cs="Georgia" w:ascii="Georgia" w:hAnsi="Georgia"/>
        </w:rPr>
        <w:t xml:space="preserve">Tank storage rules were modelled using a gradual scaling function rather than a binary cutoff. When tank level was above an “optimal” threshold (for example, 60%), the full CWR from the water balance was applied. Between the minimum and optimal thresholds, CWR was linearly scaled (for example, from 0.5× to 1.0×), and below the minimum threshold only high-priority or critically stressed stages received a reduced fraction of CWR (for example, 50%), while non-priority stages received a minimal maintenance irrigation (for example, 20%). This implements the expert’s strategy for rationing limited water across crop stages during low-storage periods.</w:t>
      </w:r>
    </w:p>
    <w:p>
      <w:pPr>
        <w:spacing w:line="271" w:before="240" w:lineRule="auto"/>
      </w:pPr>
      <w:bookmarkStart w:id="5" w:name="synthetic_dataset_generation_procedure"/>
      <w:r>
        <w:rPr>
          <w:b/>
          <w:sz w:val="42"/>
        </w:rPr>
        <w:t xml:space="preserve">Synthetic Dataset Generation Procedure</w:t>
      </w:r>
      <w:bookmarkEnd w:id="5"/>
    </w:p>
    <w:p>
      <w:pPr>
        <w:spacing w:after="210" w:lineRule="auto"/>
      </w:pPr>
      <w:r>
        <w:rPr/>
        <w:t xml:space="preserve">Using the expert parameters and CWR function, a synthetic dataset of 4,000 samples was generated over five crop stages. For each stage, scenarios were sampled across realistic ranges of the six model input features: </w:t>
      </w:r>
      <w:r>
        <w:rPr>
          <w:rStyle w:val="VerbatimChar"/>
          <w:rFonts w:eastAsia="menlo" w:cs="menlo" w:ascii="menlo" w:hAnsi="menlo"/>
          <w:shd w:val="clear" w:color="auto" w:fill="F8F8FA"/>
        </w:rPr>
        <w:t xml:space="preserve">Water_Depth_cm</w:t>
      </w:r>
      <w:r>
        <w:rPr/>
        <w:t xml:space="preserve">, </w:t>
      </w:r>
      <w:r>
        <w:rPr>
          <w:rStyle w:val="VerbatimChar"/>
          <w:rFonts w:eastAsia="menlo" w:cs="menlo" w:ascii="menlo" w:hAnsi="menlo"/>
          <w:shd w:val="clear" w:color="auto" w:fill="F8F8FA"/>
        </w:rPr>
        <w:t xml:space="preserve">Soil_Moisture_%</w:t>
      </w:r>
      <w:r>
        <w:rPr/>
        <w:t xml:space="preserve">, </w:t>
      </w:r>
      <w:r>
        <w:rPr>
          <w:rStyle w:val="VerbatimChar"/>
          <w:rFonts w:eastAsia="menlo" w:cs="menlo" w:ascii="menlo" w:hAnsi="menlo"/>
          <w:shd w:val="clear" w:color="auto" w:fill="F8F8FA"/>
        </w:rPr>
        <w:t xml:space="preserve">Tank_Level_%</w:t>
      </w:r>
      <w:r>
        <w:rPr/>
        <w:t xml:space="preserve">, </w:t>
      </w:r>
      <w:r>
        <w:rPr>
          <w:rStyle w:val="VerbatimChar"/>
          <w:rFonts w:eastAsia="menlo" w:cs="menlo" w:ascii="menlo" w:hAnsi="menlo"/>
          <w:shd w:val="clear" w:color="auto" w:fill="F8F8FA"/>
        </w:rPr>
        <w:t xml:space="preserve">ET_mm_day</w:t>
      </w:r>
      <w:r>
        <w:rPr/>
        <w:t xml:space="preserve">, </w:t>
      </w:r>
      <w:r>
        <w:rPr>
          <w:rStyle w:val="VerbatimChar"/>
          <w:rFonts w:eastAsia="menlo" w:cs="menlo" w:ascii="menlo" w:hAnsi="menlo"/>
          <w:shd w:val="clear" w:color="auto" w:fill="F8F8FA"/>
        </w:rPr>
        <w:t xml:space="preserve">Rainfall_Predicted_mm</w:t>
      </w:r>
      <w:r>
        <w:rPr/>
        <w:t xml:space="preserve">, and </w:t>
      </w:r>
      <w:r>
        <w:rPr>
          <w:rStyle w:val="VerbatimChar"/>
          <w:rFonts w:eastAsia="menlo" w:cs="menlo" w:ascii="menlo" w:hAnsi="menlo"/>
          <w:shd w:val="clear" w:color="auto" w:fill="F8F8FA"/>
        </w:rPr>
        <w:t xml:space="preserve">Crop_Stage</w:t>
      </w:r>
      <w:r>
        <w:rPr/>
        <w:t xml:space="preserve">. Flooded stages sampled a mixture of dried-out conditions, below-ideal depths, around-ideal depths, and above-ideal but still safe depths, ensuring that the model is exposed to the full spectrum from water deficit to minor over-flooding. Ripening-stage samples instead spanned dry, near-stress, optimal, and wet soil-moisture regimes with zero standing water.</w:t>
      </w:r>
    </w:p>
    <w:p>
      <w:pPr>
        <w:spacing w:after="210" w:lineRule="auto"/>
      </w:pPr>
      <w:r>
        <w:rPr>
          <w:rFonts w:eastAsia="Georgia" w:cs="Georgia" w:ascii="Georgia" w:hAnsi="Georgia"/>
        </w:rPr>
        <w:t xml:space="preserve">Evapotranspiration values were drawn to reflect typical tropical paddy conditions, with most days in the normal range (for example, 5–7 mm/day), some high-ET days (for example, </w:t>
      </w:r>
      <m:oMath>
        <m:r>
          <m:rPr>
            <m:sty m:val="p"/>
          </m:rPr>
          <m:t>&gt;</m:t>
        </m:r>
        <m:r>
          <m:rPr>
            <m:sty m:val="p"/>
          </m:rPr>
          <m:t>8</m:t>
        </m:r>
      </m:oMath>
      <w:r>
        <w:rPr>
          <w:rFonts w:eastAsia="Georgia" w:cs="Georgia" w:ascii="Georgia" w:hAnsi="Georgia"/>
        </w:rPr>
        <w:t xml:space="preserve"> mm/day), and a smaller fraction of cool or low-ET days. Predicted rainfall was sampled as a mixture of no-rain days, light showers, moderate events near the reduction threshold, and a minority of heavy rain events above the skip threshold, mirroring the relative frequency of such events in monsoonal climates. Tank levels were sampled uniformly across a plausible operating range (for example, 15–100%) to allow the model to learn interactions between water availability and irrigation decisions. For each sampled feature vector, the CWR label was computed using the expert- and FAO-56-informed function, and values were clipped to non-negative depths and to a stage-specific maximum safe addition per event.[2]</w:t>
      </w:r>
    </w:p>
    <w:p>
      <w:pPr>
        <w:spacing w:after="210" w:lineRule="auto"/>
      </w:pPr>
      <w:r>
        <w:rPr/>
        <w:t xml:space="preserve">The resulting dataset was shuffled and summarised to verify basic statistics such as the distribution of CWR magnitudes, the proportion of zero-CWR cases (skip irrigation due to heavy rain or over-flooding), and the sample counts per crop stage. Simple correlation checks were also performed to confirm that, holding other factors approximately constant within a stage, CWR tends to (i) increase with ET, (ii) decrease with increasing rainfall, and (iii) decrease with increasing soil moisture in non-flooded conditions. These empirical patterns are consistent with the monotonic constraints later imposed during model training.</w:t>
      </w:r>
    </w:p>
    <w:p>
      <w:pPr>
        <w:spacing w:line="271" w:before="240" w:lineRule="auto"/>
      </w:pPr>
      <w:bookmarkStart w:id="6" w:name="expert_validation_and_sanity_checks"/>
      <w:r>
        <w:rPr>
          <w:b/>
          <w:sz w:val="42"/>
        </w:rPr>
        <w:t xml:space="preserve">Expert Validation and Sanity Checks</w:t>
      </w:r>
      <w:bookmarkEnd w:id="6"/>
    </w:p>
    <w:p>
      <w:pPr>
        <w:spacing w:after="210" w:lineRule="auto"/>
      </w:pPr>
      <w:r>
        <w:rPr/>
        <w:t xml:space="preserve">To ensure that the synthetic labels were not only internally consistent but also realistic, representative subsets of generated samples were reviewed with the same industry expert who had completed the questionnaire. For each subset, the expert inspected the input combination (depth, moisture, tank level, ET, rainfall, stage) and the corresponding CWR value, and provided qualitative feedback on whether the irrigation recommendation felt too low, too high, or appropriate. Iterative adjustments were made to coefficients such as the soil-moisture-to-depth conversion, rainfall reduction factor, and critical-boost factor until the expert was satisfied that the dataset reflected plausible paddy-field behaviour under Sri Lankan conditions.</w:t>
      </w:r>
    </w:p>
    <w:p>
      <w:pPr>
        <w:spacing w:after="210" w:lineRule="auto"/>
      </w:pPr>
      <w:r>
        <w:rPr>
          <w:rFonts w:eastAsia="Georgia" w:cs="Georgia" w:ascii="Georgia" w:hAnsi="Georgia"/>
        </w:rPr>
        <w:t xml:space="preserve">In addition to expert review, a set of automated “rule violation” checks was implemented on the generated dataset. These included verifying that CWR was always zero when forecast rainfall exceeded the skip threshold, that no sample produced negative CWR, and that fields already at or above the harmful depth never received additional irrigation. These checks parallel emerging practice in hydrology and ecohydrology, where physics-informed or hydrologically informed machine learning frameworks explicitly enforce mass-balance constraints and rule-based consistency during model development.[5][3]</w:t>
      </w:r>
    </w:p>
    <w:p>
      <w:pPr>
        <w:spacing w:line="271" w:before="240" w:lineRule="auto"/>
      </w:pPr>
      <w:bookmarkStart w:id="7" w:name="positioning_within_physics_inform_b3f049"/>
      <w:r>
        <w:rPr>
          <w:b/>
          <w:sz w:val="42"/>
        </w:rPr>
        <w:t xml:space="preserve">Positioning within Physics-Informed and Knowledge-Guided ML</w:t>
      </w:r>
      <w:bookmarkEnd w:id="7"/>
    </w:p>
    <w:p>
      <w:pPr>
        <w:spacing w:after="210" w:lineRule="auto"/>
      </w:pPr>
      <w:r>
        <w:rPr/>
        <w:t xml:space="preserve">The dataset-construction strategy aligns closely with the broader class of theory-guided and physics-informed machine learning approaches. Theory-guided data science (TGDS) explicitly advocates blending existing scientific knowledge with data-driven models to improve generalisation and interpretability; typical strategies include using process-based models to generate surrogate data or to regularise machine-learning models via physical constraints. Physics-informed neural networks (PINNs) and related methods likewise encode governing equations into the learning objective so that the learned surrogate respects known physical laws, especially when observational data are limited.[6][4][7]</w:t>
      </w:r>
    </w:p>
    <w:p>
      <w:pPr>
        <w:spacing w:after="210" w:lineRule="auto"/>
      </w:pPr>
      <w:r>
        <w:rPr/>
        <w:t xml:space="preserve">In environmental domains, several works demonstrate the benefit of using process-based or physics-based models as teachers to guide data-driven surrogates. Physics-guided neural networks (PGNN) for lake temperature forecasting, for example, leverage the outputs of a mechanistic lake model together with observational data and physics-based loss terms, leading to predictions that are both more accurate and more consistent with thermodynamic constraints than purely data-driven baselines. Hydrologically informed machine learning and ecohydrological knowledge-distillation frameworks similarly use process-based models to generate training signals or regularisation targets for machine-learning models, enabling better extrapolation and physically credible behaviour under changing conditions.[8][3][9][10]</w:t>
      </w:r>
    </w:p>
    <w:p>
      <w:pPr>
        <w:spacing w:after="210" w:lineRule="auto"/>
      </w:pPr>
      <w:r>
        <w:rPr>
          <w:rFonts w:eastAsia="Georgia" w:cs="Georgia" w:ascii="Georgia" w:hAnsi="Georgia"/>
        </w:rPr>
        <w:t xml:space="preserve">Closer to the soil–water domain, recent studies have applied knowledge distillation and physics-guided learning to soil-moisture estimation and related variables, demonstrating that ML models can successfully absorb structure from physically grounded teachers while remaining computationally efficient at inference time. In crop-water contexts, multiple works now compare or couple FAO-56-based methods with machine learning, either using FAO-56 as a benchmark or as a source of derived variables such as reference ET and crop coefficients to support data-driven models. The NeuralFAO56 framework, for example, explicitly integrates FAO-56 formulas, real-time data acquisition, and ML modules to automate data-driven irrigation-demand estimation.[11][12][13][14][15][1][2]</w:t>
      </w:r>
    </w:p>
    <w:p>
      <w:pPr>
        <w:spacing w:after="210" w:lineRule="auto"/>
      </w:pPr>
      <w:r>
        <w:rPr/>
        <w:t xml:space="preserve">The present work follows the same philosophy: the FAO-56 water-balance framework and expert questionnaire are used to generate synthetic but physically and agronomically consistent CWR labels, and the machine-learning model is then trained to approximate this mapping from raw sensor and forecast features. In this sense, the expert- and FAO-56-based CWR function acts as a process-based teacher, while the ensemble of gradient boosting models serves as a fast, data-driven student.</w:t>
      </w:r>
    </w:p>
    <w:p>
      <w:pPr>
        <w:spacing w:line="271" w:before="240" w:lineRule="auto"/>
      </w:pPr>
      <w:bookmarkStart w:id="8" w:name="advantages_of_this_dataset_for_cw_98c661"/>
      <w:r>
        <w:rPr>
          <w:b/>
          <w:sz w:val="42"/>
        </w:rPr>
        <w:t xml:space="preserve">Advantages of This Dataset for CWR Modelling</w:t>
      </w:r>
      <w:bookmarkEnd w:id="8"/>
    </w:p>
    <w:p>
      <w:pPr>
        <w:spacing w:after="210" w:lineRule="auto"/>
      </w:pPr>
      <w:r>
        <w:rPr>
          <w:rFonts w:eastAsia="Georgia" w:cs="Georgia" w:ascii="Georgia" w:hAnsi="Georgia"/>
        </w:rPr>
        <w:t xml:space="preserve">Constructing the CWR dataset in this physics- and expert-informed manner offers several advantages over using a small, purely observational dataset. First, it allows coverage of a wide range of plausible but rarely observed scenarios (for example, extreme ET with low tank levels or marginal rainfall ahead of critical stages), which improves the robustness of the trained model in edge cases that are operationally important but statistically infrequent. Second, every label is by construction consistent with the FAO-56 water balance and the expert’s irrigation philosophy, mitigating the risk that the model learns from noisy, contradictory, or ad hoc decisions.</w:t>
      </w:r>
    </w:p>
    <w:p>
      <w:pPr>
        <w:spacing w:after="210" w:lineRule="auto"/>
      </w:pPr>
      <w:r>
        <w:rPr>
          <w:rFonts w:eastAsia="Georgia" w:cs="Georgia" w:ascii="Georgia" w:hAnsi="Georgia"/>
        </w:rPr>
        <w:t xml:space="preserve">Third, physics- and knowledge-guided datasets help address the data scarcity challenge that is common in agriculture and hydrology, where high-quality, labelled field datasets are expensive and slow to acquire. By using process-based formulas and expert rules as a generative mechanism, the dataset effectively distils decades of agronomic understanding into a form that can be learned by tree-based ensemble models. This mirrors findings in the broader literature, where surrogate models trained on synthetic data from process-based simulations have been shown to achieve high accuracy while drastically reducing runtime and operational complexity in tasks ranging from fluid–solid interaction to ecohydrological forecasting.[16][3][4][8]</w:t>
      </w:r>
    </w:p>
    <w:p>
      <w:pPr>
        <w:spacing w:after="210" w:lineRule="auto"/>
      </w:pPr>
      <w:r>
        <w:rPr>
          <w:rFonts w:eastAsia="Georgia" w:cs="Georgia" w:ascii="Georgia" w:hAnsi="Georgia"/>
        </w:rPr>
        <w:t xml:space="preserve">Finally, because the governing CWR function is explicitly known, it is possible to design additional evaluation metrics—such as rule-violation counts for rainfall and ET–moisture combinations—that check whether ML predictions remain aligned with the original agronomic rules even after training. This provides an additional layer of interpretability and safety that is often missing in purely data-driven irrigation models, and directly supports the monotonic-constraint and rule-violation analyses presented elsewhere in the thesis.[3][9]</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references"/>
      <w:r>
        <w:rPr>
          <w:b/>
          <w:sz w:val="42"/>
        </w:rPr>
        <w:t xml:space="preserve">References</w:t>
      </w:r>
      <w:bookmarkEnd w:id="9"/>
    </w:p>
    <w:p>
      <w:pPr>
        <w:numPr>
          <w:ilvl w:val="0"/>
          <w:numId w:val="1"/>
        </w:numPr>
        <w:spacing w:after="210" w:lineRule="auto"/>
      </w:pPr>
      <w:hyperlink r:id="rId5">
        <w:r>
          <w:rPr>
            <w:color w:val="4472C4"/>
          </w:rPr>
          <w:t xml:space="preserve">EGU25-13200, updated on 25 Jun 2025</w:t>
        </w:r>
      </w:hyperlink>
    </w:p>
    <w:p>
      <w:pPr>
        <w:numPr>
          <w:ilvl w:val="0"/>
          <w:numId w:val="1"/>
        </w:numPr>
        <w:spacing w:after="210" w:lineRule="auto"/>
      </w:pPr>
      <w:hyperlink r:id="rId6">
        <w:r>
          <w:rPr>
            <w:color w:val="4472C4"/>
          </w:rPr>
          <w:t xml:space="preserve">[PDF] Crop water management using machine learning-based ...</w:t>
        </w:r>
      </w:hyperlink>
      <w:r>
        <w:rPr/>
        <w:t xml:space="preserve"> - PM-FAO56 equation has been considered as the standard model for the estimation of ET0 for crop water...</w:t>
      </w:r>
    </w:p>
    <w:p>
      <w:pPr>
        <w:numPr>
          <w:ilvl w:val="0"/>
          <w:numId w:val="1"/>
        </w:numPr>
        <w:spacing w:after="210" w:lineRule="auto"/>
      </w:pPr>
      <w:hyperlink r:id="rId7">
        <w:r>
          <w:rPr>
            <w:rFonts w:eastAsia="Georgia" w:cs="Georgia" w:ascii="Georgia" w:hAnsi="Georgia"/>
            <w:color w:val="4472C4"/>
          </w:rPr>
          <w:t xml:space="preserve">Hydrologically informed machine learning for rainfall–runoff modelling</w:t>
        </w:r>
      </w:hyperlink>
      <w:r>
        <w:rPr/>
        <w:t xml:space="preserve"> - Abstract. Despite showing great success of applications in many commercial fields, machine learning ...</w:t>
      </w:r>
    </w:p>
    <w:p>
      <w:pPr>
        <w:numPr>
          <w:ilvl w:val="0"/>
          <w:numId w:val="1"/>
        </w:numPr>
        <w:spacing w:after="210" w:lineRule="auto"/>
      </w:pPr>
      <w:hyperlink r:id="rId8">
        <w:r>
          <w:rPr>
            <w:color w:val="4472C4"/>
          </w:rPr>
          <w:t xml:space="preserve">Theory-guided Data Science: A New Paradigm for Scientific Discovery from Data</w:t>
        </w:r>
      </w:hyperlink>
      <w:r>
        <w:rPr/>
        <w:t xml:space="preserve"> - Data science models, although successful in a number of commercial domains, have had limited applica...</w:t>
      </w:r>
    </w:p>
    <w:p>
      <w:pPr>
        <w:numPr>
          <w:ilvl w:val="0"/>
          <w:numId w:val="1"/>
        </w:numPr>
        <w:spacing w:after="210" w:lineRule="auto"/>
      </w:pPr>
      <w:hyperlink r:id="rId9">
        <w:r>
          <w:rPr>
            <w:color w:val="4472C4"/>
          </w:rPr>
          <w:t xml:space="preserve">The suitability of differentiable, physics-informed machine ...</w:t>
        </w:r>
      </w:hyperlink>
      <w:r>
        <w:rPr/>
        <w:t xml:space="preserve"> - Abstract. As a genre of physics-informed machine learning, differentiable process-based hydrologic m...</w:t>
      </w:r>
    </w:p>
    <w:p>
      <w:pPr>
        <w:numPr>
          <w:ilvl w:val="0"/>
          <w:numId w:val="1"/>
        </w:numPr>
        <w:spacing w:after="210" w:lineRule="auto"/>
      </w:pPr>
      <w:hyperlink r:id="rId10">
        <w:r>
          <w:rPr>
            <w:color w:val="4472C4"/>
          </w:rPr>
          <w:t xml:space="preserve">Physics-Informed Neural Networks and Extensions - arXiv</w:t>
        </w:r>
      </w:hyperlink>
    </w:p>
    <w:p>
      <w:pPr>
        <w:numPr>
          <w:ilvl w:val="0"/>
          <w:numId w:val="1"/>
        </w:numPr>
        <w:spacing w:after="210" w:lineRule="auto"/>
      </w:pPr>
      <w:hyperlink r:id="rId11">
        <w:r>
          <w:rPr>
            <w:color w:val="4472C4"/>
          </w:rPr>
          <w:t xml:space="preserve">Physics-informed neural networks: A deep learning framework for solving forward and inverse problems involving nonlinear partial differential equations</w:t>
        </w:r>
      </w:hyperlink>
    </w:p>
    <w:p>
      <w:pPr>
        <w:numPr>
          <w:ilvl w:val="0"/>
          <w:numId w:val="1"/>
        </w:numPr>
        <w:spacing w:after="210" w:lineRule="auto"/>
      </w:pPr>
      <w:hyperlink r:id="rId12">
        <w:r>
          <w:rPr>
            <w:color w:val="4472C4"/>
          </w:rPr>
          <w:t xml:space="preserve">[2509.01972] Knowledge distillation as a pathway toward ...</w:t>
        </w:r>
      </w:hyperlink>
      <w:r>
        <w:rPr/>
        <w:t xml:space="preserve"> - Simulating ecohydrological processes is essential for understanding complex environmental systems an...</w:t>
      </w:r>
    </w:p>
    <w:p>
      <w:pPr>
        <w:numPr>
          <w:ilvl w:val="0"/>
          <w:numId w:val="1"/>
        </w:numPr>
        <w:spacing w:after="210" w:lineRule="auto"/>
      </w:pPr>
      <w:hyperlink r:id="rId13">
        <w:r>
          <w:rPr>
            <w:color w:val="4472C4"/>
          </w:rPr>
          <w:t xml:space="preserve">[1710.11431] Physics-guided Neural Networks (PGNN) - arXiv.org</w:t>
        </w:r>
      </w:hyperlink>
      <w:r>
        <w:rPr/>
        <w:t xml:space="preserve"> - Abstract page for arXiv paper 1710.11431: Physics-guided Neural Networks (PGNN): An Application in L...</w:t>
      </w:r>
    </w:p>
    <w:p>
      <w:pPr>
        <w:numPr>
          <w:ilvl w:val="0"/>
          <w:numId w:val="1"/>
        </w:numPr>
        <w:spacing w:after="210" w:lineRule="auto"/>
      </w:pPr>
      <w:hyperlink r:id="rId14">
        <w:r>
          <w:rPr>
            <w:color w:val="4472C4"/>
          </w:rPr>
          <w:t xml:space="preserve">3 Pgnn For Lake Temperature...</w:t>
        </w:r>
      </w:hyperlink>
      <w:r>
        <w:rPr/>
        <w:t xml:space="preserve"> - This paper introduces a framework for combining scientific knowledge of physics-based models with ne...</w:t>
      </w:r>
    </w:p>
    <w:p>
      <w:pPr>
        <w:numPr>
          <w:ilvl w:val="0"/>
          <w:numId w:val="1"/>
        </w:numPr>
        <w:spacing w:after="210" w:lineRule="auto"/>
      </w:pPr>
      <w:hyperlink r:id="rId15">
        <w:r>
          <w:rPr>
            <w:color w:val="4472C4"/>
          </w:rPr>
          <w:t xml:space="preserve">[PDF] Comparative analysis of FAO56 and machine learning models for ...</w:t>
        </w:r>
      </w:hyperlink>
      <w:r>
        <w:rPr/>
        <w:t xml:space="preserve"> - 203. The calculated crop coefficient of two FAO56 models for three crops were detailed in Fig. S2. 2...</w:t>
      </w:r>
    </w:p>
    <w:p>
      <w:pPr>
        <w:numPr>
          <w:ilvl w:val="0"/>
          <w:numId w:val="1"/>
        </w:numPr>
        <w:spacing w:after="210" w:lineRule="auto"/>
      </w:pPr>
      <w:hyperlink r:id="rId16">
        <w:r>
          <w:rPr>
            <w:color w:val="4472C4"/>
          </w:rPr>
          <w:t xml:space="preserve">Comparative Analysis of Fao56 and Machine Learning Models for Predicting Water Requirements in Three Major Crops in the Yellow River Delta, China</w:t>
        </w:r>
      </w:hyperlink>
      <w:r>
        <w:rPr/>
        <w:t xml:space="preserve"> - Accurately predicting crop evapotranspiration (ET) is vital for enhancing water resource utilization...</w:t>
      </w:r>
    </w:p>
    <w:p>
      <w:pPr>
        <w:numPr>
          <w:ilvl w:val="0"/>
          <w:numId w:val="1"/>
        </w:numPr>
        <w:spacing w:after="210" w:lineRule="auto"/>
      </w:pPr>
      <w:hyperlink r:id="rId17">
        <w:r>
          <w:rPr>
            <w:color w:val="4472C4"/>
          </w:rPr>
          <w:t xml:space="preserve">Application of machine learning approaches in supporting irrigation ...</w:t>
        </w:r>
      </w:hyperlink>
      <w:r>
        <w:rPr/>
        <w:t xml:space="preserve"> - They found that the SVM model surpassed ANN and boosted the accuracy of FAO-56 crop evapotranspirati...</w:t>
      </w:r>
    </w:p>
    <w:p>
      <w:pPr>
        <w:numPr>
          <w:ilvl w:val="0"/>
          <w:numId w:val="1"/>
        </w:numPr>
        <w:spacing w:after="210" w:lineRule="auto"/>
      </w:pPr>
      <w:hyperlink r:id="rId18">
        <w:r>
          <w:rPr>
            <w:color w:val="4472C4"/>
          </w:rPr>
          <w:t xml:space="preserve">[PDF] Leveraging Knowledge Distillation to Generate High Resolution Soil ...</w:t>
        </w:r>
      </w:hyperlink>
      <w:r>
        <w:rPr/>
        <w:t xml:space="preserve"> - In this study, we propose a knowledge distillation-based deep learning approach to enhance soil mois...</w:t>
      </w:r>
    </w:p>
    <w:p>
      <w:pPr>
        <w:numPr>
          <w:ilvl w:val="0"/>
          <w:numId w:val="1"/>
        </w:numPr>
        <w:spacing w:after="210" w:lineRule="auto"/>
      </w:pPr>
      <w:hyperlink r:id="rId19">
        <w:r>
          <w:rPr>
            <w:color w:val="4472C4"/>
          </w:rPr>
          <w:t xml:space="preserve">Physics-guided recurrent neural networks for predicting lake water ...</w:t>
        </w:r>
      </w:hyperlink>
      <w:r>
        <w:rPr/>
        <w:t xml:space="preserve"> - This chapter presents a physics-guided recurrent neural network model (PGRNN) for predicting water t...</w:t>
      </w:r>
    </w:p>
    <w:p>
      <w:pPr>
        <w:numPr>
          <w:ilvl w:val="0"/>
          <w:numId w:val="1"/>
        </w:numPr>
        <w:spacing w:after="210" w:lineRule="auto"/>
      </w:pPr>
      <w:hyperlink r:id="rId20">
        <w:r>
          <w:rPr>
            <w:rFonts w:eastAsia="Georgia" w:cs="Georgia" w:ascii="Georgia" w:hAnsi="Georgia"/>
            <w:color w:val="4472C4"/>
          </w:rPr>
          <w:t xml:space="preserve">Machine learning-enhanced fully coupled fluid–solid interaction ...</w:t>
        </w:r>
      </w:hyperlink>
      <w:r>
        <w:rPr/>
        <w:t xml:space="preserve"> - As such, they form the foundation for synthetic data generation, enabling a physics-informed machine...</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meetingorganizer.copernicus.org/EGU25/EGU25-13200.html?pdf" TargetMode="External"/><Relationship Id="rId6" Type="http://schemas.openxmlformats.org/officeDocument/2006/relationships/hyperlink" Target="https://jabonline.in/admin/php/uploads/1108_pdf.pdf" TargetMode="External"/><Relationship Id="rId7" Type="http://schemas.openxmlformats.org/officeDocument/2006/relationships/hyperlink" Target="https://hess.copernicus.org/articles/25/4373/2021/" TargetMode="External"/><Relationship Id="rId8" Type="http://schemas.openxmlformats.org/officeDocument/2006/relationships/hyperlink" Target="https://arxiv.org/abs/1612.08544" TargetMode="External"/><Relationship Id="rId9" Type="http://schemas.openxmlformats.org/officeDocument/2006/relationships/hyperlink" Target="https://hess.copernicus.org/articles/27/2357/2023/" TargetMode="External"/><Relationship Id="rId10" Type="http://schemas.openxmlformats.org/officeDocument/2006/relationships/hyperlink" Target="https://arxiv.org/html/2408.16806v1" TargetMode="External"/><Relationship Id="rId11" Type="http://schemas.openxmlformats.org/officeDocument/2006/relationships/hyperlink" Target="https://faculty.sites.iastate.edu/hliu/files/inline-files/PINN_RPK_2019_1.pdf" TargetMode="External"/><Relationship Id="rId12" Type="http://schemas.openxmlformats.org/officeDocument/2006/relationships/hyperlink" Target="https://arxiv.org/abs/2509.01972" TargetMode="External"/><Relationship Id="rId13" Type="http://schemas.openxmlformats.org/officeDocument/2006/relationships/hyperlink" Target="https://arxiv.org/abs/1710.11431" TargetMode="External"/><Relationship Id="rId14" Type="http://schemas.openxmlformats.org/officeDocument/2006/relationships/hyperlink" Target="https://ar5iv.labs.arxiv.org/html/1710.11431" TargetMode="External"/><Relationship Id="rId15" Type="http://schemas.openxmlformats.org/officeDocument/2006/relationships/hyperlink" Target="https://papers.ssrn.com/sol3/Delivery.cfm/43721334-e3ec-47ea-8d84-f802752dfe08-MECA.pdf?abstractid=4893792&amp;mirid=1" TargetMode="External"/><Relationship Id="rId16" Type="http://schemas.openxmlformats.org/officeDocument/2006/relationships/hyperlink" Target="https://papers.ssrn.com/sol3/papers.cfm?abstract_id=4893792" TargetMode="External"/><Relationship Id="rId17" Type="http://schemas.openxmlformats.org/officeDocument/2006/relationships/hyperlink" Target="https://www.sciencedirect.com/science/article/pii/S0378377424000453" TargetMode="External"/><Relationship Id="rId18" Type="http://schemas.openxmlformats.org/officeDocument/2006/relationships/hyperlink" Target="https://par.nsf.gov/servlets/purl/10526616" TargetMode="External"/><Relationship Id="rId19" Type="http://schemas.openxmlformats.org/officeDocument/2006/relationships/hyperlink" Target="https://pubs.usgs.gov/publication/70237336" TargetMode="External"/><Relationship Id="rId20" Type="http://schemas.openxmlformats.org/officeDocument/2006/relationships/hyperlink" Target="https://www.nature.com/articles/s41598-025-15837-5"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2026-02-26T12:11:20.612Z</dcterms:created>
  <dcterms:modified xsi:type="dcterms:W3CDTF">2026-02-26T12:11:20.612Z</dcterms:modified>
</cp:coreProperties>
</file>