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a3961880a3cbff3b32dcdbc34a00bf7b9ac81c9.png"/>
            <a:graphic>
              <a:graphicData uri="http://schemas.openxmlformats.org/drawingml/2006/picture">
                <pic:pic>
                  <pic:nvPicPr>
                    <pic:cNvPr id="1" name="image-1a3961880a3cbff3b32dcdbc34a00bf7b9ac81c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okay_so_you_know_what_i_have_done_78ab84"/>
      <w:r>
        <w:rPr>
          <w:rFonts w:eastAsia="georgia" w:cs="georgia" w:ascii="georgia" w:hAnsi="georgia"/>
          <w:b/>
          <w:color w:val="000000"/>
          <w:sz w:val="39"/>
        </w:rPr>
        <w:t xml:space="preserve">Okay so you know what I have done to create the CWR. What other models should I try based on the literature?. Mention the models, how they are used in simple terms , the referred paper and their results if available, show these clearly.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Based on the literature, these are the main </w:t>
      </w:r>
      <w:r>
        <w:rPr>
          <w:rFonts w:eastAsia="georgia" w:cs="georgia" w:ascii="georgia" w:hAnsi="georgia"/>
          <w:b/>
          <w:color w:val="000000"/>
        </w:rPr>
        <w:t xml:space="preserve">additional model families</w:t>
      </w:r>
      <w:r>
        <w:rPr>
          <w:rFonts w:eastAsia="georgia" w:cs="georgia" w:ascii="georgia" w:hAnsi="georgia"/>
          <w:color w:val="000000"/>
        </w:rPr>
        <w:t xml:space="preserve"> worth trying for your CWR regression, with simple explanations, key papers, and results where available.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high_priority_models_to_try_next"/>
      <w:r>
        <w:rPr>
          <w:rFonts w:eastAsia="georgia" w:cs="georgia" w:ascii="georgia" w:hAnsi="georgia"/>
          <w:b/>
          <w:color w:val="000000"/>
          <w:sz w:val="24"/>
        </w:rPr>
        <w:t xml:space="preserve">High‑priority models to try next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lstm_sequence_model"/>
      <w:r>
        <w:rPr>
          <w:rFonts w:eastAsia="georgia" w:cs="georgia" w:ascii="georgia" w:hAnsi="georgia"/>
          <w:b/>
          <w:color w:val="000000"/>
          <w:sz w:val="24"/>
        </w:rPr>
        <w:t xml:space="preserve">1. LSTM (sequence model)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it’s used (simple):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Treat CWR (or ET₀ which feeds CWR) as a time series and let an LSTM learn how past weather drives today’s water need. You feed in several past days/hours of meteorological (and potentially sensor) data; the LSTM outputs today’s ET₀ or CWR.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Reference paper: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Nagappan et al., 2025 – “Advanced Prediction of Crop Water Requirements Using Machine Learning Models”</w:t>
      </w:r>
      <w:r>
        <w:rPr>
          <w:rFonts w:eastAsia="georgia" w:cs="georgia" w:ascii="georgia" w:hAnsi="georgia"/>
          <w:color w:val="000000"/>
          <w:sz w:val="21"/>
        </w:rPr>
        <w:t xml:space="preserve"> (IJISRT). They predict ET₀ from met data (temperature, humidity, solar radiation, wind speed, rainfall), then compute CWR.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Reported results: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LSTM: </w:t>
      </w:r>
      <w:r>
        <w:rPr>
          <w:rFonts w:eastAsia="georgia" w:cs="georgia" w:ascii="georgia" w:hAnsi="georgia"/>
          <w:b/>
          <w:color w:val="000000"/>
          <w:sz w:val="21"/>
        </w:rPr>
        <w:t xml:space="preserve">RMSE 0.45 mm/day, R² 0.92</w:t>
      </w:r>
      <w:r>
        <w:rPr>
          <w:rFonts w:eastAsia="georgia" w:cs="georgia" w:ascii="georgia" w:hAnsi="georgia"/>
          <w:color w:val="000000"/>
          <w:sz w:val="21"/>
        </w:rPr>
        <w:t xml:space="preserve"> for ET₀ prediction.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SVM: </w:t>
      </w:r>
      <w:r>
        <w:rPr>
          <w:rFonts w:eastAsia="georgia" w:cs="georgia" w:ascii="georgia" w:hAnsi="georgia"/>
          <w:b/>
          <w:color w:val="000000"/>
          <w:sz w:val="21"/>
        </w:rPr>
        <w:t xml:space="preserve">RMSE 0.58 mm/day, R² 0.89</w:t>
      </w:r>
      <w:r>
        <w:rPr>
          <w:rFonts w:eastAsia="georgia" w:cs="georgia" w:ascii="georgia" w:hAnsi="georgia"/>
          <w:color w:val="000000"/>
          <w:sz w:val="21"/>
        </w:rPr>
        <w:t xml:space="preserve"> (weaker than LSTM).</w:t>
      </w:r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you should try it: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Literature consistently finds LSTM the strongest single model for ET₀ / water‑demand time series.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your system, you could (a) build an LSTM that predicts </w:t>
      </w:r>
      <w:r>
        <w:rPr>
          <w:rFonts w:eastAsia="georgia" w:cs="georgia" w:ascii="georgia" w:hAnsi="georgia"/>
          <w:b/>
          <w:color w:val="000000"/>
          <w:sz w:val="21"/>
        </w:rPr>
        <w:t xml:space="preserve">CWR_mm directly from short sequences</w:t>
      </w:r>
      <w:r>
        <w:rPr>
          <w:rFonts w:eastAsia="georgia" w:cs="georgia" w:ascii="georgia" w:hAnsi="georgia"/>
          <w:color w:val="000000"/>
          <w:sz w:val="21"/>
        </w:rPr>
        <w:t xml:space="preserve"> of past sensor + weather data, or (b) at least add an LSTM‑based ET₀ surrogate and compare against your FAO‑56 ET feature.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2_svr_support_vector_regression"/>
      <w:r>
        <w:rPr>
          <w:rFonts w:eastAsia="georgia" w:cs="georgia" w:ascii="georgia" w:hAnsi="georgia"/>
          <w:b/>
          <w:color w:val="000000"/>
          <w:sz w:val="24"/>
        </w:rPr>
        <w:t xml:space="preserve">2. SVR (Support Vector Regression)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it’s used (simple):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Fit a smooth nonlinear function from features (weather, possibly soil/tank) to ET₀ or CWR using kernel methods. Works well on medium‑sized datasets, with good generalisation when tuned.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Reference paper: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Nagappan et al., 2025</w:t>
      </w:r>
      <w:r>
        <w:rPr>
          <w:rFonts w:eastAsia="georgia" w:cs="georgia" w:ascii="georgia" w:hAnsi="georgia"/>
          <w:color w:val="000000"/>
          <w:sz w:val="21"/>
        </w:rPr>
        <w:t xml:space="preserve"> (same as above) use SVR alongside LSTM, ANN, RF, GBM for ET₀ → CWR.</w:t>
      </w:r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" w:name="fnref2_2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Reported results: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SVR: </w:t>
      </w:r>
      <w:r>
        <w:rPr>
          <w:rFonts w:eastAsia="georgia" w:cs="georgia" w:ascii="georgia" w:hAnsi="georgia"/>
          <w:b/>
          <w:color w:val="000000"/>
          <w:sz w:val="21"/>
        </w:rPr>
        <w:t xml:space="preserve">RMSE 0.58 mm/day, R² 0.89</w:t>
      </w:r>
      <w:r>
        <w:rPr>
          <w:rFonts w:eastAsia="georgia" w:cs="georgia" w:ascii="georgia" w:hAnsi="georgia"/>
          <w:color w:val="000000"/>
          <w:sz w:val="21"/>
        </w:rPr>
        <w:t xml:space="preserve"> for ET₀ (second best after LSTM).</w:t>
      </w:r>
      <w:bookmarkStart w:id="9" w:name="fnref2_3"/>
      <w:bookmarkEnd w:id="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you should try it: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 have a relatively small but information‑dense synthetic dataset (4,000 samples), which suits SVR.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SVR is a strong, lightweight baseline to compare against your tree ensembles and stacking; it may reveal whether your target function is “smooth” enough to be captured by a margin‑based kernel model.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feed_forward_ann_mlp"/>
      <w:r>
        <w:rPr>
          <w:rFonts w:eastAsia="georgia" w:cs="georgia" w:ascii="georgia" w:hAnsi="georgia"/>
          <w:b/>
          <w:color w:val="000000"/>
          <w:sz w:val="24"/>
        </w:rPr>
        <w:t xml:space="preserve">3. Feed‑forward ANN / MLP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it’s used (simple):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 standard fully‑connected neural network: you feed your 6 features (water depth, soil moisture, tank level, ET, rainfall_pred, crop stage) into a few dense layers; it outputs CWR_mm. Non‑sequential, just a nonlinear regressor.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Reference paper: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Nagappan et al., 2025</w:t>
      </w:r>
      <w:r>
        <w:rPr>
          <w:rFonts w:eastAsia="georgia" w:cs="georgia" w:ascii="georgia" w:hAnsi="georgia"/>
          <w:color w:val="000000"/>
          <w:sz w:val="21"/>
        </w:rPr>
        <w:t xml:space="preserve"> include ANN among the compared models for ET₀.</w:t>
      </w:r>
      <w:bookmarkStart w:id="11" w:name="fnref1_2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Surveys and reviews of ML for irrigation (e.g., </w:t>
      </w:r>
      <w:r>
        <w:rPr>
          <w:rFonts w:eastAsia="georgia" w:cs="georgia" w:ascii="georgia" w:hAnsi="georgia"/>
          <w:b/>
          <w:color w:val="000000"/>
          <w:sz w:val="21"/>
        </w:rPr>
        <w:t xml:space="preserve">Umutoni &amp; Samadi, 2024</w:t>
      </w:r>
      <w:r>
        <w:rPr>
          <w:rFonts w:eastAsia="georgia" w:cs="georgia" w:ascii="georgia" w:hAnsi="georgia"/>
          <w:color w:val="000000"/>
          <w:sz w:val="21"/>
        </w:rPr>
        <w:t xml:space="preserve"> review of ML in irrigation decision‑making) list ANN/MLP as one of the most common regression baselines for water demand and irrigation quantity.</w:t>
      </w:r>
      <w:bookmarkStart w:id="12" w:name="fnref3"/>
      <w:bookmarkEnd w:id="1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Reported results (qualitative):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Nagappan et al., ANN underperforms LSTM but is competitive with RF/GBM when tuned.</w:t>
      </w:r>
      <w:bookmarkStart w:id="13" w:name="fnref2_4"/>
      <w:bookmarkEnd w:id="1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" w:name="fnref1_3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review notes that ANNs generally achieve good accuracy for water‑use simulation but can be less interpretable than tree models.</w:t>
      </w:r>
      <w:bookmarkStart w:id="15" w:name="fnref3_1"/>
      <w:bookmarkEnd w:id="1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you should try it: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Very easy to implement and deploy on Raspberry Pi (small MLP).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Gives you a fundamentally different function family from trees/stacking; useful for checking whether a smooth, global nonlinear mapping can match or beat your ensemble (R² ≈ 0.984).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4_xgboost_regressor_for_cwr"/>
      <w:r>
        <w:rPr>
          <w:rFonts w:eastAsia="georgia" w:cs="georgia" w:ascii="georgia" w:hAnsi="georgia"/>
          <w:b/>
          <w:color w:val="000000"/>
          <w:sz w:val="24"/>
        </w:rPr>
        <w:t xml:space="preserve">4. XGBoost Regressor (for CWR)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already use XGBoost for rainfall; literature also uses it effectively for ET₀ and plant water use, so it is a natural candidate for </w:t>
      </w:r>
      <w:r>
        <w:rPr>
          <w:rFonts w:eastAsia="georgia" w:cs="georgia" w:ascii="georgia" w:hAnsi="georgia"/>
          <w:b/>
          <w:color w:val="000000"/>
        </w:rPr>
        <w:t xml:space="preserve">CWR</w:t>
      </w:r>
      <w:r>
        <w:rPr>
          <w:rFonts w:eastAsia="georgia" w:cs="georgia" w:ascii="georgia" w:hAnsi="georgia"/>
          <w:color w:val="000000"/>
        </w:rPr>
        <w:t xml:space="preserve"> itself.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it’s used (simple):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Train XGBoost in regression mode on your existing 6‑feature CWR dataset, just like your Gradient Boosting / LightGBM / CatBoost, but with XGBoost’s regularisation and tree‑growth specifics.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Reference papers: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Nagappan et al., 2025</w:t>
      </w:r>
      <w:r>
        <w:rPr>
          <w:rFonts w:eastAsia="georgia" w:cs="georgia" w:ascii="georgia" w:hAnsi="georgia"/>
          <w:color w:val="000000"/>
          <w:sz w:val="21"/>
        </w:rPr>
        <w:t xml:space="preserve"> include Gradient Boosting Machine (GBM) for ET₀; tree ensembles are competitive with neural models.</w:t>
      </w:r>
      <w:bookmarkStart w:id="17" w:name="fnref1_4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8" w:name="fnref2_5"/>
      <w:bookmarkEnd w:id="1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Friedman et al., 2025 (Hebrew University)</w:t>
      </w:r>
      <w:r>
        <w:rPr>
          <w:rFonts w:eastAsia="georgia" w:cs="georgia" w:ascii="georgia" w:hAnsi="georgia"/>
          <w:color w:val="000000"/>
          <w:sz w:val="21"/>
        </w:rPr>
        <w:t xml:space="preserve">: XGBoost and Random Forest predict </w:t>
      </w:r>
      <w:r>
        <w:rPr>
          <w:rFonts w:eastAsia="georgia" w:cs="georgia" w:ascii="georgia" w:hAnsi="georgia"/>
          <w:b/>
          <w:color w:val="000000"/>
          <w:sz w:val="21"/>
        </w:rPr>
        <w:t xml:space="preserve">daily crop transpiration</w:t>
      </w:r>
      <w:r>
        <w:rPr>
          <w:rFonts w:eastAsia="georgia" w:cs="georgia" w:ascii="georgia" w:hAnsi="georgia"/>
          <w:color w:val="000000"/>
          <w:sz w:val="21"/>
        </w:rPr>
        <w:t xml:space="preserve"> from high‑resolution lysimeter and environmental data; XGBoost reaches </w:t>
      </w:r>
      <w:r>
        <w:rPr>
          <w:rFonts w:eastAsia="georgia" w:cs="georgia" w:ascii="georgia" w:hAnsi="georgia"/>
          <w:b/>
          <w:color w:val="000000"/>
          <w:sz w:val="21"/>
        </w:rPr>
        <w:t xml:space="preserve">R² ≈ 0.82</w:t>
      </w:r>
      <w:r>
        <w:rPr>
          <w:rFonts w:eastAsia="georgia" w:cs="georgia" w:ascii="georgia" w:hAnsi="georgia"/>
          <w:color w:val="000000"/>
          <w:sz w:val="21"/>
        </w:rPr>
        <w:t xml:space="preserve"> on independent tests.</w:t>
      </w:r>
      <w:bookmarkStart w:id="19" w:name="fnref4"/>
      <w:bookmarkEnd w:id="1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“Crop water management using machine learning‑based …” (2024)</w:t>
      </w:r>
      <w:r>
        <w:rPr>
          <w:rFonts w:eastAsia="georgia" w:cs="georgia" w:ascii="georgia" w:hAnsi="georgia"/>
          <w:color w:val="000000"/>
          <w:sz w:val="21"/>
        </w:rPr>
        <w:t xml:space="preserve">: Random Forest and SVM are used to predict solar radiation and ET₀; RF achieves very low MSE (≈0.03) and outperforms empirical ET₀ formulas.</w:t>
      </w:r>
      <w:bookmarkStart w:id="20" w:name="fnref5"/>
      <w:bookmarkEnd w:id="2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Reported results (qualitative):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XGBoost/GBM models are often close to LSTM in accuracy for ET₀ and transpiration, and better than RF in some cases.</w:t>
      </w:r>
      <w:bookmarkStart w:id="21" w:name="fnref4_1"/>
      <w:bookmarkEnd w:id="2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2" w:name="fnref5_1"/>
      <w:bookmarkEnd w:id="22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3" w:name="fnref2_6"/>
      <w:bookmarkEnd w:id="2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you should try it: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 already use three tree‑based models for CWR; adding XGBoost as either a </w:t>
      </w:r>
      <w:r>
        <w:rPr>
          <w:rFonts w:eastAsia="georgia" w:cs="georgia" w:ascii="georgia" w:hAnsi="georgia"/>
          <w:b/>
          <w:color w:val="000000"/>
          <w:sz w:val="21"/>
        </w:rPr>
        <w:t xml:space="preserve">fourth base learner in your stack</w:t>
      </w:r>
      <w:r>
        <w:rPr>
          <w:rFonts w:eastAsia="georgia" w:cs="georgia" w:ascii="georgia" w:hAnsi="georgia"/>
          <w:color w:val="000000"/>
          <w:sz w:val="21"/>
        </w:rPr>
        <w:t xml:space="preserve"> or a standalone baseline aligns with literature where XGBoost excels on water‑related regression.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Implementation overhead is minimal since XGBoost is already in your rainfall pipeline.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5_random_forest_as_a_dedicated_d0a2bb"/>
      <w:r>
        <w:rPr>
          <w:rFonts w:eastAsia="georgia" w:cs="georgia" w:ascii="georgia" w:hAnsi="georgia"/>
          <w:b/>
          <w:color w:val="000000"/>
          <w:sz w:val="24"/>
        </w:rPr>
        <w:t xml:space="preserve">5. Random Forest as a dedicated baseline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did train Random Forest earlier in your methodology phase, but it didn’t make it into the final ensemble. The literature uses RF very heavily for ET₀, solar radiation, and even CWR estimation.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it’s used (simple):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Average of many decision trees trained on bootstrapped samples; robust, low‑variance model that handles mixed and nonlinear relationships well.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Reference papers: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Nagappan et al., 2025</w:t>
      </w:r>
      <w:r>
        <w:rPr>
          <w:rFonts w:eastAsia="georgia" w:cs="georgia" w:ascii="georgia" w:hAnsi="georgia"/>
          <w:color w:val="000000"/>
          <w:sz w:val="21"/>
        </w:rPr>
        <w:t xml:space="preserve">: RF is part of the ET₀ model comparison; performs well but below LSTM overall.</w:t>
      </w:r>
      <w:bookmarkStart w:id="25" w:name="fnref2_7"/>
      <w:bookmarkEnd w:id="2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6" w:name="fnref1_5"/>
      <w:bookmarkEnd w:id="2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Crop water management using ML‑based …</w:t>
      </w:r>
      <w:r>
        <w:rPr>
          <w:rFonts w:eastAsia="georgia" w:cs="georgia" w:ascii="georgia" w:hAnsi="georgia"/>
          <w:color w:val="000000"/>
          <w:sz w:val="21"/>
        </w:rPr>
        <w:t xml:space="preserve">: RF predicts solar radiation and ET₀ with very small MSE (≈0.03) and higher precision than empirical formulas.</w:t>
      </w:r>
      <w:bookmarkStart w:id="27" w:name="fnref5_2"/>
      <w:bookmarkEnd w:id="27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IRJMETS 2024 ML‑CWR study</w:t>
      </w:r>
      <w:r>
        <w:rPr>
          <w:rFonts w:eastAsia="georgia" w:cs="georgia" w:ascii="georgia" w:hAnsi="georgia"/>
          <w:color w:val="000000"/>
          <w:sz w:val="21"/>
        </w:rPr>
        <w:t xml:space="preserve">: Gradient Boosting Regressor outperforms RF on CWR in terms of lower MSE and higher R², but RF still gives reasonable accuracy.</w:t>
      </w:r>
      <w:bookmarkStart w:id="28" w:name="fnref6"/>
      <w:bookmarkEnd w:id="28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you should keep/redo it: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Good “sanity check” baseline against which you can quantify the gain from more complex ensembles and stacking.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Very interpretable via feature importance; can be cross‑checked against your SHAP analysis from the stacking ensemble.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more_advanced_research_oriented_options"/>
      <w:r>
        <w:rPr>
          <w:rFonts w:eastAsia="georgia" w:cs="georgia" w:ascii="georgia" w:hAnsi="georgia"/>
          <w:b/>
          <w:color w:val="000000"/>
          <w:sz w:val="24"/>
        </w:rPr>
        <w:t xml:space="preserve">More advanced / research‑oriented options</w:t>
      </w:r>
      <w:bookmarkEnd w:id="2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are less straightforward for immediate Raspberry Pi deployment, but worth mentioning and possibly exploring offline or in future work.</w:t>
      </w:r>
    </w:p>
    <w:p>
      <w:pPr>
        <w:spacing w:line="360" w:before="315" w:after="105" w:lineRule="auto"/>
        <w:ind w:left="-30"/>
        <w:jc w:val="left"/>
      </w:pPr>
      <w:bookmarkStart w:id="30" w:name="bm_6_convlstm_unet_convlstm_spati_5d2657"/>
      <w:r>
        <w:rPr>
          <w:rFonts w:eastAsia="georgia" w:cs="georgia" w:ascii="georgia" w:hAnsi="georgia"/>
          <w:b/>
          <w:color w:val="000000"/>
          <w:sz w:val="24"/>
        </w:rPr>
        <w:t xml:space="preserve">6. ConvLSTM / UNet‑ConvLSTM (spatio‑temporal deep learning)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it’s used (simple):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Combine convolutional layers (spatial patterns from remote sensing images) with LSTM/ConvLSTM (temporal evolution) to predict water demand or soil moisture over regions.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Reference paper: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Ye et al., 2024 – “AI‑driven optimization of agricultural water management for enhanced sustainability”</w:t>
      </w:r>
      <w:r>
        <w:rPr>
          <w:rFonts w:eastAsia="georgia" w:cs="georgia" w:ascii="georgia" w:hAnsi="georgia"/>
          <w:color w:val="000000"/>
          <w:sz w:val="21"/>
        </w:rPr>
        <w:t xml:space="preserve"> (Scientific Reports). They propose a UNet‑ConvLSTM (UCL) model using MODIS and GLDAS remote‑sensing data to forecast agricultural water demand.</w:t>
      </w:r>
      <w:bookmarkStart w:id="31" w:name="fnref7"/>
      <w:bookmarkEnd w:id="3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Reported results: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UCL achieves </w:t>
      </w:r>
      <w:r>
        <w:rPr>
          <w:rFonts w:eastAsia="georgia" w:cs="georgia" w:ascii="georgia" w:hAnsi="georgia"/>
          <w:b/>
          <w:color w:val="000000"/>
          <w:sz w:val="21"/>
        </w:rPr>
        <w:t xml:space="preserve">R² = 0.927 (MODIS) and 0.935 (GLDAS)</w:t>
      </w:r>
      <w:r>
        <w:rPr>
          <w:rFonts w:eastAsia="georgia" w:cs="georgia" w:ascii="georgia" w:hAnsi="georgia"/>
          <w:color w:val="000000"/>
          <w:sz w:val="21"/>
        </w:rPr>
        <w:t xml:space="preserve">, outperforming other compared methods.</w:t>
      </w:r>
      <w:bookmarkStart w:id="32" w:name="fnref7_1"/>
      <w:bookmarkEnd w:id="32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it’s relevant (but heavy):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you later extend your system beyond a single field into </w:t>
      </w:r>
      <w:r>
        <w:rPr>
          <w:rFonts w:eastAsia="georgia" w:cs="georgia" w:ascii="georgia" w:hAnsi="georgia"/>
          <w:b/>
          <w:color w:val="000000"/>
          <w:sz w:val="21"/>
        </w:rPr>
        <w:t xml:space="preserve">regional paddy command areas with satellite data</w:t>
      </w:r>
      <w:r>
        <w:rPr>
          <w:rFonts w:eastAsia="georgia" w:cs="georgia" w:ascii="georgia" w:hAnsi="georgia"/>
          <w:color w:val="000000"/>
          <w:sz w:val="21"/>
        </w:rPr>
        <w:t xml:space="preserve">, this family of models is state‑of‑the‑art.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Too heavy to run fully on a Pi, but you could train it offline and distil simplified models for edge deployment.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bm_7_hybrid_ensembles_and_automl"/>
      <w:r>
        <w:rPr>
          <w:rFonts w:eastAsia="georgia" w:cs="georgia" w:ascii="georgia" w:hAnsi="georgia"/>
          <w:b/>
          <w:color w:val="000000"/>
          <w:sz w:val="24"/>
        </w:rPr>
        <w:t xml:space="preserve">7. Hybrid ensembles and AutoML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they’re used (simple):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Automatically search across multiple model families (RF, XGBoost, SVR, ANN, etc.) and hyperparameters to find the best CWR model; or create stacked/blended hybrids beyond your current 3‑model stack.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Reference points: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Nagappan paper explicitly suggests </w:t>
      </w:r>
      <w:r>
        <w:rPr>
          <w:rFonts w:eastAsia="georgia" w:cs="georgia" w:ascii="georgia" w:hAnsi="georgia"/>
          <w:b/>
          <w:color w:val="000000"/>
          <w:sz w:val="21"/>
        </w:rPr>
        <w:t xml:space="preserve">hybrid ML models</w:t>
      </w:r>
      <w:r>
        <w:rPr>
          <w:rFonts w:eastAsia="georgia" w:cs="georgia" w:ascii="georgia" w:hAnsi="georgia"/>
          <w:color w:val="000000"/>
          <w:sz w:val="21"/>
        </w:rPr>
        <w:t xml:space="preserve"> combining LSTM with ensemble learners as a future direction.</w:t>
      </w:r>
      <w:bookmarkStart w:id="34" w:name="fnref2_8"/>
      <w:bookmarkEnd w:id="3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2024 review “Application of machine learning approaches in supporting irrigation decision making” summarises multiple studies that use stacked ensembles, adaptive fuzzy inference, and other hybrids for irrigation quantity prediction.</w:t>
      </w:r>
      <w:bookmarkStart w:id="35" w:name="fnref3_2"/>
      <w:bookmarkEnd w:id="3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it’s relevant: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 already use stacking; literature support for </w:t>
      </w:r>
      <w:r>
        <w:rPr>
          <w:rFonts w:eastAsia="georgia" w:cs="georgia" w:ascii="georgia" w:hAnsi="georgia"/>
          <w:b/>
          <w:color w:val="000000"/>
          <w:sz w:val="21"/>
        </w:rPr>
        <w:t xml:space="preserve">hybrid + AutoML</w:t>
      </w:r>
      <w:r>
        <w:rPr>
          <w:rFonts w:eastAsia="georgia" w:cs="georgia" w:ascii="georgia" w:hAnsi="georgia"/>
          <w:color w:val="000000"/>
          <w:sz w:val="21"/>
        </w:rPr>
        <w:t xml:space="preserve"> lets you justify further experimentation with, for example, adding LSTM and SVR as base learners in a second‑generation stack.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8_reinforcement_learning_rl_fo_17e4a8"/>
      <w:r>
        <w:rPr>
          <w:rFonts w:eastAsia="georgia" w:cs="georgia" w:ascii="georgia" w:hAnsi="georgia"/>
          <w:b/>
          <w:color w:val="000000"/>
          <w:sz w:val="24"/>
        </w:rPr>
        <w:t xml:space="preserve">8. Reinforcement Learning (RL) for irrigation policy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How it’s used (simple):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Instead of directly predicting CWR, an RL agent learns </w:t>
      </w:r>
      <w:r>
        <w:rPr>
          <w:rFonts w:eastAsia="georgia" w:cs="georgia" w:ascii="georgia" w:hAnsi="georgia"/>
          <w:b/>
          <w:color w:val="000000"/>
        </w:rPr>
        <w:t xml:space="preserve">how much to irrigate</w:t>
      </w:r>
      <w:r>
        <w:rPr>
          <w:rFonts w:eastAsia="georgia" w:cs="georgia" w:ascii="georgia" w:hAnsi="georgia"/>
          <w:color w:val="000000"/>
        </w:rPr>
        <w:t xml:space="preserve"> (action) based on state (soil moisture, ET₀, rainfall forecast, crop stage, tank level) to maximise long‑term reward (yield – water cost).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Reference: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2024 review on ML for irrigation decision‑making describes RL formulations using Markov Decision Processes where the state, actions and reward function are defined from farm conditions and water‑use goals.</w:t>
      </w:r>
      <w:bookmarkStart w:id="37" w:name="fnref3_3"/>
      <w:bookmarkEnd w:id="3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it’s more “future work”: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Powerful if you want to optimise </w:t>
      </w:r>
      <w:r>
        <w:rPr>
          <w:rFonts w:eastAsia="georgia" w:cs="georgia" w:ascii="georgia" w:hAnsi="georgia"/>
          <w:b/>
          <w:color w:val="000000"/>
          <w:sz w:val="21"/>
        </w:rPr>
        <w:t xml:space="preserve">policy over a season</w:t>
      </w:r>
      <w:r>
        <w:rPr>
          <w:rFonts w:eastAsia="georgia" w:cs="georgia" w:ascii="georgia" w:hAnsi="georgia"/>
          <w:color w:val="000000"/>
          <w:sz w:val="21"/>
        </w:rPr>
        <w:t xml:space="preserve">, but it’s a much bigger design and evaluation effort than dropping in a new regressor.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 can mention it as a logical extension beyond supervised CWR prediction.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suggested_short_list_for_your_exp_5520ce"/>
      <w:r>
        <w:rPr>
          <w:rFonts w:eastAsia="georgia" w:cs="georgia" w:ascii="georgia" w:hAnsi="georgia"/>
          <w:b/>
          <w:color w:val="000000"/>
          <w:sz w:val="24"/>
        </w:rPr>
        <w:t xml:space="preserve">Suggested short‑list for </w:t>
      </w:r>
      <w:r>
        <w:rPr>
          <w:rFonts w:eastAsia="georgia" w:cs="georgia" w:ascii="georgia" w:hAnsi="georgia"/>
          <w:b/>
          <w:i/>
          <w:color w:val="000000"/>
          <w:sz w:val="24"/>
        </w:rPr>
        <w:t xml:space="preserve">your</w:t>
      </w:r>
      <w:r>
        <w:rPr>
          <w:rFonts w:eastAsia="georgia" w:cs="georgia" w:ascii="georgia" w:hAnsi="georgia"/>
          <w:b/>
          <w:color w:val="000000"/>
          <w:sz w:val="24"/>
        </w:rPr>
        <w:t xml:space="preserve"> experiments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Given your current stack (Gradient Boosting + CatBoost + LightGBM + Ridge) and edge‑deployment constraints, a practical path would be: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Add a standalone LSTM CWR model</w:t>
      </w:r>
      <w:r>
        <w:rPr>
          <w:rFonts w:eastAsia="georgia" w:cs="georgia" w:ascii="georgia" w:hAnsi="georgia"/>
          <w:color w:val="000000"/>
          <w:sz w:val="21"/>
        </w:rPr>
        <w:t xml:space="preserve"> (non‑stacked) trained on short sequences of your features (e.g., past N time‑steps of ET, rainfall_pred, moisture, depth, tank, stage) and compare against the stacking ensemble. Use Nagappan’s architecture as a reference.</w:t>
      </w:r>
      <w:bookmarkStart w:id="39" w:name="fnref2_9"/>
      <w:bookmarkEnd w:id="3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Train SVR and a small MLP (ANN)</w:t>
      </w:r>
      <w:r>
        <w:rPr>
          <w:rFonts w:eastAsia="georgia" w:cs="georgia" w:ascii="georgia" w:hAnsi="georgia"/>
          <w:color w:val="000000"/>
          <w:sz w:val="21"/>
        </w:rPr>
        <w:t xml:space="preserve"> on the same 6‑feature snapshot dataset as your ensemble and report their MAE/RMSE/R². They give strong, conceptually different baselines.</w:t>
      </w:r>
    </w:p>
    <w:p>
      <w:pPr>
        <w:numPr>
          <w:ilvl w:val="0"/>
          <w:numId w:val="2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Introduce XGBoost Regressor as an additional base learner</w:t>
      </w:r>
      <w:r>
        <w:rPr>
          <w:rFonts w:eastAsia="georgia" w:cs="georgia" w:ascii="georgia" w:hAnsi="georgia"/>
          <w:color w:val="000000"/>
          <w:sz w:val="21"/>
        </w:rPr>
        <w:t xml:space="preserve"> in your stack (or as a solo baseline) for CWR, justified by its strong performance on plant transpiration and ET₀ in the literature.</w:t>
      </w:r>
      <w:bookmarkStart w:id="40" w:name="fnref4_2"/>
      <w:bookmarkEnd w:id="40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1" w:name="fnref5_3"/>
      <w:bookmarkEnd w:id="4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42" w:name="fnref2_10"/>
      <w:bookmarkEnd w:id="4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 then clearly position your final model as: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“A stacking ensemble of tree‑based models (Gradient Boosting, CatBoost, LightGBM, optionally XGBoost) evaluated against LSTM, SVR, ANN, and Random Forest baselines, informed by recent CWR and ET₀ prediction studies where LSTM and tree ensembles achieved R² in the 0.89–0.93 range.”</w:t>
      </w:r>
      <w:bookmarkStart w:id="43" w:name="fnref7_2"/>
      <w:bookmarkEnd w:id="43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44" w:name="fnref5_4"/>
      <w:bookmarkEnd w:id="44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45" w:name="fnref4_3"/>
      <w:bookmarkEnd w:id="4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46" w:name="fnref1_6"/>
      <w:bookmarkEnd w:id="4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47" w:name="fnref2_11"/>
      <w:bookmarkEnd w:id="4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8" w:name="fn1"/>
    <w:bookmarkEnd w:id="48"/>
    <w:p>
      <w:pPr>
        <w:numPr>
          <w:ilvl w:val="0"/>
          <w:numId w:val="2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https://eprint.ijisrt.org/id/eprint/357/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2"/>
    <w:bookmarkEnd w:id="49"/>
    <w:p>
      <w:pPr>
        <w:numPr>
          <w:ilvl w:val="0"/>
          <w:numId w:val="2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https://www.ijisrt.com/assets/upload/files/IJISRT25FEB1206.pdf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3"/>
    <w:bookmarkEnd w:id="50"/>
    <w:p>
      <w:pPr>
        <w:numPr>
          <w:ilvl w:val="0"/>
          <w:numId w:val="2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https://www.bohrium.com/paper-details/application-of-machine-learning-approaches-in-supporting-irrigation-decision-making-a-review/963252699216740358-1356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4"/>
    <w:bookmarkEnd w:id="51"/>
    <w:p>
      <w:pPr>
        <w:numPr>
          <w:ilvl w:val="0"/>
          <w:numId w:val="2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https://phys.org/news/2025-12-machine-growers-tool-crop.html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5"/>
    <w:bookmarkEnd w:id="52"/>
    <w:p>
      <w:pPr>
        <w:numPr>
          <w:ilvl w:val="0"/>
          <w:numId w:val="2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https://jabonline.in/admin/php/uploads/1108_pdf.pdf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6"/>
    <w:bookmarkEnd w:id="53"/>
    <w:p>
      <w:pPr>
        <w:numPr>
          <w:ilvl w:val="0"/>
          <w:numId w:val="2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https://www.irjmets.com/uploadedfiles/paper/issue_5_may_2024/55458/final/fin_irjmets1715280651.pdf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7"/>
    <w:bookmarkEnd w:id="54"/>
    <w:p>
      <w:pPr>
        <w:numPr>
          <w:ilvl w:val="0"/>
          <w:numId w:val="2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https://pmc.ncbi.nlm.nih.gov/articles/PMC11519593/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8"/>
    <w:bookmarkEnd w:id="55"/>
    <w:p>
      <w:pPr>
        <w:numPr>
          <w:ilvl w:val="0"/>
          <w:numId w:val="2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https://www.scribd.com/document/847489115/Advanced-Prediction-of-Crop-Water-Requirements-Using-Machine-Learning-Models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9"/>
    <w:bookmarkEnd w:id="56"/>
    <w:p>
      <w:pPr>
        <w:numPr>
          <w:ilvl w:val="0"/>
          <w:numId w:val="2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https://ieeexplore.ieee.org/iel7/10497186/10497189/10497332.pdf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10"/>
    <w:bookmarkEnd w:id="57"/>
    <w:p>
      <w:pPr>
        <w:numPr>
          <w:ilvl w:val="0"/>
          <w:numId w:val="2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https://www.semanticscholar.org/paper/Machine-Learning-Based-Water-Requirement-Prediction-Goel-Wasson/bfa79c641896a3eaf10322e6827a6eebaa4264cb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11"/>
    <w:bookmarkEnd w:id="58"/>
    <w:p>
      <w:pPr>
        <w:numPr>
          <w:ilvl w:val="0"/>
          <w:numId w:val="24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https://journals.plos.org/plosone/article?id=10.1371%2Fjournal.pone.0319268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12"/>
    <w:bookmarkEnd w:id="59"/>
    <w:p>
      <w:pPr>
        <w:numPr>
          <w:ilvl w:val="0"/>
          <w:numId w:val="24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https://www.sciencedirect.com/science/article/pii/S0378377425000617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13"/>
    <w:bookmarkEnd w:id="60"/>
    <w:p>
      <w:pPr>
        <w:numPr>
          <w:ilvl w:val="0"/>
          <w:numId w:val="24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https://pmc.ncbi.nlm.nih.gov/articles/PMC11644724/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14"/>
    <w:bookmarkEnd w:id="61"/>
    <w:p>
      <w:pPr>
        <w:numPr>
          <w:ilvl w:val="0"/>
          <w:numId w:val="24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https://pmc.ncbi.nlm.nih.gov/articles/PMC8632377/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15"/>
    <w:bookmarkEnd w:id="62"/>
    <w:p>
      <w:pPr>
        <w:numPr>
          <w:ilvl w:val="0"/>
          <w:numId w:val="24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https://ieeexplore.ieee.org/document/10497332/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3">
    <w:multiLevelType w:val="hybridMultilevel"/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a3961880a3cbff3b32dcdbc34a00bf7b9ac81c9.png" TargetMode="Internal"/><Relationship Id="rId6" Type="http://schemas.openxmlformats.org/officeDocument/2006/relationships/hyperlink" Target="https://eprint.ijisrt.org/id/eprint/357/" TargetMode="External"/><Relationship Id="rId7" Type="http://schemas.openxmlformats.org/officeDocument/2006/relationships/hyperlink" Target="https://www.ijisrt.com/assets/upload/files/IJISRT25FEB1206.pdf" TargetMode="External"/><Relationship Id="rId8" Type="http://schemas.openxmlformats.org/officeDocument/2006/relationships/hyperlink" Target="https://www.bohrium.com/paper-details/application-of-machine-learning-approaches-in-supporting-irrigation-decision-making-a-review/963252699216740358-1356" TargetMode="External"/><Relationship Id="rId9" Type="http://schemas.openxmlformats.org/officeDocument/2006/relationships/hyperlink" Target="https://phys.org/news/2025-12-machine-growers-tool-crop.html" TargetMode="External"/><Relationship Id="rId10" Type="http://schemas.openxmlformats.org/officeDocument/2006/relationships/hyperlink" Target="https://jabonline.in/admin/php/uploads/1108_pdf.pdf" TargetMode="External"/><Relationship Id="rId11" Type="http://schemas.openxmlformats.org/officeDocument/2006/relationships/hyperlink" Target="https://www.irjmets.com/uploadedfiles/paper/issue_5_may_2024/55458/final/fin_irjmets1715280651.pdf" TargetMode="External"/><Relationship Id="rId12" Type="http://schemas.openxmlformats.org/officeDocument/2006/relationships/hyperlink" Target="https://pmc.ncbi.nlm.nih.gov/articles/PMC11519593/" TargetMode="External"/><Relationship Id="rId13" Type="http://schemas.openxmlformats.org/officeDocument/2006/relationships/hyperlink" Target="https://www.scribd.com/document/847489115/Advanced-Prediction-of-Crop-Water-Requirements-Using-Machine-Learning-Models" TargetMode="External"/><Relationship Id="rId14" Type="http://schemas.openxmlformats.org/officeDocument/2006/relationships/hyperlink" Target="https://ieeexplore.ieee.org/iel7/10497186/10497189/10497332.pdf" TargetMode="External"/><Relationship Id="rId15" Type="http://schemas.openxmlformats.org/officeDocument/2006/relationships/hyperlink" Target="https://www.semanticscholar.org/paper/Machine-Learning-Based-Water-Requirement-Prediction-Goel-Wasson/bfa79c641896a3eaf10322e6827a6eebaa4264cb" TargetMode="External"/><Relationship Id="rId16" Type="http://schemas.openxmlformats.org/officeDocument/2006/relationships/hyperlink" Target="https://journals.plos.org/plosone/article?id=10.1371%2Fjournal.pone.0319268" TargetMode="External"/><Relationship Id="rId17" Type="http://schemas.openxmlformats.org/officeDocument/2006/relationships/hyperlink" Target="https://www.sciencedirect.com/science/article/pii/S0378377425000617" TargetMode="External"/><Relationship Id="rId18" Type="http://schemas.openxmlformats.org/officeDocument/2006/relationships/hyperlink" Target="https://pmc.ncbi.nlm.nih.gov/articles/PMC11644724/" TargetMode="External"/><Relationship Id="rId19" Type="http://schemas.openxmlformats.org/officeDocument/2006/relationships/hyperlink" Target="https://pmc.ncbi.nlm.nih.gov/articles/PMC8632377/" TargetMode="External"/><Relationship Id="rId20" Type="http://schemas.openxmlformats.org/officeDocument/2006/relationships/hyperlink" Target="https://ieeexplore.ieee.org/document/10497332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2026-02-26T13:44:58.274Z</dcterms:created>
  <dcterms:modified xsi:type="dcterms:W3CDTF">2026-02-26T13:44:58.274Z</dcterms:modified>
</cp:coreProperties>
</file>