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_v20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24D5" w14:textId="77777777"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14:paraId="116AD852" w14:textId="77777777"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14:paraId="4AF98C91" w14:textId="77777777"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14:paraId="62927B27" w14:textId="77777777"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14:paraId="288B7743" w14:textId="77777777"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096B14FE" w14:textId="77777777"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14:paraId="6C110AF8" w14:textId="77777777"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64DEBCDC" w14:textId="77777777"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项目名称：CodePilot Edu—AI分层纠错程序设计实训平台          </w:t>
      </w:r>
      <w:proofErr w:type="spellStart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/>
      </w:r>
      <w:proofErr w:type="spellEnd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/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/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/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/>
      </w:r>
    </w:p>
    <w:p w14:paraId="50002BFF" w14:textId="77777777"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31A4BAF1" w14:textId="77777777"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14:paraId="17A47935" w14:textId="77777777"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1BCAAEF0" w14:textId="77777777"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14:paraId="49A5E802" w14:textId="77777777"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14:paraId="7CC25EC1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14:paraId="47B9FDA3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14:paraId="454422DE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14:paraId="61FA7184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14:paraId="5FE1D11C" w14:textId="77777777"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14:paraId="751FF82F" w14:textId="77777777"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14:paraId="66811B2F" w14:textId="77777777"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2026年10月24日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14:paraId="01FCBA83" w14:textId="77777777"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14:paraId="578BDE4C" w14:textId="77777777"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2BDBF7FC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14:paraId="30C53805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14:paraId="1902D782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14:paraId="1D1258D7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14:paraId="63E6F5F0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14:paraId="2E75DD1E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14:paraId="7AB09512" w14:textId="77777777"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6353D730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22732BD3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64F9E5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D3A188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CE8A1FE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139B60F9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AE3DFD0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0E009C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B3A368A" w14:textId="77777777"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 w14:paraId="01429BFC" w14:textId="77777777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34B2C1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E8489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35FD49" w14:textId="77777777"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 Edu—AI分层纠错程序设计实训平台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/>
            </w:r>
            <w:r w:rsidR="008746EA">
              <w:rPr>
                <w:rFonts w:ascii="宋体" w:cs="ArialUnicodeMS"/>
                <w:color w:val="000000"/>
                <w:kern w:val="0"/>
                <w:sz w:val="24"/>
              </w:rPr>
              <w:t/>
            </w:r>
          </w:p>
        </w:tc>
      </w:tr>
      <w:tr w:rsidR="00940B10" w14:paraId="79C7AB77" w14:textId="77777777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366CA71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14:paraId="49713E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14:paraId="186CE8C0" w14:textId="77777777"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529D1A3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05C236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1CEBB6F1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C09EE2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1A2F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D48C2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E11B280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7F9959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33B9779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9D5F82C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E617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0CDB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53868FC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02EE76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1451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E73A2C6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7AE2DC52" w14:textId="77777777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0206A7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1CFD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AF5F2B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6D54410" w14:textId="77777777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C2B1E9D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24B5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52495E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352C5B8B" w14:textId="77777777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A0D4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32CE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14:paraId="1E0EB46C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2217765" w14:textId="77777777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1C0A1D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D6D6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C29E586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E573AD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37A33CA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6A2A186" w14:textId="77777777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EE1B3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14:paraId="41969EF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14:paraId="4A5D4AFD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129CE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D1A57AE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055178CE" w14:textId="77777777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1B807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321D7AD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14:paraId="2FFEDA8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5F135FDD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 Edu面向程序设计课程的学生与教师，拟把评测失败依据、AI错因解释、分层提示和自主修改衔接起来，帮助学生理解错误、帮助教师开展针对性辅导。项目以界面展示为基础，计划开展课堂试点验证课程服务价值。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/>
            </w:r>
          </w:p>
        </w:tc>
      </w:tr>
      <w:tr w:rsidR="00940B10" w14:paraId="66E99F62" w14:textId="77777777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194304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4D0E066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2E17ECF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C79070" w14:textId="77777777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B945788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74EEC994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14:paraId="07B8366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410C5FE4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14:paraId="0CFCCDAA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96AB658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 w14:paraId="7FACB65D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6DE221A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17324C7B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 w14:paraId="19ED250F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1FDD0A0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7DD61B9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李志军（教授）</w:t>
            </w:r>
          </w:p>
        </w:tc>
      </w:tr>
      <w:tr w:rsidR="00940B10" w14:paraId="2C02B414" w14:textId="77777777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39B362B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31DF4ED7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14:paraId="5EE05CB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14:paraId="605153FC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B0FC849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8354EA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45D57E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 w14:paraId="262B2A25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EC337B5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223D0FC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14:paraId="1B93AE1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0B8AB6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37F4FF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 w14:paraId="0396CA5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0FC937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54B368F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14:paraId="01CED9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77720A7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08BF10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 w14:paraId="17CFAF53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DE2DD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892A6E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14:paraId="3D1A5638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366A7BCF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E1C896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 w14:paraId="635108F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585CF82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97665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14:paraId="5E1621F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2229811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4307DA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14:paraId="40904720" w14:textId="77777777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6D2E14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14:paraId="53181A1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14:paraId="5EAD7C8E" w14:textId="77777777"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 w14:paraId="61493AF8" w14:textId="77777777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0573E8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E3C90F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491BC47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5F0CF4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4BB3D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D3E7CDE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 w14:paraId="291D77C5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16832B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E11D6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0AAF0E8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78CDAF2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05C46D8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BAA236A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0A1000A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A88875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E3A4E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26CF804E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179EC2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3D6485E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470E50D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7A021C36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2F52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CE87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4B7E87BA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029BF63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CA02A7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78A91A4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34E830A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01497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B3769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76399C4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1B2DF1B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4C9DE44C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04C1F0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4443F27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60605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1F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90C18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00FDE8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BD9086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0255BE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2C1751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7B3E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C8A1D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6B4B7065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4823C82E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FC35F5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52E0D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52372929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B550E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CFF6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1F0E5A87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4B3A43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AAE802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376DE3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D9A663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2F3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5F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A386E6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1F0A90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892620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C7FF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9E2337" w14:textId="77777777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74F669A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14:paraId="4C20050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36CAFC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14:paraId="7BA0833D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14:paraId="57D7B777" w14:textId="77777777"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09A63743" w14:textId="77777777"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14:paraId="48A2AF7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2431ABC4" w14:textId="77777777"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14:paraId="209741A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65BDF656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3A01F3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70D9DF2F" w14:textId="77777777"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14:paraId="71541159" w14:textId="77777777"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12A662A" w14:textId="77777777"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14:paraId="57B9B32B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1B6FB0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14:paraId="5998581A" w14:textId="77777777"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14:paraId="4478BAE2" w14:textId="77777777" w:rsidR="00940B10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3F74993" wp14:editId="283BB788">
            <wp:simplePos x="0" y="0"/>
            <wp:positionH relativeFrom="column">
              <wp:posOffset>220091</wp:posOffset>
            </wp:positionH>
            <wp:positionV relativeFrom="paragraph">
              <wp:posOffset>150368</wp:posOffset>
            </wp:positionV>
            <wp:extent cx="5274310" cy="3512820"/>
            <wp:effectExtent l="0" t="0" r="0" b="5080"/>
            <wp:wrapNone/>
            <wp:docPr id="148990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3" name="图片 14899038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636F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19834F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33E1C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68B20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81CB1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95945C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0D729B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7967B7A1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FC822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19733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74C802E" wp14:editId="7BE8ACD7">
            <wp:simplePos x="0" y="0"/>
            <wp:positionH relativeFrom="column">
              <wp:posOffset>237490</wp:posOffset>
            </wp:positionH>
            <wp:positionV relativeFrom="paragraph">
              <wp:posOffset>113030</wp:posOffset>
            </wp:positionV>
            <wp:extent cx="5274310" cy="3498215"/>
            <wp:effectExtent l="0" t="0" r="0" b="0"/>
            <wp:wrapNone/>
            <wp:docPr id="4413329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917" name="图片 4413329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62ADF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4D878CB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2D60C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BE6A38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1B9DAD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07CBB7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30478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34DF96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72334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2687C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732EA3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66826857" wp14:editId="33E9B496">
            <wp:simplePos x="0" y="0"/>
            <wp:positionH relativeFrom="column">
              <wp:posOffset>8890</wp:posOffset>
            </wp:positionH>
            <wp:positionV relativeFrom="paragraph">
              <wp:posOffset>285242</wp:posOffset>
            </wp:positionV>
            <wp:extent cx="5274310" cy="3437890"/>
            <wp:effectExtent l="0" t="0" r="0" b="3810"/>
            <wp:wrapNone/>
            <wp:docPr id="1721017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7989" name="图片 1721017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FA6B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 w:rsidRPr="00096FF4"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27C1B64F" wp14:editId="4D7BCA0B">
            <wp:simplePos x="0" y="0"/>
            <wp:positionH relativeFrom="column">
              <wp:posOffset>0</wp:posOffset>
            </wp:positionH>
            <wp:positionV relativeFrom="paragraph">
              <wp:posOffset>4077335</wp:posOffset>
            </wp:positionV>
            <wp:extent cx="5274310" cy="3044825"/>
            <wp:effectExtent l="0" t="0" r="0" b="3175"/>
            <wp:wrapNone/>
            <wp:docPr id="7825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72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259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096FF4">
          <w:pgSz w:w="11906" w:h="16838"/>
          <w:pgMar w:top="1440" w:right="1800" w:bottom="1440" w:left="1800" w:header="851" w:footer="992" w:gutter="0"/>
          <w:cols w:space="425"/>
          <w:docGrid w:type="lines" w:linePitch="312"/>
          <w:type w:val="nextPage"/>
        </w:sectPr>
      </w:pPr>
    </w:p>
    <w:p>
      <w:pPr>
        <w:pStyle w:val="V20Title"/>
        <w:jc w:val="center"/>
      </w:pPr>
      <w:r>
        <w:rPr>
          <w:b w:val="0"/>
        </w:rPr>
        <w:t>商业计划书</w:t>
      </w:r>
    </w:p>
    <w:p>
      <w:pPr>
        <w:pStyle w:val="V20H2"/>
        <w:jc w:val="center"/>
      </w:pPr>
      <w:r>
        <w:rPr>
          <w:b w:val="0"/>
        </w:rPr>
        <w:t>CodePilot Edu—AI分层纠错程序设计实训平台</w:t>
      </w:r>
    </w:p>
    <w:p>
      <w:bookmarkStart w:id="101" w:name="part1"/>
      <w:pPr>
        <w:pStyle w:val="V20H1"/>
        <w:spacing w:before="100"/>
      </w:pPr>
      <w:r>
        <w:rPr>
          <w:b w:val="0"/>
        </w:rPr>
        <w:t>第一部分  项目介绍</w:t>
      </w:r>
      <w:bookmarkEnd w:id="101"/>
    </w:p>
    <w:p>
      <w:pPr>
        <w:pStyle w:val="V20Body"/>
      </w:pPr>
      <w:r>
        <w:rPr>
          <w:b w:val="0"/>
        </w:rPr>
        <w:t>从团队的程序设计课堂观察出发，CodePilot Edu 面向反复练习却难以理解报错的学生，以及需要同时辅导多人、还原纠错过程的教师。项目拟把“失败依据—错因解释—分层提示—自主修改—教师辅导”连成一条学习路径，并将课程配置、培训和持续支持组织为可交付服务。当前已有方案与界面展示，下一步以20个计划席位、4周课堂试点验证可用性和服务价值。</w:t>
      </w: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903960"/>
            <wp:docPr id="514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V20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图1  从失败依据到教师辅导（产品设计示意图）</w:t>
      </w:r>
    </w:p>
    <w:p>
      <w:pPr>
        <w:pStyle w:val="V20H2"/>
      </w:pPr>
      <w:r>
        <w:rPr>
          <w:b w:val="0"/>
        </w:rPr>
        <w:t>一个课程场景，两端价值</w:t>
      </w:r>
    </w:p>
    <w:p>
      <w:pPr>
        <w:pStyle w:val="V20Body"/>
      </w:pPr>
      <w:r>
        <w:rPr>
          <w:b w:val="0"/>
        </w:rPr>
        <w:t>学生端先看具体失败依据，再按需请求提示，说明修改理由后重提；教师端查看学生尝试、求助和修改过程，选择共性讲解或个别指导。AI提供检查方向，教学判断由教师负责。</w:t>
      </w:r>
    </w:p>
    <w:p>
      <w:pPr>
        <w:pStyle w:val="V20Small"/>
      </w:pPr>
      <w:r>
        <w:rPr>
          <w:b w:val="0"/>
        </w:rPr>
        <w:t>试点拟形成8道题、40组基础用例、4份周报告，并保留至少2次教师据报告开展辅导的记录；用修改理由和无提示同类新题评价理解，不预填学习提升或减负比例。</w:t>
      </w:r>
    </w:p>
    <w:p>
      <w:pPr>
        <w:pStyle w:val="V20H2"/>
      </w:pPr>
      <w:r>
        <w:rPr>
          <w:b w:val="0"/>
        </w:rPr>
        <w:t>阅读目录（页码为本评审书连续页码）</w:t>
      </w:r>
    </w:p>
    <w:p>
      <w:pPr>
        <w:pStyle w:val="V20TOC"/>
      </w:pPr>
      <w:hyperlink w:anchor="part1">
        <w:r>
          <w:t>第一部分  项目介绍  ··························  7</w:t>
        </w:r>
      </w:hyperlink>
    </w:p>
    <w:p>
      <w:pPr>
        <w:pStyle w:val="V20TOC"/>
      </w:pPr>
      <w:hyperlink w:anchor="part2">
        <w:r>
          <w:t>第二部分  市场分析  ··························  9</w:t>
        </w:r>
      </w:hyperlink>
    </w:p>
    <w:p>
      <w:pPr>
        <w:pStyle w:val="V20TOC"/>
      </w:pPr>
      <w:hyperlink w:anchor="part3">
        <w:r>
          <w:t>第三部分  项目计划  ··························  11</w:t>
        </w:r>
      </w:hyperlink>
    </w:p>
    <w:p>
      <w:pPr>
        <w:pStyle w:val="V20TOC"/>
      </w:pPr>
      <w:hyperlink w:anchor="part4">
        <w:r>
          <w:t>第四部分  盈利模式与财务规划  ··························  13</w:t>
        </w:r>
      </w:hyperlink>
    </w:p>
    <w:p>
      <w:pPr>
        <w:pStyle w:val="V20TOC"/>
      </w:pPr>
      <w:hyperlink w:anchor="part5">
        <w:r>
          <w:t>第五部分  团队介绍  ··························  17</w:t>
        </w:r>
      </w:hyperlink>
    </w:p>
    <w:p>
      <w:pPr>
        <w:pStyle w:val="V20H1"/>
        <w:pageBreakBefore/>
      </w:pPr>
      <w:r>
        <w:rPr>
          <w:b w:val="0"/>
        </w:rPr>
        <w:t>项目介绍｜让学生知道下一步怎样检查</w:t>
      </w:r>
    </w:p>
    <w:p>
      <w:pPr>
        <w:pStyle w:val="V20Body"/>
      </w:pPr>
      <w:r>
        <w:rPr>
          <w:b w:val="0"/>
        </w:rPr>
        <w:t>项目聚焦三个课堂断点：学生看见失败却不知从何检查；求助时缺少题目、代码和尝试经过；教师只看到最终通过情况，难以判断学生怎样改对。上述判断来自团队观察，尚未形成问卷或访谈统计。</w:t>
      </w: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305352"/>
            <wp:docPr id="517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V20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图2  “1到N求和”的分层提示界面（原稿功能展示；演示数据）</w:t>
      </w:r>
    </w:p>
    <w:p>
      <w:pPr>
        <w:pStyle w:val="V20H2"/>
      </w:pPr>
      <w:r>
        <w:rPr>
          <w:b w:val="0"/>
        </w:rPr>
        <w:t>从同一道题的上下文出发</w:t>
      </w:r>
    </w:p>
    <w:p>
      <w:pPr>
        <w:pStyle w:val="V20Body"/>
      </w:pPr>
      <w:r>
        <w:rPr>
          <w:b w:val="0"/>
        </w:rPr>
        <w:t>图2中的任务是计算1到N之和，展示代码却使用固定循环上界并只累加偶数。提示先引导检查循环范围，再定位条件与累加语句，最后给出小输入推演方向。学生仍需自行修改并解释原因。图中的通过用例、耗时及提交标记用于界面展示，不据此认定真实课堂成效。</w:t>
      </w:r>
    </w:p>
    <w:p>
      <w:pPr>
        <w:pStyle w:val="V20H2"/>
      </w:pPr>
      <w:r>
        <w:rPr>
          <w:b w:val="0"/>
        </w:rPr>
        <w:t>特色在于把纠错过程接到辅导动作</w:t>
      </w:r>
    </w:p>
    <w:p>
      <w:pPr>
        <w:pStyle w:val="V20Body"/>
      </w:pPr>
      <w:r>
        <w:rPr>
          <w:b w:val="0"/>
        </w:rPr>
        <w:t>拟将评测依据与AI推断分开呈现；提示按知识点、逻辑定位、修正思路逐层请求；教师依据过程选择辅导对象和主题。产品创新落在学习流程及课程服务组织上，以课堂可用性验证价值，不主张自研基础模型、原创编译器或独创判题内核。</w:t>
      </w:r>
    </w:p>
    <w:p>
      <w:pPr>
        <w:pStyle w:val="V20Small"/>
      </w:pPr>
      <w:r>
        <w:rPr>
          <w:b w:val="0"/>
        </w:rPr>
        <w:t>本页仅使用“1到N求和”截图说明提示展示；原稿“成绩等级判定”的修改界面不与其拼接成连续运行案例。</w:t>
      </w:r>
    </w:p>
    <w:p>
      <w:bookmarkStart w:id="125" w:name="part2"/>
      <w:pPr>
        <w:pStyle w:val="V20H1"/>
        <w:pageBreakBefore/>
      </w:pPr>
      <w:r>
        <w:rPr>
          <w:b w:val="0"/>
        </w:rPr>
        <w:t>第二部分  市场分析</w:t>
      </w:r>
      <w:bookmarkEnd w:id="125"/>
    </w:p>
    <w:p>
      <w:pPr>
        <w:pStyle w:val="V20Body"/>
      </w:pPr>
      <w:r>
        <w:rPr>
          <w:b w:val="0"/>
        </w:rPr>
        <w:t>初期市场限定在可落实教师配合的程序设计课程、校内实训及相关训练服务。项目先争取一个课程场景中的持续使用，再评估按学期购买适配与支持服务的意愿。</w:t>
      </w:r>
    </w:p>
    <w:p>
      <w:pPr>
        <w:pStyle w:val="V20H2"/>
      </w:pPr>
      <w:r>
        <w:rPr>
          <w:b w:val="0"/>
        </w:rPr>
        <w:t>市场潜力：看课程机会，按可接触范围推进</w:t>
      </w:r>
    </w:p>
    <w:p>
      <w:pPr>
        <w:pStyle w:val="V20Body"/>
      </w:pPr>
      <w:r>
        <w:rPr>
          <w:b w:val="0"/>
        </w:rPr>
        <w:t>教育部2025年度统计显示，全国普通本科学校1,278所，普通本科招生503.71万人；招生数不含另列的专科起点本科招生，统计不含港澳台。[1] 这些数据仅说明教学场景的背景规模，不能等同本项目客户或收入。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层次</w:t>
            </w:r>
          </w:p>
        </w:tc>
        <w:tc>
          <w:tcPr>
            <w:tcW w:type="dxa" w:w="759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范围与进入条件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全国背景</w:t>
            </w:r>
          </w:p>
        </w:tc>
        <w:tc>
          <w:tcPr>
            <w:tcW w:type="dxa" w:w="75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普通本科院校及年度招生；用于说明课程应用基础。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可服务范围</w:t>
            </w:r>
          </w:p>
        </w:tc>
        <w:tc>
          <w:tcPr>
            <w:tcW w:type="dxa" w:w="759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广西及相邻区域中开设相关课程、愿意配合适配的院系；逐校确认，不预报客户总量。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初期接触</w:t>
            </w:r>
          </w:p>
        </w:tc>
        <w:tc>
          <w:tcPr>
            <w:tcW w:type="dxa" w:w="75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本校1个课堂、20个计划席位；先访谈2名教师、10名学生和1名经费联系人。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竞品比较：同类能力充分，服务体验需要验证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628"/>
      </w:tblGrid>
      <w:tr>
        <w:trPr>
          <w:cantSplit/>
          <w:tblHeader/>
        </w:trPr>
        <w:tc>
          <w:tcPr>
            <w:tcW w:type="dxa" w:w="170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代表与人群</w:t>
            </w:r>
          </w:p>
        </w:tc>
        <w:tc>
          <w:tcPr>
            <w:tcW w:type="dxa" w:w="396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官方公开服务与教学支持</w:t>
            </w:r>
          </w:p>
        </w:tc>
        <w:tc>
          <w:tcPr>
            <w:tcW w:type="dxa" w:w="3628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本项目拟验证的切入点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PTA 拼题A</w:t>
              <w:br/>
              <w:t>高校课程与练习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程序自动评测、题库及人工与智能混合答疑。[2]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同题失败依据、提示与教师辅导衔接的体验。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头歌</w:t>
              <w:br/>
              <w:t>高校实践教学</w:t>
            </w:r>
          </w:p>
        </w:tc>
        <w:tc>
          <w:tcPr>
            <w:tcW w:type="dxa" w:w="396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智能评测、代码回溯、课堂统计及大模型问答、诊断。[3]</w:t>
            </w:r>
          </w:p>
        </w:tc>
        <w:tc>
          <w:tcPr>
            <w:tcW w:type="dxa" w:w="362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小范围课程适配与持续支持的投入和价值。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CodeGrade</w:t>
              <w:br/>
              <w:t>程序设计课程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可配置AI助手；教师查看对话，利用作业上下文。[4]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本地课程题目、提示策略与交付工时的匹配。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ChatGPT学习模式</w:t>
              <w:br/>
              <w:t>个人学习</w:t>
            </w:r>
          </w:p>
        </w:tc>
        <w:tc>
          <w:tcPr>
            <w:tcW w:type="dxa" w:w="396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提问引导、分层解释与理解检查。[5]</w:t>
            </w:r>
          </w:p>
        </w:tc>
        <w:tc>
          <w:tcPr>
            <w:tcW w:type="dxa" w:w="362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把评测、修改过程与教师辅导接入课程流程。</w:t>
            </w:r>
          </w:p>
        </w:tc>
      </w:tr>
    </w:tbl>
    <w:p>
      <w:pPr>
        <w:pStyle w:val="V20Small"/>
        <w:spacing w:after="0"/>
      </w:pPr>
    </w:p>
    <w:p>
      <w:pPr>
        <w:pStyle w:val="V20Small"/>
      </w:pPr>
      <w:r>
        <w:rPr>
          <w:b w:val="0"/>
        </w:rPr>
        <w:t>公开资料核查日：2026年10月25日。未登录试用或询价；所查资料未确认完整班级判题与辅导链的，不推定为不支持。自动评测、AI辅助与过程可见均有同类能力，不作为行业独有主张。</w:t>
      </w:r>
    </w:p>
    <w:p>
      <w:pPr>
        <w:pStyle w:val="V20H1"/>
        <w:pageBreakBefore/>
      </w:pPr>
      <w:r>
        <w:rPr>
          <w:b w:val="0"/>
        </w:rPr>
        <w:t>市场分析｜把优势与约束转成行动</w:t>
      </w:r>
    </w:p>
    <w:p>
      <w:pPr>
        <w:pStyle w:val="V20H2"/>
      </w:pPr>
      <w:r>
        <w:rPr>
          <w:b w:val="0"/>
        </w:rPr>
        <w:t>优势：学习场景、界面展示与分工基础</w:t>
      </w:r>
    </w:p>
    <w:p>
      <w:pPr>
        <w:pStyle w:val="V20Body"/>
      </w:pPr>
      <w:r>
        <w:rPr>
          <w:b w:val="0"/>
        </w:rPr>
        <w:t>一是团队来自程序设计学习场景，能直接描述纠错困难，便于在本校课堂核对需求。二是已经形成产品方案和界面展示，可用于解释流程、招募试用和收集反例。三是四人已有需求、开发、课程支持与测试资料分工，可以围绕一个课程包协作。上述基础支持开始验证；课堂数据和课程资产积累仍是后续任务。</w:t>
      </w:r>
    </w:p>
    <w:p>
      <w:pPr>
        <w:pStyle w:val="V20H2"/>
      </w:pPr>
      <w:r>
        <w:rPr>
          <w:b w:val="0"/>
        </w:rPr>
        <w:t>劣势：效果证据、关键人员与人工适配</w:t>
      </w:r>
    </w:p>
    <w:p>
      <w:pPr>
        <w:pStyle w:val="V20Body"/>
      </w:pPr>
      <w:r>
        <w:rPr>
          <w:b w:val="0"/>
        </w:rPr>
        <w:t>一是独立运行、教学效果和采购记录不足，当前不能用演示证明落地，需先完成最小试点。二是开发与响应集中在少数学生，学业可能影响服务窗口，应限制并行任务并保留交接材料。三是题目适配和提示复核需要人工，先用已有题意与参考解，把复核工时计入价格，原创命题另行核算。</w:t>
      </w:r>
    </w:p>
    <w:p>
      <w:pPr>
        <w:pStyle w:val="V20H2"/>
      </w:pPr>
      <w:r>
        <w:rPr>
          <w:b w:val="0"/>
        </w:rPr>
        <w:t>机会：学期课程与校内实践活动</w:t>
      </w:r>
    </w:p>
    <w:p>
      <w:pPr>
        <w:pStyle w:val="V20Body"/>
      </w:pPr>
      <w:r>
        <w:rPr>
          <w:b w:val="0"/>
        </w:rPr>
        <w:t>课程按学期持续开设，若教师实际采用报告且资源适配成本可控，存在续用和复制的机会。校内程序设计训练、每日一题及正在筹建的“未来科技开放创造实验空间”，可提供较小范围的验证场景。拟先探索练习活动和项目实践合作，再根据反馈决定付费服务范围，未默认取得场地、流量或合作承诺。</w:t>
      </w:r>
    </w:p>
    <w:p>
      <w:pPr>
        <w:pStyle w:val="V20H2"/>
      </w:pPr>
      <w:r>
        <w:rPr>
          <w:b w:val="0"/>
        </w:rPr>
        <w:t>威胁：成熟替代品、学习依赖与采购周期</w:t>
      </w:r>
    </w:p>
    <w:p>
      <w:pPr>
        <w:pStyle w:val="V20Body"/>
      </w:pPr>
      <w:r>
        <w:rPr>
          <w:b w:val="0"/>
        </w:rPr>
        <w:t>成熟平台已有AI和教学分析能力，本项目需用适配效率和支持体验争取选择；学生可能直接获取答案，故以修改理由与无提示新题检查理解；教师时间、经费流程及模型费用存在波动，需在排期前确认服务范围，并设置额度与现金缓冲。</w:t>
      </w:r>
    </w:p>
    <w:p>
      <w:pPr>
        <w:pStyle w:val="V20H2"/>
      </w:pPr>
      <w:r>
        <w:rPr>
          <w:b w:val="0"/>
        </w:rPr>
        <w:t>需求验证：从具体任务判断是否值得购买</w:t>
      </w:r>
    </w:p>
    <w:p>
      <w:pPr>
        <w:pStyle w:val="V20Body"/>
      </w:pPr>
      <w:r>
        <w:rPr>
          <w:b w:val="0"/>
        </w:rPr>
        <w:t>访谈拟核对学生最近一次求助的检查路径、教师现有工具和查看负担，以及经费联系人认可的采购与验收条件；同时记录不愿使用的原因。4周试点重点看学生能否理解提示、教师是否据报告辅导、团队能否在预算内完成配置和支持。未形成这些记录前，不预设购买意愿比例。</w:t>
      </w:r>
    </w:p>
    <w:p>
      <w:pPr>
        <w:pStyle w:val="V20Small"/>
      </w:pPr>
      <w:r>
        <w:rPr>
          <w:b w:val="0"/>
        </w:rPr>
        <w:t>使用者是学生；教学决策者是任课教师或课程负责人；付费主体假设为院系或课程建设经费。校内课程与实践基地便于集中核对题目、快速反馈和复盘工时，是早期切入点。</w:t>
      </w:r>
    </w:p>
    <w:p>
      <w:bookmarkStart w:id="145" w:name="part3"/>
      <w:pPr>
        <w:pStyle w:val="V20H1"/>
        <w:pageBreakBefore/>
      </w:pPr>
      <w:r>
        <w:rPr>
          <w:b w:val="0"/>
        </w:rPr>
        <w:t>第三部分  项目计划</w:t>
      </w:r>
      <w:bookmarkEnd w:id="145"/>
    </w:p>
    <w:p>
      <w:pPr>
        <w:pStyle w:val="V20Body"/>
      </w:pPr>
      <w:r>
        <w:rPr>
          <w:b w:val="0"/>
        </w:rPr>
        <w:t>项目已具备方案与界面展示基础，下一步围绕“能否进入真实课堂、能否形成教师采用、能否按范围交付”推进。独立运行与安全、教学成效、实际复用及成交仍需验证；以下阶段均为计划。</w:t>
      </w:r>
    </w:p>
    <w:p>
      <w:pPr>
        <w:pStyle w:val="V20Caption"/>
      </w:pPr>
      <w:r>
        <w:rPr>
          <w:b w:val="0"/>
        </w:rPr>
        <w:t>表1  实施路线图（计划；各阶段通过后再扩大范围）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5499"/>
        <w:gridCol w:w="1984"/>
      </w:tblGrid>
      <w:tr>
        <w:trPr>
          <w:cantSplit/>
          <w:tblHeader/>
        </w:trPr>
        <w:tc>
          <w:tcPr>
            <w:tcW w:type="dxa" w:w="1814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阶段</w:t>
            </w:r>
          </w:p>
        </w:tc>
        <w:tc>
          <w:tcPr>
            <w:tcW w:type="dxa" w:w="549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主要工作与成果</w:t>
            </w:r>
          </w:p>
        </w:tc>
        <w:tc>
          <w:tcPr>
            <w:tcW w:type="dxa" w:w="1984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牵头责任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现有基础</w:t>
              <w:br/>
              <w:t>截至2026年10月</w:t>
            </w:r>
          </w:p>
        </w:tc>
        <w:tc>
          <w:tcPr>
            <w:tcW w:type="dxa" w:w="549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整理现有界面与功能说明，统一题目案例；补齐运行与权限核验依据。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林李想、黄显涛；叶兴楠协调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一期准备</w:t>
              <w:br/>
              <w:t>2026年第四季度</w:t>
            </w:r>
          </w:p>
        </w:tc>
        <w:tc>
          <w:tcPr>
            <w:tcW w:type="dxa" w:w="549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接触2教师、10学生、1经费联系人；确认课程、授权与窗口，配置8题。</w:t>
            </w:r>
          </w:p>
        </w:tc>
        <w:tc>
          <w:tcPr>
            <w:tcW w:type="dxa" w:w="198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叶兴楠；汪盛淇记录反馈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一期课堂验证</w:t>
              <w:br/>
              <w:t>准备完成后连续4周</w:t>
            </w:r>
          </w:p>
        </w:tc>
        <w:tc>
          <w:tcPr>
            <w:tcW w:type="dxa" w:w="549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20计划席位、8题、40组基础用例、4份周报告；形成使用和辅导反馈。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汪盛淇、黄显涛；林李想支持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学期交付验证</w:t>
              <w:br/>
              <w:t>2027年起分批推进</w:t>
            </w:r>
          </w:p>
        </w:tc>
        <w:tc>
          <w:tcPr>
            <w:tcW w:type="dxa" w:w="549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1班、1课程、1语言、16周；40计划席位、32题、160组用例、4份阶段报告。</w:t>
            </w:r>
          </w:p>
        </w:tc>
        <w:tc>
          <w:tcPr>
            <w:tcW w:type="dxa" w:w="198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叶兴楠统筹；四人分工交付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二期升级</w:t>
              <w:br/>
              <w:t>2028—2029年</w:t>
            </w:r>
          </w:p>
        </w:tc>
        <w:tc>
          <w:tcPr>
            <w:tcW w:type="dxa" w:w="549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按已验证课程复盘提示规则和资源复用；满足工时和师资条件后扩大课程与训练服务。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林李想负责产品；其余成员负责资源与服务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招募、反馈与扩大条件</w:t>
      </w:r>
    </w:p>
    <w:p>
      <w:pPr>
        <w:pStyle w:val="V20Body"/>
      </w:pPr>
      <w:r>
        <w:rPr>
          <w:b w:val="0"/>
        </w:rPr>
        <w:t>由任课教师说明试用内容和退出方式，自愿招募20个计划席位；每周通过简短反馈和教师复盘调整提示与服务安排。第4周检查修改理由、无提示同类新题和教师采用记录。教师确认有继续使用价值，团队实际工时可控、运行与权限检查通过，且经费归口明确后，才安排学期服务。</w:t>
      </w:r>
    </w:p>
    <w:p>
      <w:pPr>
        <w:pStyle w:val="V20H2"/>
      </w:pPr>
      <w:r>
        <w:rPr>
          <w:b w:val="0"/>
        </w:rPr>
        <w:t>让免费使用带动明确的服务需求</w:t>
      </w:r>
    </w:p>
    <w:p>
      <w:pPr>
        <w:pStyle w:val="V20Body"/>
      </w:pPr>
      <w:r>
        <w:rPr>
          <w:b w:val="0"/>
        </w:rPr>
        <w:t>拟与“未来科技开放创造实验空间”探索主题练习和项目实践；用每日一题形成稳定练习入口；教师免费使用基础功能并邀请班级参与；围绕校赛或校内程序设计训练提供小范围支持。活动先服务学习与验证，课程适配和训练辅导再按明确范围收费。</w:t>
      </w:r>
    </w:p>
    <w:p>
      <w:pPr>
        <w:pStyle w:val="V20H1"/>
        <w:pageBreakBefore/>
      </w:pPr>
      <w:r>
        <w:rPr>
          <w:b w:val="0"/>
        </w:rPr>
        <w:t>项目计划｜用技术支撑教学流程</w:t>
      </w:r>
    </w:p>
    <w:p>
      <w:pPr>
        <w:pStyle w:val="V20Body"/>
      </w:pPr>
      <w:r>
        <w:rPr>
          <w:b w:val="0"/>
        </w:rPr>
        <w:t>技术方案只承担三项服务：可靠呈现评测依据、按需提供解释与提示、把修改过程交给教师查看。当前方案采用Vue 3、Python + FastAPI、MySQL，并通过兼容API接入通用模型；C采用GCC等受限隔离执行环境。实际运行能力仍以核验结果为准。</w:t>
      </w: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903960"/>
            <wp:docPr id="5252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.png"/>
                    <pic:cNvPicPr/>
                  </pic:nvPicPr>
                  <pic:blipFill>
                    <a:blip r:embed="rIdV20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图3  服务组成与主要流程（产品设计示意图）</w:t>
      </w:r>
    </w:p>
    <w:p>
      <w:pPr>
        <w:pStyle w:val="V20Body"/>
      </w:pPr>
      <w:r>
        <w:rPr>
          <w:b w:val="0"/>
        </w:rPr>
        <w:t>学生提交后先取得评测结果，模型结合题意与失败依据解释可能错因；学生逐层请求帮助、修改并重提，教师按授权查看课程记录。模型推断与执行依据分开显示，提示不可用时保留基础结果和人工求助入口。三语言30份固定错误样例另属技术验证计划，不计作课堂试点成绩。</w:t>
      </w:r>
    </w:p>
    <w:p>
      <w:pPr>
        <w:pStyle w:val="V20H2"/>
      </w:pPr>
      <w:r>
        <w:rPr>
          <w:b w:val="0"/>
        </w:rPr>
        <w:t>以四类记录评价育人价值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483"/>
      </w:tblGrid>
      <w:tr>
        <w:trPr>
          <w:cantSplit/>
          <w:tblHeader/>
        </w:trPr>
        <w:tc>
          <w:tcPr>
            <w:tcW w:type="dxa" w:w="1814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评价对象</w:t>
            </w:r>
          </w:p>
        </w:tc>
        <w:tc>
          <w:tcPr>
            <w:tcW w:type="dxa" w:w="7483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简明评价办法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学生理解</w:t>
            </w:r>
          </w:p>
        </w:tc>
        <w:tc>
          <w:tcPr>
            <w:tcW w:type="dxa" w:w="748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教师查看修改理由，安排无提示同类新题；分别记录能否解释边界与迁移应用。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教师采用</w:t>
            </w:r>
          </w:p>
        </w:tc>
        <w:tc>
          <w:tcPr>
            <w:tcW w:type="dxa" w:w="748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区分报告生成与实际用于辅导；4周试点计划至少保留2次具体辅导动作。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项目实践</w:t>
            </w:r>
          </w:p>
        </w:tc>
        <w:tc>
          <w:tcPr>
            <w:tcW w:type="dxa" w:w="748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四名学生分别参与需求沟通、产品、资源、测试与服务复盘，以实际交付件评价能力。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资源复制</w:t>
            </w:r>
          </w:p>
        </w:tc>
        <w:tc>
          <w:tcPr>
            <w:tcW w:type="dxa" w:w="748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第二轮课程核对引用资源、改动工时和教师确认；完成真实使用后再认定复用。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把岗位能力嵌入课程服务</w:t>
      </w:r>
    </w:p>
    <w:p>
      <w:pPr>
        <w:pStyle w:val="V20Body"/>
      </w:pPr>
      <w:r>
        <w:rPr>
          <w:b w:val="0"/>
        </w:rPr>
        <w:t>题目与训练主题拟围绕读懂需求、定位问题、解释修改和协作复盘组织。具备明确企业联系人和授权题材后，可邀请其提供脱敏任务及反馈，由教师把岗位任务转化为课程练习，学生完成迭代，团队沉淀可复用资源。当前没有已落实的企业伙伴，不将这一机制写成合作成果。</w:t>
      </w:r>
    </w:p>
    <w:p>
      <w:pPr>
        <w:pStyle w:val="V20Body"/>
      </w:pPr>
      <w:r>
        <w:rPr>
          <w:b w:val="0"/>
        </w:rPr>
        <w:t>就业带动首先体现为学生参与助教支持、题目复核和软件服务实践的机会；未来有稳定订单后，再按实际工作量提供有偿协作岗位，不预报新增就业人数。</w:t>
      </w:r>
    </w:p>
    <w:p>
      <w:bookmarkStart w:id="163" w:name="part4"/>
      <w:pPr>
        <w:pStyle w:val="V20H1"/>
        <w:pageBreakBefore/>
      </w:pPr>
      <w:r>
        <w:rPr>
          <w:b w:val="0"/>
        </w:rPr>
        <w:t>第四部分  盈利模式与财务规划</w:t>
      </w:r>
      <w:bookmarkEnd w:id="163"/>
    </w:p>
    <w:p>
      <w:pPr>
        <w:pStyle w:val="V20Body"/>
      </w:pPr>
      <w:r>
        <w:rPr>
          <w:b w:val="0"/>
        </w:rPr>
        <w:t>主要收入拟来自学期课程服务包和小班专题训练。免费基础使用降低尝试门槛，付费购买的是可界定的课程适配、培训、支持或人工教学服务。以下价格、数量与金额均为2027—2029年经营情景假设，尚无实际订单或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45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服务</w:t>
            </w:r>
          </w:p>
        </w:tc>
        <w:tc>
          <w:tcPr>
            <w:tcW w:type="dxa" w:w="3458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谁使用、谁付费</w:t>
            </w:r>
          </w:p>
        </w:tc>
        <w:tc>
          <w:tcPr>
            <w:tcW w:type="dxa" w:w="396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拟定范围与计价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免费基础功能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学生练习；教师基础使用均免费。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基础练习、评测结果及课程基础查看；AI提示受积分、个人次数与平台预算限制。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学期课程服务包</w:t>
              <w:br/>
              <w:t>主要收入①</w:t>
            </w:r>
          </w:p>
        </w:tc>
        <w:tc>
          <w:tcPr>
            <w:tcW w:type="dxa" w:w="345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教师决定是否采用；院系或课程经费付费为假设。</w:t>
            </w:r>
          </w:p>
        </w:tc>
        <w:tc>
          <w:tcPr>
            <w:tcW w:type="dxa" w:w="396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4,800元/包/学期；1班1课程1语言，40席、16周、32题、160组基础用例、4份阶段报告。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小班专题训练</w:t>
              <w:br/>
              <w:t>主要收入②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自愿参加学生付费；组织者集中购买需另行确认。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499元/人；12人开班，4周24课时，含讲授与点评；师资落实后排期。</w:t>
            </w:r>
          </w:p>
        </w:tc>
      </w:tr>
    </w:tbl>
    <w:p>
      <w:pPr>
        <w:pStyle w:val="V20Small"/>
        <w:spacing w:after="0"/>
      </w:pP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903960"/>
            <wp:docPr id="5278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.png"/>
                    <pic:cNvPicPr/>
                  </pic:nvPicPr>
                  <pic:blipFill>
                    <a:blip r:embed="rIdV20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图4  从免费使用到按范围购买服务（商业模式设计示意图）</w:t>
      </w:r>
    </w:p>
    <w:p>
      <w:pPr>
        <w:pStyle w:val="V20H2"/>
      </w:pPr>
      <w:r>
        <w:rPr>
          <w:b w:val="0"/>
        </w:rPr>
        <w:t>积分用于激励和控制资源，不计收入</w:t>
      </w:r>
    </w:p>
    <w:p>
      <w:pPr>
        <w:pStyle w:val="V20Body"/>
      </w:pPr>
      <w:r>
        <w:rPr>
          <w:b w:val="0"/>
        </w:rPr>
        <w:t>拟注册赠10积分；每日合格练习奖励2积分，经审核的题解奖励5积分，月奖励上限30积分。每次AI提示消耗2积分，同时限制每人每日最多3次、每月最多10次免费AI提示；积分不兑换现金，不承诺无限调用。</w:t>
      </w:r>
    </w:p>
    <w:p>
      <w:pPr>
        <w:pStyle w:val="V20Small"/>
      </w:pPr>
      <w:r>
        <w:rPr>
          <w:b w:val="0"/>
        </w:rPr>
        <w:t>免费AI年度预算2027—2029年分别封顶600、900、1,200元；接近上限时暂停新增免费额度或排队，保留基础练习。课程包与训练使用独立预算，避免赠送积分挤占付费交付。</w:t>
      </w:r>
    </w:p>
    <w:p>
      <w:pPr>
        <w:pStyle w:val="V20Small"/>
      </w:pPr>
      <w:r>
        <w:rPr>
          <w:b w:val="0"/>
        </w:rPr>
        <w:t>一对一辅导、书籍销售和广告留作后续方向：前者需可用师资，后两者需渠道、毛利和流量依据，均不列入本次早期收入。</w:t>
      </w:r>
    </w:p>
    <w:p>
      <w:pPr>
        <w:pStyle w:val="V20H1"/>
        <w:pageBreakBefore/>
      </w:pPr>
      <w:r>
        <w:rPr>
          <w:b w:val="0"/>
        </w:rPr>
        <w:t>财务规划｜先算通一个服务单位</w:t>
      </w:r>
    </w:p>
    <w:p>
      <w:pPr>
        <w:pStyle w:val="V20Body"/>
      </w:pPr>
      <w:r>
        <w:rPr>
          <w:b w:val="0"/>
        </w:rPr>
        <w:t>课程包按已有题意与参考解的轻量适配设计，新增题目、原创命题、多语言和额外支持先核算再承诺。新模型将交付工时由历史32小时提高到40小时、按40元/小时折算，给复核与返工留出空间。</w:t>
      </w:r>
    </w:p>
    <w:p>
      <w:pPr>
        <w:pStyle w:val="V20Caption"/>
      </w:pPr>
      <w:r>
        <w:rPr>
          <w:b w:val="0"/>
        </w:rPr>
        <w:t>表2  单位服务经济性（预测；金额单位：元）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3203"/>
        <w:gridCol w:w="3203"/>
      </w:tblGrid>
      <w:tr>
        <w:trPr>
          <w:cantSplit/>
          <w:tblHeader/>
        </w:trPr>
        <w:tc>
          <w:tcPr>
            <w:tcW w:type="dxa" w:w="289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type="dxa" w:w="3203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学期课程服务包</w:t>
            </w:r>
          </w:p>
        </w:tc>
        <w:tc>
          <w:tcPr>
            <w:tcW w:type="dxa" w:w="3203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12人小班专题训练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单位收入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4,800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12×499＝5,988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团队交付人工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40小时×40＝1,600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18小时×40＝720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外聘师资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由任课教师自主教学；不含外聘授课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24课时×120＝2,880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模型预算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100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增量云资源、存储与评测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400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训练材料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包内既有课程资源轻量适配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直接交付成本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1,600＋100＋400＝2,100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720＋2,880＋50＋50＋100＝3,800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单位毛利（未扣公共费用）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4,800－2,100＝2,700（56.25%）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5,988－3,800＝2,188（36.54%）</w:t>
            </w:r>
          </w:p>
        </w:tc>
      </w:tr>
    </w:tbl>
    <w:p>
      <w:pPr>
        <w:pStyle w:val="V20Small"/>
        <w:spacing w:after="0"/>
      </w:pPr>
    </w:p>
    <w:p>
      <w:pPr>
        <w:pStyle w:val="V20Small"/>
      </w:pPr>
      <w:r>
        <w:rPr>
          <w:b w:val="0"/>
        </w:rPr>
        <w:t>课程40小时包括历史配置、培训、报告与支持32小时，加质量复核与返工8小时。训练18小时团队支持用于招募组织、练习复核和反馈；外聘师资按120元/课时计，属于讲授与点评报酬，不再重复分成。年度公共研发、资源、平台、获客、管理和税费支付准备另计。</w:t>
      </w:r>
    </w:p>
    <w:p>
      <w:pPr>
        <w:pStyle w:val="V20Small"/>
      </w:pPr>
      <w:r>
        <w:rPr>
          <w:b w:val="0"/>
        </w:rPr>
        <w:t>历史基线为模型68.208＋云资源400＋32小时×30＝1,428.208元，约1,428.21元；历史1,500元收费仅余71.79元交付差额，未扣公共费用。本预测改用上表价格和预算，不以历史差额作为利润。</w:t>
      </w:r>
    </w:p>
    <w:p>
      <w:pPr>
        <w:pStyle w:val="V20H2"/>
      </w:pPr>
      <w:r>
        <w:rPr>
          <w:b w:val="0"/>
        </w:rPr>
        <w:t>启动资源30,000元，其中现金需求13,200元</w:t>
      </w:r>
    </w:p>
    <w:p>
      <w:pPr>
        <w:pStyle w:val="V20Body"/>
      </w:pPr>
      <w:r>
        <w:rPr>
          <w:b w:val="0"/>
        </w:rPr>
        <w:t>拟用于初始产品研发12,000元、共享资源建设4,800元（合计420小时团队折算投入）；平台基础2,400元、首批推广与管理现金1,600元、周转储备9,200元。资金来源拟探索团队自筹与校内项目支持，尚未取得。</w:t>
      </w:r>
    </w:p>
    <w:p>
      <w:pPr>
        <w:pStyle w:val="V20Small"/>
      </w:pPr>
      <w:r>
        <w:rPr>
          <w:b w:val="0"/>
        </w:rPr>
        <w:t>研发、资源及上述运营费用已纳入2027年年度费用，启动需求不重复扣除；周转储备是现金缓冲，不是费用。9,200元可覆盖2个课程包和1个训练班的现金直接支出4,080元，余量用于公共开支与回款等待。</w:t>
      </w:r>
    </w:p>
    <w:p>
      <w:pPr>
        <w:pStyle w:val="V20H1"/>
        <w:pageBreakBefore/>
      </w:pPr>
      <w:r>
        <w:rPr>
          <w:b w:val="0"/>
        </w:rPr>
        <w:t>财务规划｜2027—2029年完整年度预测</w:t>
      </w:r>
    </w:p>
    <w:p>
      <w:pPr>
        <w:pStyle w:val="V20Body"/>
      </w:pPr>
      <w:r>
        <w:rPr>
          <w:b w:val="0"/>
        </w:rPr>
        <w:t>三年采用相同价格与单位成本，增长来自分批增加课程包和训练班，未预设涨价或自动付费。全部团队工时按40元/小时计入经济成本；税费及支付费用按收入5%预留，该比例为预算假设，实际按经营主体和结算情况重算。</w:t>
      </w:r>
    </w:p>
    <w:p>
      <w:pPr>
        <w:pStyle w:val="V20Caption"/>
      </w:pPr>
      <w:r>
        <w:rPr>
          <w:b w:val="0"/>
        </w:rPr>
        <w:t>表3  三年经营预测（基准情景；金额单位：元）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25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4025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type="dxa" w:w="17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2027年</w:t>
            </w:r>
          </w:p>
        </w:tc>
        <w:tc>
          <w:tcPr>
            <w:tcW w:type="dxa" w:w="17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2028年</w:t>
            </w:r>
          </w:p>
        </w:tc>
        <w:tc>
          <w:tcPr>
            <w:tcW w:type="dxa" w:w="17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2029年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课程包数量 / 训练班数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8包 / 4班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12包 / 6班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18包 / 8班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训练付费席次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48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72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96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课程收入：4,800×包数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38,400.00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57,600.00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86,400.00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训练收入：5,988×班数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23,952.00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35,928.00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47,904.00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年度总收入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62,352.00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93,528.00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134,304.00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课程直接成本：2,100×包数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16,800.00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25,200.00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37,800.00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训练直接成本：3,800×班数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15,200.00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22,800.00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30,400.00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产品持续研发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12,000.00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12,800.00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14,400.00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共享题目与资源建设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4,800.00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5,600.00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平台基础与免费AI预算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2,400.00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3,600.00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4,800.00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推广与获客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4,000.00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6,000.00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8,000.00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管理与协作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2,400.00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3,000.00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3,600.00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税费及支付费用准备：收入×5%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3,117.60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4,676.40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6,715.20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年度总经济成本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60,717.60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83,676.40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112,115.20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预计经营利润：收入－总成本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1,634.40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9,851.60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22,188.80</w:t>
            </w:r>
          </w:p>
        </w:tc>
      </w:tr>
    </w:tbl>
    <w:p>
      <w:pPr>
        <w:pStyle w:val="V20Small"/>
        <w:spacing w:after="0"/>
      </w:pPr>
    </w:p>
    <w:p>
      <w:pPr>
        <w:pStyle w:val="V20Small"/>
      </w:pPr>
      <w:r>
        <w:rPr>
          <w:b w:val="0"/>
        </w:rPr>
        <w:t>公共费用计算：研发按300/320/360小时×40元；共享资源按120/140/160小时×40元；平台基础云资源1,800/2,700/3,600元，加免费AI 600/900/1,200元。推广含80/120/160小时×40元及现金800/1,200/1,600元；管理含40/50/60小时×40元及现金800/1,000/1,200元。课程增量云资源不与平台基础资源重复分摊。</w:t>
      </w:r>
    </w:p>
    <w:p>
      <w:pPr>
        <w:pStyle w:val="V20H1"/>
        <w:pageBreakBefore/>
      </w:pPr>
      <w:r>
        <w:rPr>
          <w:b w:val="0"/>
        </w:rPr>
        <w:t>财务规划｜增长要跟得上履约与回款</w:t>
      </w:r>
    </w:p>
    <w:p>
      <w:pPr>
        <w:pStyle w:val="V20H2"/>
      </w:pPr>
      <w:r>
        <w:rPr>
          <w:b w:val="0"/>
        </w:rPr>
        <w:t>把获客假设接到订单数量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5329"/>
        <w:gridCol w:w="2948"/>
      </w:tblGrid>
      <w:tr>
        <w:trPr>
          <w:cantSplit/>
          <w:tblHeader/>
        </w:trPr>
        <w:tc>
          <w:tcPr>
            <w:tcW w:type="dxa" w:w="1020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年度</w:t>
            </w:r>
          </w:p>
        </w:tc>
        <w:tc>
          <w:tcPr>
            <w:tcW w:type="dxa" w:w="532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教师/课程接触→免费基础班→付费班</w:t>
            </w:r>
          </w:p>
        </w:tc>
        <w:tc>
          <w:tcPr>
            <w:tcW w:type="dxa" w:w="2948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年课程包 / 训练班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2027</w:t>
            </w:r>
          </w:p>
        </w:tc>
        <w:tc>
          <w:tcPr>
            <w:tcW w:type="dxa" w:w="532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12个接触→6个基础班→4个付费班</w:t>
            </w:r>
          </w:p>
        </w:tc>
        <w:tc>
          <w:tcPr>
            <w:tcW w:type="dxa" w:w="29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4班×2学期＝8包；4训练班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2028</w:t>
            </w:r>
          </w:p>
        </w:tc>
        <w:tc>
          <w:tcPr>
            <w:tcW w:type="dxa" w:w="532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18个接触→9个基础班→6个付费班</w:t>
            </w:r>
          </w:p>
        </w:tc>
        <w:tc>
          <w:tcPr>
            <w:tcW w:type="dxa" w:w="294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6班×2学期＝12包；6训练班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2029</w:t>
            </w:r>
          </w:p>
        </w:tc>
        <w:tc>
          <w:tcPr>
            <w:tcW w:type="dxa" w:w="532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24个接触→12个基础班→9个付费班</w:t>
            </w:r>
          </w:p>
        </w:tc>
        <w:tc>
          <w:tcPr>
            <w:tcW w:type="dxa" w:w="29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9班×2学期＝18包；8训练班</w:t>
            </w:r>
          </w:p>
        </w:tc>
      </w:tr>
    </w:tbl>
    <w:p>
      <w:pPr>
        <w:pStyle w:val="V20Small"/>
        <w:spacing w:after="0"/>
      </w:pPr>
    </w:p>
    <w:p>
      <w:pPr>
        <w:pStyle w:val="V20Body"/>
      </w:pPr>
      <w:r>
        <w:rPr>
          <w:b w:val="0"/>
        </w:rPr>
        <w:t>漏斗为待验证的排期假设，不是调查转化率。2027年8包以春季开课前完成试点及采购沟通为前提，未满足则顺延。每年训练4/6/8班需48/72/96个付费席次，来源拟为每日一题、主题活动及校内训练报名。每班满12人且师资落实后开班，不足则延期、合班或退还未交付费用。</w:t>
      </w:r>
    </w:p>
    <w:p>
      <w:pPr>
        <w:pStyle w:val="V20H2"/>
      </w:pPr>
      <w:r>
        <w:rPr>
          <w:b w:val="0"/>
        </w:rPr>
        <w:t>把服务工时计入容量</w:t>
      </w:r>
    </w:p>
    <w:p>
      <w:pPr>
        <w:pStyle w:val="V20Body"/>
      </w:pPr>
      <w:r>
        <w:rPr>
          <w:b w:val="0"/>
        </w:rPr>
        <w:t>四名学生年度总工时分别为932、1,218、1,604小时，含交付、研发、资源、获客和管理；按每年37个工作周折算，平均每人每周约6.30、8.23、10.84小时。外聘师资另需96、144、192课时。新交付先检查开发与复核岗位余量，考试周减少排班；不能按时安排时减单或延期，不以无限免费人工补缺。</w:t>
      </w:r>
    </w:p>
    <w:p>
      <w:pPr>
        <w:pStyle w:val="V20H2"/>
      </w:pPr>
      <w:r>
        <w:rPr>
          <w:b w:val="0"/>
        </w:rPr>
        <w:t>分开看经营利润与现金</w:t>
      </w:r>
    </w:p>
    <w:p>
      <w:pPr>
        <w:pStyle w:val="V20Body"/>
      </w:pPr>
      <w:r>
        <w:rPr>
          <w:b w:val="0"/>
        </w:rPr>
        <w:t>团队工时若暂不实付，三年计入成本的折算投入为37,280、48,720、64,160元；对应现金成本为23,437.60、34,956.40、47,955.20元，现金收支差额为38,914.40、58,571.60、86,348.80元。较高的现金差额含未实付的团队劳动，不等同利润；同一工时一旦实付，现金成本增加、折算成本等额减少，不重复计入总成本。</w:t>
      </w:r>
    </w:p>
    <w:p>
      <w:pPr>
        <w:pStyle w:val="V20H2"/>
      </w:pPr>
      <w:r>
        <w:rPr>
          <w:b w:val="0"/>
        </w:rPr>
        <w:t>保守情景：订单减半且课程返工</w:t>
      </w:r>
    </w:p>
    <w:p>
      <w:pPr>
        <w:pStyle w:val="V20Body"/>
      </w:pPr>
      <w:r>
        <w:rPr>
          <w:b w:val="0"/>
        </w:rPr>
        <w:t>若2027年仅4个课程包、2个训练班，课程工时增至80小时、AI预算增至150元，则课程单位成本为80×40＋150＋400＝3,750元。收入31,176元，直接成本22,600元，公共费用25,600元，税费支付准备1,558.80元，总成本49,758.80元，预计经营亏损18,582.80元。</w:t>
      </w:r>
    </w:p>
    <w:p>
      <w:pPr>
        <w:pStyle w:val="V20Small"/>
      </w:pPr>
      <w:r>
        <w:rPr>
          <w:b w:val="0"/>
        </w:rPr>
        <w:t>应对重点是先缩减或推迟付费扩张，保留基础服务，逐包复盘返工原因；降低非必要推广、按实测范围重新报价。现金回款按交付阶段确认，采购未获批准不提前承诺开支；周转储备需随实际现金流滚动调整。</w:t>
      </w:r>
    </w:p>
    <w:p>
      <w:bookmarkStart w:id="197" w:name="part5"/>
      <w:pPr>
        <w:pStyle w:val="V20H1"/>
        <w:pageBreakBefore/>
      </w:pPr>
      <w:r>
        <w:rPr>
          <w:b w:val="0"/>
        </w:rPr>
        <w:t>第五部分  团队介绍</w:t>
      </w:r>
      <w:bookmarkEnd w:id="197"/>
    </w:p>
    <w:p>
      <w:pPr>
        <w:pStyle w:val="V20Body"/>
      </w:pPr>
      <w:r>
        <w:rPr>
          <w:b w:val="0"/>
        </w:rPr>
        <w:t>ZERO团队（4名学生）围绕产品、课程与交付分工，以实际交付件检验执行能力。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257"/>
      </w:tblGrid>
      <w:tr>
        <w:trPr>
          <w:cantSplit/>
          <w:tblHeader/>
        </w:trPr>
        <w:tc>
          <w:tcPr>
            <w:tcW w:type="dxa" w:w="204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成员</w:t>
            </w:r>
          </w:p>
        </w:tc>
        <w:tc>
          <w:tcPr>
            <w:tcW w:type="dxa" w:w="72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原有职责与对应交付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叶兴楠｜负责人</w:t>
            </w:r>
          </w:p>
        </w:tc>
        <w:tc>
          <w:tcPr>
            <w:tcW w:type="dxa" w:w="72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统筹需求、产品范围、教师沟通和材料；负责排期、经费沟通与交付确认。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林李想</w:t>
            </w:r>
          </w:p>
        </w:tc>
        <w:tc>
          <w:tcPr>
            <w:tcW w:type="dxa" w:w="72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前后端、接口与评测服务；承担产品运行核对、问题响应和技术交接。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黄显涛</w:t>
            </w:r>
          </w:p>
        </w:tc>
        <w:tc>
          <w:tcPr>
            <w:tcW w:type="dxa" w:w="72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题目样例、测试记录和演示材料，由负责人协调；承担资源检查与训练练习复核。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汪盛淇</w:t>
            </w:r>
          </w:p>
        </w:tc>
        <w:tc>
          <w:tcPr>
            <w:tcW w:type="dxa" w:w="72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材料、课程支持与质量记录；承担培训、报告、反馈整理与交付复核。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指导教师：李志军（教授）</w:t>
      </w:r>
    </w:p>
    <w:p>
      <w:pPr>
        <w:pStyle w:val="V20Body"/>
      </w:pPr>
      <w:r>
        <w:rPr>
          <w:b w:val="0"/>
        </w:rPr>
        <w:t>据负责人提供，李志军为硕士、教授，具有广西科技项目评审、高新技术企业认定评审及高校创业指导经验；指导过国家级大学生创新创业项目4项、自治区级8项。其程序设计竞赛指导涉及ICPC、CCPC、蓝桥杯等，曾指导学生获中华职业教育创新创业大赛广西赛区银奖，并有教学创新与教学成果获奖经历。</w:t>
      </w:r>
    </w:p>
    <w:p>
      <w:pPr>
        <w:pStyle w:val="V20Body"/>
      </w:pPr>
      <w:r>
        <w:rPr>
          <w:b w:val="0"/>
        </w:rPr>
        <w:t>拟重点支持课程任务和提示策略设计、训练服务质量、项目阶段评审与创业方案打磨。上述为教师个人指导经历，不转写为本项目奖项或知识产权；具体指导安排由本人确认。训练师资按服务需要另行落实，不默认由指导教师承担有偿授课。</w:t>
      </w:r>
    </w:p>
    <w:p>
      <w:pPr>
        <w:pStyle w:val="V20Small"/>
      </w:pPr>
      <w:r>
        <w:rPr>
          <w:b w:val="0"/>
        </w:rPr>
        <w:t>团队拟每周围绕课程与问题进展协作，任务须有负责人和复核人；按实际贡献与工时讨论服务报酬。项目尚未注册，不虚设股权结构。外部支持以具体人选、范围和实际记录为准，筹建实验空间与企业合作均按计划推进。</w:t>
      </w:r>
    </w:p>
    <w:p>
      <w:pPr>
        <w:pStyle w:val="V20H2"/>
      </w:pPr>
      <w:r>
        <w:rPr>
          <w:b w:val="0"/>
        </w:rPr>
        <w:t>参考来源</w:t>
      </w:r>
    </w:p>
    <w:p>
      <w:pPr>
        <w:pStyle w:val="V20Small"/>
      </w:pPr>
      <w:hyperlink r:id="rIdV2012">
        <w:r>
          <w:rPr>
            <w:u w:val="single"/>
          </w:rPr>
          <w:t>[1] 教育部《2025年全国教育事业发展统计公报》，2026-07-06，第六部分。</w:t>
        </w:r>
      </w:hyperlink>
    </w:p>
    <w:p>
      <w:pPr>
        <w:pStyle w:val="V20Small"/>
      </w:pPr>
      <w:hyperlink r:id="rIdV2013">
        <w:r>
          <w:rPr>
            <w:u w:val="single"/>
          </w:rPr>
          <w:t>[2] PTA《产品介绍》。</w:t>
        </w:r>
      </w:hyperlink>
    </w:p>
    <w:p>
      <w:pPr>
        <w:pStyle w:val="V20Small"/>
      </w:pPr>
      <w:hyperlink r:id="rIdV2014">
        <w:r>
          <w:rPr>
            <w:u w:val="single"/>
          </w:rPr>
          <w:t>[3] 头歌《实践教学平台》。</w:t>
        </w:r>
      </w:hyperlink>
    </w:p>
    <w:p>
      <w:pPr>
        <w:pStyle w:val="V20Small"/>
      </w:pPr>
      <w:hyperlink r:id="rIdV2015">
        <w:r>
          <w:rPr>
            <w:u w:val="single"/>
          </w:rPr>
          <w:t>头歌《创建课堂》。</w:t>
        </w:r>
      </w:hyperlink>
    </w:p>
    <w:p>
      <w:pPr>
        <w:pStyle w:val="V20Small"/>
      </w:pPr>
      <w:hyperlink r:id="rIdV2016">
        <w:r>
          <w:rPr>
            <w:u w:val="single"/>
          </w:rPr>
          <w:t>[4] CodeGrade《AI Coding Assistant for CS Courses》。</w:t>
        </w:r>
      </w:hyperlink>
    </w:p>
    <w:p>
      <w:pPr>
        <w:pStyle w:val="V20Small"/>
      </w:pPr>
      <w:hyperlink r:id="rIdV2017">
        <w:r>
          <w:rPr>
            <w:u w:val="single"/>
          </w:rPr>
          <w:t>CodeGrade 官方帮助《AI Assistant》。</w:t>
        </w:r>
      </w:hyperlink>
    </w:p>
    <w:p>
      <w:pPr>
        <w:pStyle w:val="V20Small"/>
      </w:pPr>
      <w:hyperlink r:id="rIdV2018">
        <w:r>
          <w:rPr>
            <w:u w:val="single"/>
          </w:rPr>
          <w:t>[5] OpenAI《Using study mode in ChatGPT》。</w:t>
        </w:r>
      </w:hyperlink>
    </w:p>
    <w:sectPr w:rsidR="00FC693F" w:rsidRPr="0006063C" w:rsidSect="00034616">
      <w:footerReference w:type="default" r:id="rIdV20Footer"/>
      <w:pgSz w:w="11906" w:h="16838"/>
      <w:pgMar w:top="1134" w:right="1304" w:bottom="1134" w:left="1304" w:header="510" w:footer="567" w:gutter="0"/>
      <w:cols w:space="720"/>
      <w:docGrid w:linePitch="360"/>
      <w:pgNumType w:fmt="decimal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F88D2" w14:textId="77777777" w:rsidR="00C409EA" w:rsidRDefault="00C409EA">
      <w:r>
        <w:separator/>
      </w:r>
    </w:p>
  </w:endnote>
  <w:endnote w:type="continuationSeparator" w:id="0">
    <w:p w14:paraId="30DC124D" w14:textId="77777777" w:rsidR="00C409EA" w:rsidRDefault="00C40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5C8C0" w14:textId="77777777"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14:paraId="68E34856" w14:textId="77777777"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B6057" w14:textId="77777777"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7107D8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ACB89" w14:textId="77777777"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A25524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44B0" w14:textId="77777777"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F8DA5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43943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7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C89F4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_v20.xml><?xml version="1.0" encoding="utf-8"?>
<w:ftr xmlns:w="http://schemas.openxmlformats.org/wordprocessingml/2006/main">
  <w:p>
    <w:pPr>
      <w:jc w:val="center"/>
    </w:pPr>
    <w:r>
      <w:rPr>
        <w:sz w:val="18"/>
        <w:rFonts w:eastAsia="宋体"/>
      </w:rPr>
      <w:t xml:space="preserve">第 </w:t>
    </w:r>
    <w:r>
      <w:rPr>
        <w:sz w:val="18"/>
        <w:rFonts w:eastAsia="宋体"/>
      </w:rPr>
    </w:r>
    <w:fldSimple w:instr="PAGE">
      <w:r>
        <w:t>7</w:t>
      </w:r>
    </w:fldSimple>
    <w:r>
      <w:rPr>
        <w:sz w:val="18"/>
        <w:rFonts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14B3D" w14:textId="77777777" w:rsidR="00C409EA" w:rsidRDefault="00C409EA">
      <w:r>
        <w:separator/>
      </w:r>
    </w:p>
  </w:footnote>
  <w:footnote w:type="continuationSeparator" w:id="0">
    <w:p w14:paraId="3557A485" w14:textId="77777777" w:rsidR="00C409EA" w:rsidRDefault="00C40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FA15" w14:textId="77777777"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E87BD" w14:textId="77777777"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6F5A" w14:textId="77777777"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FFEE" w14:textId="77777777"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96FF4"/>
    <w:rsid w:val="000A610A"/>
    <w:rsid w:val="00112F0C"/>
    <w:rsid w:val="001321B5"/>
    <w:rsid w:val="00183578"/>
    <w:rsid w:val="001F1404"/>
    <w:rsid w:val="0023346E"/>
    <w:rsid w:val="00316851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03CE"/>
    <w:rsid w:val="00665284"/>
    <w:rsid w:val="006A5B90"/>
    <w:rsid w:val="006C1BBA"/>
    <w:rsid w:val="006E0334"/>
    <w:rsid w:val="00767587"/>
    <w:rsid w:val="007806C0"/>
    <w:rsid w:val="007A68BE"/>
    <w:rsid w:val="007E6C35"/>
    <w:rsid w:val="008014B7"/>
    <w:rsid w:val="008746EA"/>
    <w:rsid w:val="0089406B"/>
    <w:rsid w:val="008D257F"/>
    <w:rsid w:val="009333DB"/>
    <w:rsid w:val="00940B10"/>
    <w:rsid w:val="00977283"/>
    <w:rsid w:val="009E1B19"/>
    <w:rsid w:val="009F4B44"/>
    <w:rsid w:val="00A80406"/>
    <w:rsid w:val="00AC17AD"/>
    <w:rsid w:val="00AC5AE9"/>
    <w:rsid w:val="00AF717E"/>
    <w:rsid w:val="00B0525F"/>
    <w:rsid w:val="00B22062"/>
    <w:rsid w:val="00B32045"/>
    <w:rsid w:val="00B75306"/>
    <w:rsid w:val="00BA4036"/>
    <w:rsid w:val="00C150DD"/>
    <w:rsid w:val="00C409EA"/>
    <w:rsid w:val="00C64A1B"/>
    <w:rsid w:val="00C77C99"/>
    <w:rsid w:val="00CE7139"/>
    <w:rsid w:val="00CF12EE"/>
    <w:rsid w:val="00E317D0"/>
    <w:rsid w:val="00E322B0"/>
    <w:rsid w:val="00E43258"/>
    <w:rsid w:val="00E517DB"/>
    <w:rsid w:val="00E536AA"/>
    <w:rsid w:val="00E85230"/>
    <w:rsid w:val="00EA0EB3"/>
    <w:rsid w:val="00EF4C4D"/>
    <w:rsid w:val="00F31D47"/>
    <w:rsid w:val="00F42E2A"/>
    <w:rsid w:val="00FC792D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29C8A"/>
  <w15:docId w15:val="{182D2082-7368-2A40-BB40-2D3801E4E52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  <w:style w:type="paragraph" w:customStyle="1" w:styleId="V20Body">
    <w:name w:val="V20Body"/>
    <w:pPr>
      <w:keepNext w:val="0"/>
      <w:widowControl/>
      <w:spacing w:before="0" w:after="120" w:line="312" w:lineRule="auto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V20H1">
    <w:name w:val="V20H1"/>
    <w:pPr>
      <w:keepNext/>
      <w:widowControl/>
      <w:spacing w:before="0" w:after="200" w:line="312" w:lineRule="auto"/>
    </w:pPr>
    <w:rPr>
      <w:rFonts w:ascii="Times New Roman" w:hAnsi="Times New Roman" w:eastAsia="黑体"/>
      <w:b/>
      <w:color w:val="000000"/>
      <w:sz w:val="34"/>
    </w:rPr>
  </w:style>
  <w:style w:type="paragraph" w:customStyle="1" w:styleId="V20H2">
    <w:name w:val="V20H2"/>
    <w:pPr>
      <w:keepNext/>
      <w:widowControl/>
      <w:spacing w:before="160" w:after="120" w:line="312" w:lineRule="auto"/>
    </w:pPr>
    <w:rPr>
      <w:rFonts w:ascii="Times New Roman" w:hAnsi="Times New Roman" w:eastAsia="黑体"/>
      <w:b/>
      <w:color w:val="000000"/>
      <w:sz w:val="26"/>
    </w:rPr>
  </w:style>
  <w:style w:type="paragraph" w:customStyle="1" w:styleId="V20Title">
    <w:name w:val="V20Title"/>
    <w:pPr>
      <w:keepNext/>
      <w:widowControl/>
      <w:spacing w:before="0" w:after="120" w:line="312" w:lineRule="auto"/>
    </w:pPr>
    <w:rPr>
      <w:rFonts w:ascii="Times New Roman" w:hAnsi="Times New Roman" w:eastAsia="黑体"/>
      <w:b/>
      <w:color w:val="000000"/>
      <w:sz w:val="40"/>
    </w:rPr>
  </w:style>
  <w:style w:type="paragraph" w:customStyle="1" w:styleId="V20Small">
    <w:name w:val="V20Small"/>
    <w:pPr>
      <w:keepNext w:val="0"/>
      <w:widowControl/>
      <w:spacing w:before="0" w:after="100" w:line="312" w:lineRule="auto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V20Caption">
    <w:name w:val="V20Caption"/>
    <w:pPr>
      <w:keepNext w:val="0"/>
      <w:widowControl/>
      <w:spacing w:before="0" w:after="140" w:line="312" w:lineRule="auto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V20Table">
    <w:name w:val="V20Table"/>
    <w:pPr>
      <w:keepNext w:val="0"/>
      <w:widowControl/>
      <w:spacing w:before="0" w:after="0" w:line="312" w:lineRule="auto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V20TOC">
    <w:name w:val="V20TOC"/>
    <w:pPr>
      <w:keepNext w:val="0"/>
      <w:widowControl/>
      <w:spacing w:before="0" w:after="60" w:line="312" w:lineRule="auto"/>
    </w:pPr>
    <w:rPr>
      <w:rFonts w:ascii="Times New Roman" w:hAnsi="Times New Roman" w:eastAsia="宋体"/>
      <w:b w:val="0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image" Target="media/image10.png"/><Relationship Id="rId27" Type="http://schemas.openxmlformats.org/officeDocument/2006/relationships/footer" Target="footer5.xml"/><Relationship Id="rId30" Type="http://schemas.openxmlformats.org/officeDocument/2006/relationships/fontTable" Target="fontTable.xml"/><Relationship Id="rIdV208" Type="http://schemas.openxmlformats.org/officeDocument/2006/relationships/image" Target="media/v20_image1.png"/><Relationship Id="rIdV209" Type="http://schemas.openxmlformats.org/officeDocument/2006/relationships/image" Target="media/v20_image2.png"/><Relationship Id="rIdV2010" Type="http://schemas.openxmlformats.org/officeDocument/2006/relationships/image" Target="media/v20_image3.png"/><Relationship Id="rIdV2011" Type="http://schemas.openxmlformats.org/officeDocument/2006/relationships/image" Target="media/v20_image4.png"/><Relationship Id="rIdV2012" Type="http://schemas.openxmlformats.org/officeDocument/2006/relationships/hyperlink" Target="https://www.moe.gov.cn/jyb_sjzl/sjzl_fztjgb/202607/t20260706_1442870.html" TargetMode="External"/><Relationship Id="rIdV2013" Type="http://schemas.openxmlformats.org/officeDocument/2006/relationships/hyperlink" Target="https://www.pat-edu.com/pta.html" TargetMode="External"/><Relationship Id="rIdV2014" Type="http://schemas.openxmlformats.org/officeDocument/2006/relationships/hyperlink" Target="https://www.educoder.net/" TargetMode="External"/><Relationship Id="rIdV2015" Type="http://schemas.openxmlformats.org/officeDocument/2006/relationships/hyperlink" Target="https://www.educoder.net/classrooms/new" TargetMode="External"/><Relationship Id="rIdV2016" Type="http://schemas.openxmlformats.org/officeDocument/2006/relationships/hyperlink" Target="https://www.codegrade.com/solutions/ai-assistant" TargetMode="External"/><Relationship Id="rIdV2017" Type="http://schemas.openxmlformats.org/officeDocument/2006/relationships/hyperlink" Target="https://help.codegrade.com/setup-assignment/other-features/ai-assistant" TargetMode="External"/><Relationship Id="rIdV2018" Type="http://schemas.openxmlformats.org/officeDocument/2006/relationships/hyperlink" Target="https://help.openai.com/en/articles/11780217-using-study-mode-in-chatgpt" TargetMode="External"/><Relationship Id="rIdV20Footer" Type="http://schemas.openxmlformats.org/officeDocument/2006/relationships/footer" Target="footer_v20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2215</Words>
  <Characters>12629</Characters>
  <Application>Microsoft Office Word</Application>
  <DocSecurity>0</DocSecurity>
  <Lines>105</Lines>
  <Paragraphs>29</Paragraphs>
  <ScaleCrop>false</ScaleCrop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52</cp:revision>
  <dcterms:created xsi:type="dcterms:W3CDTF">2026-10-21T07:49:00Z</dcterms:created>
  <dcterms:modified xsi:type="dcterms:W3CDTF">2026-10-24T13:46:00Z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