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PMeta"/>
      </w:pPr>
    </w:p>
    <w:p>
      <w:pPr>
        <w:pStyle w:val="BPMeta"/>
      </w:pPr>
    </w:p>
    <w:p>
      <w:pPr>
        <w:pStyle w:val="BPMeta"/>
      </w:pPr>
    </w:p>
    <w:p>
      <w:pPr>
        <w:pStyle w:val="Title"/>
        <w:jc w:val="center"/>
      </w:pPr>
      <w:r>
        <w:t>CodePilot Edu</w:t>
      </w:r>
    </w:p>
    <w:p>
      <w:pPr>
        <w:pStyle w:val="Title"/>
        <w:jc w:val="center"/>
      </w:pPr>
      <w:r>
        <w:t>商业计划书</w:t>
      </w:r>
    </w:p>
    <w:p>
      <w:pPr>
        <w:pStyle w:val="BPMeta"/>
        <w:spacing w:after="600"/>
        <w:jc w:val="center"/>
      </w:pPr>
      <w:r>
        <w:t>基于AI错因诊断与学习行为分析的程序设计智能实训平台</w:t>
      </w:r>
    </w:p>
    <w:p>
      <w:pPr>
        <w:pStyle w:val="BPMeta"/>
        <w:jc w:val="center"/>
      </w:pPr>
      <w:r>
        <w:t>第十届中华职业教育创新创业大赛</w:t>
      </w:r>
    </w:p>
    <w:p>
      <w:pPr>
        <w:pStyle w:val="BPMeta"/>
        <w:jc w:val="center"/>
      </w:pPr>
      <w:r>
        <w:t>学生赛道  本科组</w:t>
      </w:r>
    </w:p>
    <w:p>
      <w:pPr>
        <w:pStyle w:val="BPMeta"/>
        <w:jc w:val="center"/>
      </w:pPr>
      <w:r>
        <w:t>广西职业师范学院</w:t>
      </w:r>
    </w:p>
    <w:p>
      <w:pPr>
        <w:pStyle w:val="BPMeta"/>
        <w:jc w:val="center"/>
      </w:pPr>
      <w:r>
        <w:t>计算机与信息工程学院</w:t>
      </w:r>
    </w:p>
    <w:p>
      <w:pPr>
        <w:pStyle w:val="BPMeta"/>
        <w:jc w:val="center"/>
      </w:pPr>
      <w:r>
        <w:t>ZERO团队  项目负责人 叶兴楠</w:t>
      </w:r>
    </w:p>
    <w:p>
      <w:pPr>
        <w:pStyle w:val="BPMeta"/>
        <w:jc w:val="center"/>
      </w:pPr>
      <w:r>
        <w:t>2026年10月23日</w:t>
      </w:r>
    </w:p>
    <w:p>
      <w:pPr>
        <w:pStyle w:val="BPMeta"/>
      </w:pPr>
    </w:p>
    <w:p>
      <w:pPr>
        <w:pStyle w:val="BPMeta"/>
        <w:jc w:val="center"/>
      </w:pPr>
      <w:r>
        <w:t>项目阶段  立项与初步技术验证</w:t>
      </w:r>
    </w:p>
    <w:p>
      <w:pPr>
        <w:pStyle w:val="BPMeta"/>
        <w:jc w:val="center"/>
      </w:pPr>
      <w:r>
        <w:t>尚未注册企业  教学效果与付费需求待验证</w:t>
      </w:r>
    </w:p>
    <w:p>
      <w:pPr>
        <w:pStyle w:val="BPH1"/>
        <w:pageBreakBefore/>
      </w:pPr>
      <w:r>
        <w:t>目录</w:t>
      </w:r>
    </w:p>
    <w:p>
      <w:pPr>
        <w:pStyle w:val="BPTOC"/>
        <w:tabs>
          <w:tab w:pos="8702" w:val="right" w:leader="dot"/>
        </w:tabs>
        <w:spacing w:after="140"/>
      </w:pPr>
      <w:r>
        <w:t>1 执行摘要</w:t>
      </w:r>
      <w:r>
        <w:tab/>
        <w:t>3</w:t>
      </w:r>
    </w:p>
    <w:p>
      <w:pPr>
        <w:pStyle w:val="BPTOC"/>
        <w:tabs>
          <w:tab w:pos="8702" w:val="right" w:leader="dot"/>
        </w:tabs>
        <w:spacing w:after="140"/>
      </w:pPr>
      <w:r>
        <w:t>2 项目背景与行业需求</w:t>
      </w:r>
      <w:r>
        <w:tab/>
        <w:t>4</w:t>
      </w:r>
    </w:p>
    <w:p>
      <w:pPr>
        <w:pStyle w:val="BPTOC"/>
        <w:tabs>
          <w:tab w:pos="8702" w:val="right" w:leader="dot"/>
        </w:tabs>
        <w:spacing w:after="140"/>
      </w:pPr>
      <w:r>
        <w:t>3 目标客户与需求分析</w:t>
      </w:r>
      <w:r>
        <w:tab/>
        <w:t>5</w:t>
      </w:r>
    </w:p>
    <w:p>
      <w:pPr>
        <w:pStyle w:val="BPTOC"/>
        <w:tabs>
          <w:tab w:pos="8702" w:val="right" w:leader="dot"/>
        </w:tabs>
        <w:spacing w:after="140"/>
      </w:pPr>
      <w:r>
        <w:t>4 产品与服务方案</w:t>
      </w:r>
      <w:r>
        <w:tab/>
        <w:t>6</w:t>
      </w:r>
    </w:p>
    <w:p>
      <w:pPr>
        <w:pStyle w:val="BPTOC"/>
        <w:tabs>
          <w:tab w:pos="8702" w:val="right" w:leader="dot"/>
        </w:tabs>
        <w:spacing w:after="140"/>
      </w:pPr>
      <w:r>
        <w:t>5 核心创新与差异化竞争</w:t>
      </w:r>
      <w:r>
        <w:tab/>
        <w:t>7</w:t>
      </w:r>
    </w:p>
    <w:p>
      <w:pPr>
        <w:pStyle w:val="BPTOC"/>
        <w:tabs>
          <w:tab w:pos="8702" w:val="right" w:leader="dot"/>
        </w:tabs>
        <w:spacing w:after="140"/>
      </w:pPr>
      <w:r>
        <w:t>6 技术架构与研发可行性</w:t>
      </w:r>
      <w:r>
        <w:tab/>
        <w:t>8</w:t>
      </w:r>
    </w:p>
    <w:p>
      <w:pPr>
        <w:pStyle w:val="BPTOC"/>
        <w:tabs>
          <w:tab w:pos="8702" w:val="right" w:leader="dot"/>
        </w:tabs>
        <w:spacing w:after="140"/>
      </w:pPr>
      <w:r>
        <w:t>7 市场分析及竞品比较</w:t>
      </w:r>
      <w:r>
        <w:tab/>
        <w:t>9</w:t>
      </w:r>
    </w:p>
    <w:p>
      <w:pPr>
        <w:pStyle w:val="BPTOC"/>
        <w:tabs>
          <w:tab w:pos="8702" w:val="right" w:leader="dot"/>
        </w:tabs>
        <w:spacing w:after="140"/>
      </w:pPr>
      <w:r>
        <w:t>8 商业模式与价值交付</w:t>
      </w:r>
      <w:r>
        <w:tab/>
        <w:t>10</w:t>
      </w:r>
    </w:p>
    <w:p>
      <w:pPr>
        <w:pStyle w:val="BPTOC"/>
        <w:tabs>
          <w:tab w:pos="8702" w:val="right" w:leader="dot"/>
        </w:tabs>
        <w:spacing w:after="140"/>
      </w:pPr>
      <w:r>
        <w:t>9 市场进入及推广策略</w:t>
      </w:r>
      <w:r>
        <w:tab/>
        <w:t>11</w:t>
      </w:r>
    </w:p>
    <w:p>
      <w:pPr>
        <w:pStyle w:val="BPTOC"/>
        <w:tabs>
          <w:tab w:pos="8702" w:val="right" w:leader="dot"/>
        </w:tabs>
        <w:spacing w:after="140"/>
      </w:pPr>
      <w:r>
        <w:t>10 成本结构与财务情景测算</w:t>
      </w:r>
      <w:r>
        <w:tab/>
        <w:t>12</w:t>
      </w:r>
    </w:p>
    <w:p>
      <w:pPr>
        <w:pStyle w:val="BPTOC"/>
        <w:tabs>
          <w:tab w:pos="8702" w:val="right" w:leader="dot"/>
        </w:tabs>
        <w:spacing w:after="140"/>
      </w:pPr>
      <w:r>
        <w:t>11 团队组织与资源条件</w:t>
      </w:r>
      <w:r>
        <w:tab/>
        <w:t>14</w:t>
      </w:r>
    </w:p>
    <w:p>
      <w:pPr>
        <w:pStyle w:val="BPTOC"/>
        <w:tabs>
          <w:tab w:pos="8702" w:val="right" w:leader="dot"/>
        </w:tabs>
        <w:spacing w:after="140"/>
      </w:pPr>
      <w:r>
        <w:t>12 教育价值与社会效益</w:t>
      </w:r>
      <w:r>
        <w:tab/>
        <w:t>15</w:t>
      </w:r>
    </w:p>
    <w:p>
      <w:pPr>
        <w:pStyle w:val="BPTOC"/>
        <w:tabs>
          <w:tab w:pos="8702" w:val="right" w:leader="dot"/>
        </w:tabs>
        <w:spacing w:after="140"/>
      </w:pPr>
      <w:r>
        <w:t>13 实施计划与阶段目标</w:t>
      </w:r>
      <w:r>
        <w:tab/>
        <w:t>16</w:t>
      </w:r>
    </w:p>
    <w:p>
      <w:pPr>
        <w:pStyle w:val="BPTOC"/>
        <w:tabs>
          <w:tab w:pos="8702" w:val="right" w:leader="dot"/>
        </w:tabs>
        <w:spacing w:after="140"/>
      </w:pPr>
      <w:r>
        <w:t>14 风险识别及应对</w:t>
      </w:r>
      <w:r>
        <w:tab/>
        <w:t>17</w:t>
      </w:r>
    </w:p>
    <w:p>
      <w:pPr>
        <w:pStyle w:val="BPTOC"/>
        <w:tabs>
          <w:tab w:pos="8702" w:val="right" w:leader="dot"/>
        </w:tabs>
        <w:spacing w:after="140"/>
      </w:pPr>
      <w:r>
        <w:t>15 已有成果与后续验证计划</w:t>
      </w:r>
      <w:r>
        <w:tab/>
        <w:t>18</w:t>
      </w:r>
    </w:p>
    <w:p>
      <w:pPr>
        <w:pStyle w:val="BPTOC"/>
        <w:tabs>
          <w:tab w:pos="8702" w:val="right" w:leader="dot"/>
        </w:tabs>
        <w:spacing w:after="140"/>
      </w:pPr>
      <w:r>
        <w:t>参考资料</w:t>
      </w:r>
      <w:r>
        <w:tab/>
        <w:t>19</w:t>
      </w:r>
    </w:p>
    <w:p>
      <w:pPr>
        <w:pStyle w:val="BPTOC"/>
        <w:tabs>
          <w:tab w:pos="8702" w:val="right" w:leader="dot"/>
        </w:tabs>
        <w:spacing w:after="140"/>
      </w:pPr>
      <w:r>
        <w:t>附录 课程验证与证据管理</w:t>
      </w:r>
      <w:r>
        <w:tab/>
        <w:t>21</w:t>
      </w:r>
    </w:p>
    <w:p>
      <w:pPr>
        <w:pStyle w:val="BPSource"/>
        <w:spacing w:before="240"/>
      </w:pPr>
      <w:r>
        <w:t>阅读说明  正文中的“拟”“计划”“目标”表示尚待执行或验证。财务金额均为情景假设，公开资料核查日期为2026年10月23日。</w:t>
      </w:r>
    </w:p>
    <w:p>
      <w:pPr>
        <w:pStyle w:val="BPH1"/>
        <w:pageBreakBefore/>
      </w:pPr>
      <w:r>
        <w:t>1 执行摘要</w:t>
      </w:r>
    </w:p>
    <w:p>
      <w:pPr>
        <w:pStyle w:val="BPBody"/>
      </w:pPr>
      <w:r>
        <w:t>CodePilot Edu 拟面向高校及职业院校的程序设计初学者，提供以 C 语言基础课程为起点的智能实训辅助服务。学生提交代码后，平台先通过编译与测试形成客观证据，再给出带有不确定性标记的错因解释和三级提示，并记录学生再次修改、提交及通过的过程。教师据此查看班级常见错误和知识点困难分布。</w:t>
      </w:r>
    </w:p>
    <w:p>
      <w:pPr>
        <w:pStyle w:val="BPBody"/>
      </w:pPr>
      <w:r>
        <w:t>项目聚焦一个具体的教学任务：帮助学生解释错误并逐步独立修正，同时为教师提供可用于调整教学的过程信息。客户是否存在持续需求、这一流程能否优于现有工具，以及教学单位是否愿意为服务付费，均需通过访谈和课程试点验证。</w:t>
      </w:r>
    </w:p>
    <w:p>
      <w:pPr>
        <w:pStyle w:val="BPBody"/>
      </w:pPr>
      <w:r>
        <w:t>商业路径拟从校内课程验证开始，形成可复用的题目配置、诊断规则、教学报告和支持流程后，探索课程服务订阅，再逐步拓展院系部署与维护。直接使用者是学生、任课教师和助教，潜在付费决策方是高校、二级学院、课程教学单位及职业教育机构。</w:t>
      </w:r>
    </w:p>
    <w:p>
      <w:pPr>
        <w:pStyle w:val="BPCaption"/>
      </w:pPr>
      <w:r>
        <w:t>表1 项目概况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757"/>
        <w:gridCol w:w="7087"/>
      </w:tblGrid>
      <w:tr>
        <w:trPr>
          <w:cantSplit/>
          <w:tblHeader/>
        </w:trPr>
        <w:tc>
          <w:tcPr>
            <w:tcW w:type="dxa" w:w="1757"/>
            <w:vAlign w:val="center"/>
            <w:shd w:fill="E8ECE9"/>
          </w:tcPr>
          <w:p>
            <w:pPr>
              <w:pStyle w:val="BPTable"/>
            </w:pPr>
            <w:r>
              <w:rPr>
                <w:b/>
              </w:rPr>
              <w:t>项目</w:t>
            </w:r>
          </w:p>
        </w:tc>
        <w:tc>
          <w:tcPr>
            <w:tcW w:type="dxa" w:w="7087"/>
            <w:vAlign w:val="center"/>
            <w:shd w:fill="E8ECE9"/>
          </w:tcPr>
          <w:p>
            <w:pPr>
              <w:pStyle w:val="BPTable"/>
            </w:pPr>
            <w:r>
              <w:rPr>
                <w:b/>
              </w:rPr>
              <w:t>当前口径</w:t>
            </w:r>
          </w:p>
        </w:tc>
      </w:tr>
      <w:tr>
        <w:trPr>
          <w:cantSplit/>
        </w:trPr>
        <w:tc>
          <w:tcPr>
            <w:tcW w:type="dxa" w:w="1757"/>
            <w:vAlign w:val="center"/>
          </w:tcPr>
          <w:p>
            <w:pPr>
              <w:pStyle w:val="BPTable"/>
            </w:pPr>
            <w:r>
              <w:t>项目名称</w:t>
            </w:r>
          </w:p>
        </w:tc>
        <w:tc>
          <w:tcPr>
            <w:tcW w:type="dxa" w:w="7087"/>
            <w:vAlign w:val="center"/>
          </w:tcPr>
          <w:p>
            <w:pPr>
              <w:pStyle w:val="BPTable"/>
            </w:pPr>
            <w:r>
              <w:t>基于AI错因诊断与学习行为分析的程序设计智能实训平台</w:t>
            </w:r>
          </w:p>
        </w:tc>
      </w:tr>
      <w:tr>
        <w:trPr>
          <w:cantSplit/>
        </w:trPr>
        <w:tc>
          <w:tcPr>
            <w:tcW w:type="dxa" w:w="1757"/>
            <w:vAlign w:val="center"/>
            <w:shd w:fill="F6F7F6"/>
          </w:tcPr>
          <w:p>
            <w:pPr>
              <w:pStyle w:val="BPTable"/>
            </w:pPr>
            <w:r>
              <w:t>申报主体</w:t>
            </w:r>
          </w:p>
        </w:tc>
        <w:tc>
          <w:tcPr>
            <w:tcW w:type="dxa" w:w="7087"/>
            <w:vAlign w:val="center"/>
            <w:shd w:fill="F6F7F6"/>
          </w:tcPr>
          <w:p>
            <w:pPr>
              <w:pStyle w:val="BPTable"/>
            </w:pPr>
            <w:r>
              <w:t>广西职业师范学院 计算机与信息工程学院 ZERO团队</w:t>
            </w:r>
          </w:p>
        </w:tc>
      </w:tr>
      <w:tr>
        <w:trPr>
          <w:cantSplit/>
        </w:trPr>
        <w:tc>
          <w:tcPr>
            <w:tcW w:type="dxa" w:w="1757"/>
            <w:vAlign w:val="center"/>
          </w:tcPr>
          <w:p>
            <w:pPr>
              <w:pStyle w:val="BPTable"/>
            </w:pPr>
            <w:r>
              <w:t>参赛方向</w:t>
            </w:r>
          </w:p>
        </w:tc>
        <w:tc>
          <w:tcPr>
            <w:tcW w:type="dxa" w:w="7087"/>
            <w:vAlign w:val="center"/>
          </w:tcPr>
          <w:p>
            <w:pPr>
              <w:pStyle w:val="BPTable"/>
            </w:pPr>
            <w:r>
              <w:t>学生赛道 本科组</w:t>
            </w:r>
          </w:p>
        </w:tc>
      </w:tr>
      <w:tr>
        <w:trPr>
          <w:cantSplit/>
        </w:trPr>
        <w:tc>
          <w:tcPr>
            <w:tcW w:type="dxa" w:w="1757"/>
            <w:vAlign w:val="center"/>
            <w:shd w:fill="F6F7F6"/>
          </w:tcPr>
          <w:p>
            <w:pPr>
              <w:pStyle w:val="BPTable"/>
            </w:pPr>
            <w:r>
              <w:t>项目阶段</w:t>
            </w:r>
          </w:p>
        </w:tc>
        <w:tc>
          <w:tcPr>
            <w:tcW w:type="dxa" w:w="7087"/>
            <w:vAlign w:val="center"/>
            <w:shd w:fill="F6F7F6"/>
          </w:tcPr>
          <w:p>
            <w:pPr>
              <w:pStyle w:val="BPTable"/>
            </w:pPr>
            <w:r>
              <w:t>立项与初步技术验证阶段；已完成研发程度待证据核实</w:t>
            </w:r>
          </w:p>
        </w:tc>
      </w:tr>
      <w:tr>
        <w:trPr>
          <w:cantSplit/>
        </w:trPr>
        <w:tc>
          <w:tcPr>
            <w:tcW w:type="dxa" w:w="1757"/>
            <w:vAlign w:val="center"/>
          </w:tcPr>
          <w:p>
            <w:pPr>
              <w:pStyle w:val="BPTable"/>
            </w:pPr>
            <w:r>
              <w:t>组织情况</w:t>
            </w:r>
          </w:p>
        </w:tc>
        <w:tc>
          <w:tcPr>
            <w:tcW w:type="dxa" w:w="7087"/>
            <w:vAlign w:val="center"/>
          </w:tcPr>
          <w:p>
            <w:pPr>
              <w:pStyle w:val="BPTable"/>
            </w:pPr>
            <w:r>
              <w:t>4名学生；负责人叶兴楠；指导教师待确认</w:t>
            </w:r>
          </w:p>
        </w:tc>
      </w:tr>
      <w:tr>
        <w:trPr>
          <w:cantSplit/>
        </w:trPr>
        <w:tc>
          <w:tcPr>
            <w:tcW w:type="dxa" w:w="1757"/>
            <w:vAlign w:val="center"/>
            <w:shd w:fill="F6F7F6"/>
          </w:tcPr>
          <w:p>
            <w:pPr>
              <w:pStyle w:val="BPTable"/>
            </w:pPr>
            <w:r>
              <w:t>企业与业绩</w:t>
            </w:r>
          </w:p>
        </w:tc>
        <w:tc>
          <w:tcPr>
            <w:tcW w:type="dxa" w:w="7087"/>
            <w:vAlign w:val="center"/>
            <w:shd w:fill="F6F7F6"/>
          </w:tcPr>
          <w:p>
            <w:pPr>
              <w:pStyle w:val="BPTable"/>
            </w:pPr>
            <w:r>
              <w:t>尚未注册企业；没有可核验的收入、投资、客户、知识产权或教学成效材料</w:t>
            </w:r>
          </w:p>
        </w:tc>
      </w:tr>
    </w:tbl>
    <w:p>
      <w:pPr>
        <w:pStyle w:val="BPSource"/>
      </w:pPr>
      <w:r>
        <w:t>来源：任务书及负责人补充信息。</w:t>
      </w:r>
    </w:p>
    <w:p>
      <w:pPr>
        <w:pStyle w:val="BPBody"/>
      </w:pPr>
      <w:r>
        <w:t>当前可交付的立项成果是需求与产品方案、竞品公开资料核查、技术与安全设计、课程单位经济模型和验证计划。源码、运行截图、测试记录与调研样本尚待补充，不据此宣称系统已研发成功或已投入教学。优先争取课程教师参与小规模验证，并以证据支持后续推广。</w:t>
      </w:r>
    </w:p>
    <w:p>
      <w:pPr>
        <w:pStyle w:val="BPH1"/>
        <w:pageBreakBefore/>
      </w:pPr>
      <w:r>
        <w:t>2 项目背景与行业需求</w:t>
      </w:r>
    </w:p>
    <w:p>
      <w:pPr>
        <w:pStyle w:val="BPBody"/>
      </w:pPr>
      <w:r>
        <w:t>程序设计基础课要求学生把语言规则、控制流程与运行结果联系起来。以循环边界为例，代码能够编译，并不表示其输出符合题意。学生还需要阅读实际输出、判断边界条件，并解释修改理由。自动评测、教师讲解和 AI 答疑分别提供不同帮助，如何将这些帮助组织进自主纠错过程，是本项目拟验证的教学切入点。</w:t>
      </w:r>
    </w:p>
    <w:p>
      <w:pPr>
        <w:pStyle w:val="BPH2"/>
      </w:pPr>
      <w:r>
        <w:t>2.1 待验证的教学场景</w:t>
      </w:r>
    </w:p>
    <w:p>
      <w:pPr>
        <w:pStyle w:val="BPBody"/>
      </w:pPr>
      <w:r>
        <w:t>假设某题要求依次输出1至10，学生使用“i &lt; 10”作为循环终止条件，实际仅输出1至9。平台应先指出测试中缺少10这一可观察结果，再提示学生检查终止条件。只有在代码和执行结果支持时，才将边界条件列为较高可能的错因。该示例为自拟教学案例，不是已有测试记录或真实学生反馈。</w:t>
      </w:r>
    </w:p>
    <w:p>
      <w:pPr>
        <w:pStyle w:val="BPBody"/>
      </w:pPr>
      <w:r>
        <w:t>学生可能需要的帮助包括理解报错、定位逻辑偏差和避免重复错误。教师可能希望了解哪些知识点反复出错、哪些学生连续多次修改仍未通过，以及提示使用后是否能够完成解释。这些是需求假设，不能据此推断所有院校均存在同样痛点。</w:t>
      </w:r>
    </w:p>
    <w:p>
      <w:pPr>
        <w:pStyle w:val="BPH2"/>
      </w:pPr>
      <w:r>
        <w:t>2.2 立项的商业问题</w:t>
      </w:r>
    </w:p>
    <w:p>
      <w:pPr>
        <w:pStyle w:val="BPBody"/>
      </w:pPr>
      <w:r>
        <w:t>现有平台已经覆盖自动评测、AI 教学支持及过程统计中的多项能力。因此，项目成立的前提是能在特定课程中降低教师配置与解释反馈的负担，并形成可被师生理解的纠错流程。若试点无法证明额外价值，应优先改为现有教学工具的辅助模块，或缩小服务范围。</w:t>
      </w:r>
    </w:p>
    <w:p>
      <w:pPr>
        <w:pStyle w:val="BPBody"/>
      </w:pPr>
      <w:r>
        <w:t>初期不以未经核实的全国学生规模作为可获得市场。可服务市场应先落实到真实课程：任课教师是否愿意参与、课程人数和作业量是多少、现有工具能否对接、教学单位是否有预算和采购路径。上述信息均由后续访谈形成记录。</w:t>
      </w:r>
    </w:p>
    <w:p>
      <w:pPr>
        <w:pStyle w:val="BPH1"/>
        <w:pageBreakBefore/>
      </w:pPr>
      <w:r>
        <w:t>3 目标客户与需求分析</w:t>
      </w:r>
    </w:p>
    <w:p>
      <w:pPr>
        <w:pStyle w:val="BPCaption"/>
      </w:pPr>
      <w:r>
        <w:t>表2 使用者与采购角色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757"/>
        <w:gridCol w:w="3458"/>
        <w:gridCol w:w="3628"/>
      </w:tblGrid>
      <w:tr>
        <w:trPr>
          <w:cantSplit/>
          <w:tblHeader/>
        </w:trPr>
        <w:tc>
          <w:tcPr>
            <w:tcW w:type="dxa" w:w="1757"/>
            <w:vAlign w:val="center"/>
            <w:shd w:fill="E8ECE9"/>
          </w:tcPr>
          <w:p>
            <w:pPr>
              <w:pStyle w:val="BPTable"/>
            </w:pPr>
            <w:r>
              <w:rPr>
                <w:b/>
              </w:rPr>
              <w:t>角色</w:t>
            </w:r>
          </w:p>
        </w:tc>
        <w:tc>
          <w:tcPr>
            <w:tcW w:type="dxa" w:w="3458"/>
            <w:vAlign w:val="center"/>
            <w:shd w:fill="E8ECE9"/>
          </w:tcPr>
          <w:p>
            <w:pPr>
              <w:pStyle w:val="BPTable"/>
            </w:pPr>
            <w:r>
              <w:rPr>
                <w:b/>
              </w:rPr>
              <w:t>具体任务或价值假设</w:t>
            </w:r>
          </w:p>
        </w:tc>
        <w:tc>
          <w:tcPr>
            <w:tcW w:type="dxa" w:w="3628"/>
            <w:vAlign w:val="center"/>
            <w:shd w:fill="E8ECE9"/>
          </w:tcPr>
          <w:p>
            <w:pPr>
              <w:pStyle w:val="BPTable"/>
            </w:pPr>
            <w:r>
              <w:rPr>
                <w:b/>
              </w:rPr>
              <w:t>待验证问题</w:t>
            </w:r>
          </w:p>
        </w:tc>
      </w:tr>
      <w:tr>
        <w:trPr>
          <w:cantSplit/>
        </w:trPr>
        <w:tc>
          <w:tcPr>
            <w:tcW w:type="dxa" w:w="1757"/>
            <w:vAlign w:val="center"/>
          </w:tcPr>
          <w:p>
            <w:pPr>
              <w:pStyle w:val="BPTable"/>
            </w:pPr>
            <w:r>
              <w:t>学生</w:t>
            </w:r>
          </w:p>
        </w:tc>
        <w:tc>
          <w:tcPr>
            <w:tcW w:type="dxa" w:w="3458"/>
            <w:vAlign w:val="center"/>
          </w:tcPr>
          <w:p>
            <w:pPr>
              <w:pStyle w:val="BPTable"/>
            </w:pPr>
            <w:r>
              <w:t>理解编译错误、测试失败及修改原因</w:t>
            </w:r>
          </w:p>
        </w:tc>
        <w:tc>
          <w:tcPr>
            <w:tcW w:type="dxa" w:w="3628"/>
            <w:vAlign w:val="center"/>
          </w:tcPr>
          <w:p>
            <w:pPr>
              <w:pStyle w:val="BPTable"/>
            </w:pPr>
            <w:r>
              <w:t>现有求助方式；愿意使用几级提示；是否能解释修改</w:t>
            </w:r>
          </w:p>
        </w:tc>
      </w:tr>
      <w:tr>
        <w:trPr>
          <w:cantSplit/>
        </w:trPr>
        <w:tc>
          <w:tcPr>
            <w:tcW w:type="dxa" w:w="1757"/>
            <w:vAlign w:val="center"/>
            <w:shd w:fill="F6F7F6"/>
          </w:tcPr>
          <w:p>
            <w:pPr>
              <w:pStyle w:val="BPTable"/>
            </w:pPr>
            <w:r>
              <w:t>任课教师与助教</w:t>
            </w:r>
          </w:p>
        </w:tc>
        <w:tc>
          <w:tcPr>
            <w:tcW w:type="dxa" w:w="3458"/>
            <w:vAlign w:val="center"/>
            <w:shd w:fill="F6F7F6"/>
          </w:tcPr>
          <w:p>
            <w:pPr>
              <w:pStyle w:val="BPTable"/>
            </w:pPr>
            <w:r>
              <w:t>定位班级共性困难，安排讲解与辅导</w:t>
            </w:r>
          </w:p>
        </w:tc>
        <w:tc>
          <w:tcPr>
            <w:tcW w:type="dxa" w:w="3628"/>
            <w:vAlign w:val="center"/>
            <w:shd w:fill="F6F7F6"/>
          </w:tcPr>
          <w:p>
            <w:pPr>
              <w:pStyle w:val="BPTable"/>
            </w:pPr>
            <w:r>
              <w:t>现有看作业耗时；报告是否带来实际教学行动</w:t>
            </w:r>
          </w:p>
        </w:tc>
      </w:tr>
      <w:tr>
        <w:trPr>
          <w:cantSplit/>
        </w:trPr>
        <w:tc>
          <w:tcPr>
            <w:tcW w:type="dxa" w:w="1757"/>
            <w:vAlign w:val="center"/>
          </w:tcPr>
          <w:p>
            <w:pPr>
              <w:pStyle w:val="BPTable"/>
            </w:pPr>
            <w:r>
              <w:t>课程负责人或学院</w:t>
            </w:r>
          </w:p>
        </w:tc>
        <w:tc>
          <w:tcPr>
            <w:tcW w:type="dxa" w:w="3458"/>
            <w:vAlign w:val="center"/>
          </w:tcPr>
          <w:p>
            <w:pPr>
              <w:pStyle w:val="BPTable"/>
            </w:pPr>
            <w:r>
              <w:t>判断课程服务是否值得采用</w:t>
            </w:r>
          </w:p>
        </w:tc>
        <w:tc>
          <w:tcPr>
            <w:tcW w:type="dxa" w:w="3628"/>
            <w:vAlign w:val="center"/>
          </w:tcPr>
          <w:p>
            <w:pPr>
              <w:pStyle w:val="BPTable"/>
            </w:pPr>
            <w:r>
              <w:t>课程预算、验收人、现有合同和集成条件</w:t>
            </w:r>
          </w:p>
        </w:tc>
      </w:tr>
      <w:tr>
        <w:trPr>
          <w:cantSplit/>
        </w:trPr>
        <w:tc>
          <w:tcPr>
            <w:tcW w:type="dxa" w:w="1757"/>
            <w:vAlign w:val="center"/>
            <w:shd w:fill="F6F7F6"/>
          </w:tcPr>
          <w:p>
            <w:pPr>
              <w:pStyle w:val="BPTable"/>
            </w:pPr>
            <w:r>
              <w:t>学校相关管理部门</w:t>
            </w:r>
          </w:p>
        </w:tc>
        <w:tc>
          <w:tcPr>
            <w:tcW w:type="dxa" w:w="3458"/>
            <w:vAlign w:val="center"/>
            <w:shd w:fill="F6F7F6"/>
          </w:tcPr>
          <w:p>
            <w:pPr>
              <w:pStyle w:val="BPTable"/>
            </w:pPr>
            <w:r>
              <w:t>审核部署、采购与数据使用条件</w:t>
            </w:r>
          </w:p>
        </w:tc>
        <w:tc>
          <w:tcPr>
            <w:tcW w:type="dxa" w:w="3628"/>
            <w:vAlign w:val="center"/>
            <w:shd w:fill="F6F7F6"/>
          </w:tcPr>
          <w:p>
            <w:pPr>
              <w:pStyle w:val="BPTable"/>
            </w:pPr>
            <w:r>
              <w:t>账号、服务器、数据边界及采购手续</w:t>
            </w:r>
          </w:p>
        </w:tc>
      </w:tr>
    </w:tbl>
    <w:p>
      <w:pPr>
        <w:pStyle w:val="BPSource"/>
      </w:pPr>
      <w:r>
        <w:t>来源：项目组方案设计。</w:t>
      </w:r>
    </w:p>
    <w:p>
      <w:pPr>
        <w:pStyle w:val="BPH2"/>
      </w:pPr>
      <w:r>
        <w:t>3.1 最先服务的课程</w:t>
      </w:r>
    </w:p>
    <w:p>
      <w:pPr>
        <w:pStyle w:val="BPBody"/>
      </w:pPr>
      <w:r>
        <w:t>首选校内一门愿意参与的 C 语言基础课程，覆盖条件判断、for 循环、循环边界、变量变化及基础求和。先用教师认可的少量题目验证流程，避免同时开发完整题库和大型教学管理平台。课程人数和参与意愿尚未确认，财务模型中的100人仅为情景参数。</w:t>
      </w:r>
    </w:p>
    <w:p>
      <w:pPr>
        <w:pStyle w:val="BPH2"/>
      </w:pPr>
      <w:r>
        <w:t>3.2 调研与采用门槛</w:t>
      </w:r>
    </w:p>
    <w:p>
      <w:pPr>
        <w:pStyle w:val="BPBody"/>
      </w:pPr>
      <w:r>
        <w:t>计划先访谈8至12名不同学习表现的学生、3至5名任课教师或助教，以及1至2名课程或学院管理人员。样本规模为工作计划，不能外推为总体结论。访谈记录应保留日期、对象角色、授权方式、具体场景和原话摘要，并将“有兴趣”与“愿意持续使用”“具备采购条件”分别统计。</w:t>
      </w:r>
    </w:p>
    <w:p>
      <w:pPr>
        <w:pStyle w:val="BPBody"/>
      </w:pPr>
      <w:r>
        <w:t>拟重点确认最近一次看不懂的报错、当前常用工具、直接获得答案后的学习行为、教师真正会采取行动的数据，以及预算审批和服务验收条件。若无法找到一名明确愿意提供题目并复核反馈的课程教师，则暂不开展教学试点，先完成需求修正与离线验证。</w:t>
      </w:r>
    </w:p>
    <w:p>
      <w:pPr>
        <w:pStyle w:val="BPH1"/>
        <w:pageBreakBefore/>
      </w:pPr>
      <w:r>
        <w:t>4 产品与服务方案</w:t>
      </w:r>
    </w:p>
    <w:p>
      <w:pPr>
        <w:pStyle w:val="BPBody"/>
      </w:pPr>
      <w:r>
        <w:t>产品拟由学生实训界面、独立评测服务、诊断与提示服务、过程数据存储和教师报告组成。学生侧保留编写与修改代码的主动权，教师侧提供汇总信息及可追溯的提交记录。第一阶段只支持完成这一教学闭环所需的功能。</w:t>
      </w:r>
    </w:p>
    <w:p>
      <w:pPr>
        <w:pStyle w:val="BPCaption"/>
      </w:pPr>
      <w:r>
        <w:t>表3 学生纠错与教师反馈流程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701"/>
        <w:gridCol w:w="3572"/>
        <w:gridCol w:w="3572"/>
      </w:tblGrid>
      <w:tr>
        <w:trPr>
          <w:cantSplit/>
          <w:tblHeader/>
        </w:trPr>
        <w:tc>
          <w:tcPr>
            <w:tcW w:type="dxa" w:w="1701"/>
            <w:vAlign w:val="center"/>
            <w:shd w:fill="E8ECE9"/>
          </w:tcPr>
          <w:p>
            <w:pPr>
              <w:pStyle w:val="BPTable"/>
            </w:pPr>
            <w:r>
              <w:rPr>
                <w:b/>
              </w:rPr>
              <w:t>环节</w:t>
            </w:r>
          </w:p>
        </w:tc>
        <w:tc>
          <w:tcPr>
            <w:tcW w:type="dxa" w:w="3572"/>
            <w:vAlign w:val="center"/>
            <w:shd w:fill="E8ECE9"/>
          </w:tcPr>
          <w:p>
            <w:pPr>
              <w:pStyle w:val="BPTable"/>
            </w:pPr>
            <w:r>
              <w:rPr>
                <w:b/>
              </w:rPr>
              <w:t>拟输出内容</w:t>
            </w:r>
          </w:p>
        </w:tc>
        <w:tc>
          <w:tcPr>
            <w:tcW w:type="dxa" w:w="3572"/>
            <w:vAlign w:val="center"/>
            <w:shd w:fill="E8ECE9"/>
          </w:tcPr>
          <w:p>
            <w:pPr>
              <w:pStyle w:val="BPTable"/>
            </w:pPr>
            <w:r>
              <w:rPr>
                <w:b/>
              </w:rPr>
              <w:t>质量边界</w:t>
            </w:r>
          </w:p>
        </w:tc>
      </w:tr>
      <w:tr>
        <w:trPr>
          <w:cantSplit/>
        </w:trPr>
        <w:tc>
          <w:tcPr>
            <w:tcW w:type="dxa" w:w="1701"/>
            <w:vAlign w:val="center"/>
          </w:tcPr>
          <w:p>
            <w:pPr>
              <w:pStyle w:val="BPTable"/>
            </w:pPr>
            <w:r>
              <w:t>提交与评测</w:t>
            </w:r>
          </w:p>
        </w:tc>
        <w:tc>
          <w:tcPr>
            <w:tcW w:type="dxa" w:w="3572"/>
            <w:vAlign w:val="center"/>
          </w:tcPr>
          <w:p>
            <w:pPr>
              <w:pStyle w:val="BPTable"/>
            </w:pPr>
            <w:r>
              <w:t>代码版本、编译状态、实际输出、测试结果</w:t>
            </w:r>
          </w:p>
        </w:tc>
        <w:tc>
          <w:tcPr>
            <w:tcW w:type="dxa" w:w="3572"/>
            <w:vAlign w:val="center"/>
          </w:tcPr>
          <w:p>
            <w:pPr>
              <w:pStyle w:val="BPTable"/>
            </w:pPr>
            <w:r>
              <w:t>评测结果只覆盖已配置测试与资源限制</w:t>
            </w:r>
          </w:p>
        </w:tc>
      </w:tr>
      <w:tr>
        <w:trPr>
          <w:cantSplit/>
        </w:trPr>
        <w:tc>
          <w:tcPr>
            <w:tcW w:type="dxa" w:w="1701"/>
            <w:vAlign w:val="center"/>
            <w:shd w:fill="F6F7F6"/>
          </w:tcPr>
          <w:p>
            <w:pPr>
              <w:pStyle w:val="BPTable"/>
            </w:pPr>
            <w:r>
              <w:t>证据关联</w:t>
            </w:r>
          </w:p>
        </w:tc>
        <w:tc>
          <w:tcPr>
            <w:tcW w:type="dxa" w:w="3572"/>
            <w:vAlign w:val="center"/>
            <w:shd w:fill="F6F7F6"/>
          </w:tcPr>
          <w:p>
            <w:pPr>
              <w:pStyle w:val="BPTable"/>
            </w:pPr>
            <w:r>
              <w:t>错误位置、差异摘要、可能知识点</w:t>
            </w:r>
          </w:p>
        </w:tc>
        <w:tc>
          <w:tcPr>
            <w:tcW w:type="dxa" w:w="3572"/>
            <w:vAlign w:val="center"/>
            <w:shd w:fill="F6F7F6"/>
          </w:tcPr>
          <w:p>
            <w:pPr>
              <w:pStyle w:val="BPTable"/>
            </w:pPr>
            <w:r>
              <w:t>事实与推测分栏；记录证据编号</w:t>
            </w:r>
          </w:p>
        </w:tc>
      </w:tr>
      <w:tr>
        <w:trPr>
          <w:cantSplit/>
        </w:trPr>
        <w:tc>
          <w:tcPr>
            <w:tcW w:type="dxa" w:w="1701"/>
            <w:vAlign w:val="center"/>
          </w:tcPr>
          <w:p>
            <w:pPr>
              <w:pStyle w:val="BPTable"/>
            </w:pPr>
            <w:r>
              <w:t>三级提示</w:t>
            </w:r>
          </w:p>
        </w:tc>
        <w:tc>
          <w:tcPr>
            <w:tcW w:type="dxa" w:w="3572"/>
            <w:vAlign w:val="center"/>
          </w:tcPr>
          <w:p>
            <w:pPr>
              <w:pStyle w:val="BPTable"/>
            </w:pPr>
            <w:r>
              <w:t>知识点、逻辑定位、修正思路</w:t>
            </w:r>
          </w:p>
        </w:tc>
        <w:tc>
          <w:tcPr>
            <w:tcW w:type="dxa" w:w="3572"/>
            <w:vAlign w:val="center"/>
          </w:tcPr>
          <w:p>
            <w:pPr>
              <w:pStyle w:val="BPTable"/>
            </w:pPr>
            <w:r>
              <w:t>按请求逐级解锁；初期不输出完整标准答案</w:t>
            </w:r>
          </w:p>
        </w:tc>
      </w:tr>
      <w:tr>
        <w:trPr>
          <w:cantSplit/>
        </w:trPr>
        <w:tc>
          <w:tcPr>
            <w:tcW w:type="dxa" w:w="1701"/>
            <w:vAlign w:val="center"/>
            <w:shd w:fill="F6F7F6"/>
          </w:tcPr>
          <w:p>
            <w:pPr>
              <w:pStyle w:val="BPTable"/>
            </w:pPr>
            <w:r>
              <w:t>修改与复评</w:t>
            </w:r>
          </w:p>
        </w:tc>
        <w:tc>
          <w:tcPr>
            <w:tcW w:type="dxa" w:w="3572"/>
            <w:vAlign w:val="center"/>
            <w:shd w:fill="F6F7F6"/>
          </w:tcPr>
          <w:p>
            <w:pPr>
              <w:pStyle w:val="BPTable"/>
            </w:pPr>
            <w:r>
              <w:t>修改版本、提示层级、再次提交结果</w:t>
            </w:r>
          </w:p>
        </w:tc>
        <w:tc>
          <w:tcPr>
            <w:tcW w:type="dxa" w:w="3572"/>
            <w:vAlign w:val="center"/>
            <w:shd w:fill="F6F7F6"/>
          </w:tcPr>
          <w:p>
            <w:pPr>
              <w:pStyle w:val="BPTable"/>
            </w:pPr>
            <w:r>
              <w:t>通过后保留解释任务或相近题验证</w:t>
            </w:r>
          </w:p>
        </w:tc>
      </w:tr>
      <w:tr>
        <w:trPr>
          <w:cantSplit/>
        </w:trPr>
        <w:tc>
          <w:tcPr>
            <w:tcW w:type="dxa" w:w="1701"/>
            <w:vAlign w:val="center"/>
          </w:tcPr>
          <w:p>
            <w:pPr>
              <w:pStyle w:val="BPTable"/>
            </w:pPr>
            <w:r>
              <w:t>教师反馈</w:t>
            </w:r>
          </w:p>
        </w:tc>
        <w:tc>
          <w:tcPr>
            <w:tcW w:type="dxa" w:w="3572"/>
            <w:vAlign w:val="center"/>
          </w:tcPr>
          <w:p>
            <w:pPr>
              <w:pStyle w:val="BPTable"/>
            </w:pPr>
            <w:r>
              <w:t>错误分布、重复错因、提示使用及待关注记录</w:t>
            </w:r>
          </w:p>
        </w:tc>
        <w:tc>
          <w:tcPr>
            <w:tcW w:type="dxa" w:w="3572"/>
            <w:vAlign w:val="center"/>
          </w:tcPr>
          <w:p>
            <w:pPr>
              <w:pStyle w:val="BPTable"/>
            </w:pPr>
            <w:r>
              <w:t>供教师判断，不生成未经验证的能力排名</w:t>
            </w:r>
          </w:p>
        </w:tc>
      </w:tr>
    </w:tbl>
    <w:p>
      <w:pPr>
        <w:pStyle w:val="BPSource"/>
      </w:pPr>
      <w:r>
        <w:t>来源：项目组方案设计。</w:t>
      </w:r>
    </w:p>
    <w:p>
      <w:pPr>
        <w:pStyle w:val="BPH2"/>
      </w:pPr>
      <w:r>
        <w:t>4.1 三级提示示例</w:t>
      </w:r>
    </w:p>
    <w:p>
      <w:pPr>
        <w:pStyle w:val="BPBody"/>
      </w:pPr>
      <w:r>
        <w:t>围绕“输出1至10”的教学示例，第一层提示关注循环结束条件与输出范围的关系。第二层提示请学生代入 i=9 和 i=10，判断循环是否继续。第三层提示说明应使边界值10进入循环，并要求学生自行调整条件、说明理由和再次提交。系统不把这个示例解释当作所有边界错误的统一答案。</w:t>
      </w:r>
    </w:p>
    <w:p>
      <w:pPr>
        <w:pStyle w:val="BPH2"/>
      </w:pPr>
      <w:r>
        <w:t>4.2 课程服务交付物</w:t>
      </w:r>
    </w:p>
    <w:p>
      <w:pPr>
        <w:pStyle w:val="BPBody"/>
      </w:pPr>
      <w:r>
        <w:t>课程服务拟包括题目与知识点配置、允许的提示策略、评测与诊断记录、教师周报、问题工单和学期总结。试点期间由教师确认参考答案、测试用例与反馈适切性。概念界面只能作为设计效果图展示，实际演示必须使用真实运行界面并注明软件版本。</w:t>
      </w:r>
    </w:p>
    <w:p>
      <w:pPr>
        <w:pStyle w:val="BPH1"/>
        <w:pageBreakBefore/>
      </w:pPr>
      <w:r>
        <w:t>5 核心创新与差异化竞争</w:t>
      </w:r>
    </w:p>
    <w:p>
      <w:pPr>
        <w:pStyle w:val="BPBody"/>
      </w:pPr>
      <w:r>
        <w:t>本项目的创新定位是教学应用流程和交付方式的组合探索，不涉及原创编译器、基础大模型或已验证的新算法。拟验证的价值集中在三项可观察的设计。</w:t>
      </w:r>
    </w:p>
    <w:p>
      <w:pPr>
        <w:pStyle w:val="BPCaption"/>
      </w:pPr>
      <w:r>
        <w:t>表4 创新设计与验证方法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381"/>
        <w:gridCol w:w="3345"/>
        <w:gridCol w:w="3118"/>
      </w:tblGrid>
      <w:tr>
        <w:trPr>
          <w:cantSplit/>
          <w:tblHeader/>
        </w:trPr>
        <w:tc>
          <w:tcPr>
            <w:tcW w:type="dxa" w:w="2381"/>
            <w:vAlign w:val="center"/>
            <w:shd w:fill="E8ECE9"/>
          </w:tcPr>
          <w:p>
            <w:pPr>
              <w:pStyle w:val="BPTable"/>
            </w:pPr>
            <w:r>
              <w:rPr>
                <w:b/>
              </w:rPr>
              <w:t>创新方向</w:t>
            </w:r>
          </w:p>
        </w:tc>
        <w:tc>
          <w:tcPr>
            <w:tcW w:type="dxa" w:w="3345"/>
            <w:vAlign w:val="center"/>
            <w:shd w:fill="E8ECE9"/>
          </w:tcPr>
          <w:p>
            <w:pPr>
              <w:pStyle w:val="BPTable"/>
            </w:pPr>
            <w:r>
              <w:rPr>
                <w:b/>
              </w:rPr>
              <w:t>拟实现的具体设计</w:t>
            </w:r>
          </w:p>
        </w:tc>
        <w:tc>
          <w:tcPr>
            <w:tcW w:type="dxa" w:w="3118"/>
            <w:vAlign w:val="center"/>
            <w:shd w:fill="E8ECE9"/>
          </w:tcPr>
          <w:p>
            <w:pPr>
              <w:pStyle w:val="BPTable"/>
            </w:pPr>
            <w:r>
              <w:rPr>
                <w:b/>
              </w:rPr>
              <w:t>检验依据</w:t>
            </w:r>
          </w:p>
        </w:tc>
      </w:tr>
      <w:tr>
        <w:trPr>
          <w:cantSplit/>
        </w:trPr>
        <w:tc>
          <w:tcPr>
            <w:tcW w:type="dxa" w:w="2381"/>
            <w:vAlign w:val="center"/>
          </w:tcPr>
          <w:p>
            <w:pPr>
              <w:pStyle w:val="BPTable"/>
            </w:pPr>
            <w:r>
              <w:t>评测证据驱动的结构化错因诊断</w:t>
            </w:r>
          </w:p>
        </w:tc>
        <w:tc>
          <w:tcPr>
            <w:tcW w:type="dxa" w:w="3345"/>
            <w:vAlign w:val="center"/>
          </w:tcPr>
          <w:p>
            <w:pPr>
              <w:pStyle w:val="BPTable"/>
            </w:pPr>
            <w:r>
              <w:t>关联编译、测试差异、知识点和提示；分别展示确定事实与AI推测</w:t>
            </w:r>
          </w:p>
        </w:tc>
        <w:tc>
          <w:tcPr>
            <w:tcW w:type="dxa" w:w="3118"/>
            <w:vAlign w:val="center"/>
          </w:tcPr>
          <w:p>
            <w:pPr>
              <w:pStyle w:val="BPTable"/>
            </w:pPr>
            <w:r>
              <w:t>教师复核的错因样本；诊断是否引用对应证据；不确定时能否回退</w:t>
            </w:r>
          </w:p>
        </w:tc>
      </w:tr>
      <w:tr>
        <w:trPr>
          <w:cantSplit/>
        </w:trPr>
        <w:tc>
          <w:tcPr>
            <w:tcW w:type="dxa" w:w="2381"/>
            <w:vAlign w:val="center"/>
            <w:shd w:fill="F6F7F6"/>
          </w:tcPr>
          <w:p>
            <w:pPr>
              <w:pStyle w:val="BPTable"/>
            </w:pPr>
            <w:r>
              <w:t>面向自主纠错的分层提示</w:t>
            </w:r>
          </w:p>
        </w:tc>
        <w:tc>
          <w:tcPr>
            <w:tcW w:type="dxa" w:w="3345"/>
            <w:vAlign w:val="center"/>
            <w:shd w:fill="F6F7F6"/>
          </w:tcPr>
          <w:p>
            <w:pPr>
              <w:pStyle w:val="BPTable"/>
            </w:pPr>
            <w:r>
              <w:t>按知识点、逻辑位置、修正思路逐级给出帮助并记录使用情况</w:t>
            </w:r>
          </w:p>
        </w:tc>
        <w:tc>
          <w:tcPr>
            <w:tcW w:type="dxa" w:w="3118"/>
            <w:vAlign w:val="center"/>
            <w:shd w:fill="F6F7F6"/>
          </w:tcPr>
          <w:p>
            <w:pPr>
              <w:pStyle w:val="BPTable"/>
            </w:pPr>
            <w:r>
              <w:t>学生是否能说明修改原因；重复题与迁移题表现；提示是否泄露答案</w:t>
            </w:r>
          </w:p>
        </w:tc>
      </w:tr>
      <w:tr>
        <w:trPr>
          <w:cantSplit/>
        </w:trPr>
        <w:tc>
          <w:tcPr>
            <w:tcW w:type="dxa" w:w="2381"/>
            <w:vAlign w:val="center"/>
          </w:tcPr>
          <w:p>
            <w:pPr>
              <w:pStyle w:val="BPTable"/>
            </w:pPr>
            <w:r>
              <w:t>基于纠错过程的教学反馈</w:t>
            </w:r>
          </w:p>
        </w:tc>
        <w:tc>
          <w:tcPr>
            <w:tcW w:type="dxa" w:w="3345"/>
            <w:vAlign w:val="center"/>
          </w:tcPr>
          <w:p>
            <w:pPr>
              <w:pStyle w:val="BPTable"/>
            </w:pPr>
            <w:r>
              <w:t>汇总重复错误、修改次数和提示层级，帮助教师挑选辅导内容</w:t>
            </w:r>
          </w:p>
        </w:tc>
        <w:tc>
          <w:tcPr>
            <w:tcW w:type="dxa" w:w="3118"/>
            <w:vAlign w:val="center"/>
          </w:tcPr>
          <w:p>
            <w:pPr>
              <w:pStyle w:val="BPTable"/>
            </w:pPr>
            <w:r>
              <w:t>教师是否据此安排讲解；报告可读性；备课与查看记录的时间</w:t>
            </w:r>
          </w:p>
        </w:tc>
      </w:tr>
    </w:tbl>
    <w:p>
      <w:pPr>
        <w:pStyle w:val="BPSource"/>
      </w:pPr>
      <w:r>
        <w:t>来源：项目组方案设计。</w:t>
      </w:r>
    </w:p>
    <w:p>
      <w:pPr>
        <w:pStyle w:val="BPBody"/>
      </w:pPr>
      <w:r>
        <w:t>这些设计与成熟产品存在交叉。差异化需要在 C 语言基础题目中体现为教师可配置的证据关联、可复核的提示顺序、易理解的过程报告，以及较低的课程适配负担。当前不能据此宣称功能独有、准确率领先或成本显著低于竞品。</w:t>
      </w:r>
    </w:p>
    <w:p>
      <w:pPr>
        <w:pStyle w:val="BPH2"/>
      </w:pPr>
      <w:r>
        <w:t>5.1 可持续积累的资源</w:t>
      </w:r>
    </w:p>
    <w:p>
      <w:pPr>
        <w:pStyle w:val="BPBody"/>
      </w:pPr>
      <w:r>
        <w:t>若验证有效，可持续积累的资源包括经教师审核的错误案例与测试集、知识点标注规范、提示质量评审标准、课程适配流程和真实服务案例。采用已有开源技术或第三方模型时，应核对许可、费用与数据使用条件。尚未取得专利或软件著作权，不将知识产权申请计划写成已有成果。</w:t>
      </w:r>
    </w:p>
    <w:p>
      <w:pPr>
        <w:pStyle w:val="BPBody"/>
      </w:pPr>
      <w:r>
        <w:t>若现有平台能够以更低的配置成本满足课程需求，项目应转向对接和补充服务。付费理由需要由教学价值与交付质量支撑，单纯接入模型不构成稳固竞争壁垒。</w:t>
      </w:r>
    </w:p>
    <w:p>
      <w:pPr>
        <w:pStyle w:val="BPH1"/>
        <w:pageBreakBefore/>
      </w:pPr>
      <w:r>
        <w:t>6 技术架构与研发可行性</w:t>
      </w:r>
    </w:p>
    <w:p>
      <w:pPr>
        <w:pStyle w:val="BPBody"/>
      </w:pPr>
      <w:r>
        <w:t>拟采用 Vue 3 学生与教师页面、Python 3.11/3.12 与 FastAPI 后端、SQLite 数据库、GCC 编译和独立受限评测环境，通过兼容 API 接入模型。该方案用于初期单课程验证，暂不开发复杂多租户、支付会员、移动客户端或大型教学管理系统。</w:t>
      </w:r>
    </w:p>
    <w:p>
      <w:pPr>
        <w:pStyle w:val="BPCaption"/>
      </w:pPr>
      <w:r>
        <w:t>表5 模块职责与研发验收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701"/>
        <w:gridCol w:w="3458"/>
        <w:gridCol w:w="3685"/>
      </w:tblGrid>
      <w:tr>
        <w:trPr>
          <w:cantSplit/>
          <w:tblHeader/>
        </w:trPr>
        <w:tc>
          <w:tcPr>
            <w:tcW w:type="dxa" w:w="1701"/>
            <w:vAlign w:val="center"/>
            <w:shd w:fill="E8ECE9"/>
          </w:tcPr>
          <w:p>
            <w:pPr>
              <w:pStyle w:val="BPTable"/>
            </w:pPr>
            <w:r>
              <w:rPr>
                <w:b/>
              </w:rPr>
              <w:t>模块</w:t>
            </w:r>
          </w:p>
        </w:tc>
        <w:tc>
          <w:tcPr>
            <w:tcW w:type="dxa" w:w="3458"/>
            <w:vAlign w:val="center"/>
            <w:shd w:fill="E8ECE9"/>
          </w:tcPr>
          <w:p>
            <w:pPr>
              <w:pStyle w:val="BPTable"/>
            </w:pPr>
            <w:r>
              <w:rPr>
                <w:b/>
              </w:rPr>
              <w:t>职责与数据</w:t>
            </w:r>
          </w:p>
        </w:tc>
        <w:tc>
          <w:tcPr>
            <w:tcW w:type="dxa" w:w="3685"/>
            <w:vAlign w:val="center"/>
            <w:shd w:fill="E8ECE9"/>
          </w:tcPr>
          <w:p>
            <w:pPr>
              <w:pStyle w:val="BPTable"/>
            </w:pPr>
            <w:r>
              <w:rPr>
                <w:b/>
              </w:rPr>
              <w:t>拟验收条件</w:t>
            </w:r>
          </w:p>
        </w:tc>
      </w:tr>
      <w:tr>
        <w:trPr>
          <w:cantSplit/>
        </w:trPr>
        <w:tc>
          <w:tcPr>
            <w:tcW w:type="dxa" w:w="1701"/>
            <w:vAlign w:val="center"/>
          </w:tcPr>
          <w:p>
            <w:pPr>
              <w:pStyle w:val="BPTable"/>
            </w:pPr>
            <w:r>
              <w:t>前端</w:t>
            </w:r>
          </w:p>
        </w:tc>
        <w:tc>
          <w:tcPr>
            <w:tcW w:type="dxa" w:w="3458"/>
            <w:vAlign w:val="center"/>
          </w:tcPr>
          <w:p>
            <w:pPr>
              <w:pStyle w:val="BPTable"/>
            </w:pPr>
            <w:r>
              <w:t>题目、编辑器、提交状态、证据和逐级提示</w:t>
            </w:r>
          </w:p>
        </w:tc>
        <w:tc>
          <w:tcPr>
            <w:tcW w:type="dxa" w:w="3685"/>
            <w:vAlign w:val="center"/>
          </w:tcPr>
          <w:p>
            <w:pPr>
              <w:pStyle w:val="BPTable"/>
            </w:pPr>
            <w:r>
              <w:t>题目与提交对应；超时、失败和提示均可辨认</w:t>
            </w:r>
          </w:p>
        </w:tc>
      </w:tr>
      <w:tr>
        <w:trPr>
          <w:cantSplit/>
        </w:trPr>
        <w:tc>
          <w:tcPr>
            <w:tcW w:type="dxa" w:w="1701"/>
            <w:vAlign w:val="center"/>
            <w:shd w:fill="F6F7F6"/>
          </w:tcPr>
          <w:p>
            <w:pPr>
              <w:pStyle w:val="BPTable"/>
            </w:pPr>
            <w:r>
              <w:t>后端</w:t>
            </w:r>
          </w:p>
        </w:tc>
        <w:tc>
          <w:tcPr>
            <w:tcW w:type="dxa" w:w="3458"/>
            <w:vAlign w:val="center"/>
            <w:shd w:fill="F6F7F6"/>
          </w:tcPr>
          <w:p>
            <w:pPr>
              <w:pStyle w:val="BPTable"/>
            </w:pPr>
            <w:r>
              <w:t>请求校验、评测调度、诊断调用与访问控制</w:t>
            </w:r>
          </w:p>
        </w:tc>
        <w:tc>
          <w:tcPr>
            <w:tcW w:type="dxa" w:w="3685"/>
            <w:vAlign w:val="center"/>
            <w:shd w:fill="F6F7F6"/>
          </w:tcPr>
          <w:p>
            <w:pPr>
              <w:pStyle w:val="BPTable"/>
            </w:pPr>
            <w:r>
              <w:t>评测与AI状态分开；幂等标识避免重复任务与重复扣平台额度，外部费用据账单记录</w:t>
            </w:r>
          </w:p>
        </w:tc>
      </w:tr>
      <w:tr>
        <w:trPr>
          <w:cantSplit/>
        </w:trPr>
        <w:tc>
          <w:tcPr>
            <w:tcW w:type="dxa" w:w="1701"/>
            <w:vAlign w:val="center"/>
          </w:tcPr>
          <w:p>
            <w:pPr>
              <w:pStyle w:val="BPTable"/>
            </w:pPr>
            <w:r>
              <w:t>评测服务</w:t>
            </w:r>
          </w:p>
        </w:tc>
        <w:tc>
          <w:tcPr>
            <w:tcW w:type="dxa" w:w="3458"/>
            <w:vAlign w:val="center"/>
          </w:tcPr>
          <w:p>
            <w:pPr>
              <w:pStyle w:val="BPTable"/>
            </w:pPr>
            <w:r>
              <w:t>GCC编译、用例运行、结果对比</w:t>
            </w:r>
          </w:p>
        </w:tc>
        <w:tc>
          <w:tcPr>
            <w:tcW w:type="dxa" w:w="3685"/>
            <w:vAlign w:val="center"/>
          </w:tcPr>
          <w:p>
            <w:pPr>
              <w:pStyle w:val="BPTable"/>
            </w:pPr>
            <w:r>
              <w:t>限制时间、CPU、内存、进程、文件与网络；留存运行日志</w:t>
            </w:r>
          </w:p>
        </w:tc>
      </w:tr>
      <w:tr>
        <w:trPr>
          <w:cantSplit/>
        </w:trPr>
        <w:tc>
          <w:tcPr>
            <w:tcW w:type="dxa" w:w="1701"/>
            <w:vAlign w:val="center"/>
            <w:shd w:fill="F6F7F6"/>
          </w:tcPr>
          <w:p>
            <w:pPr>
              <w:pStyle w:val="BPTable"/>
            </w:pPr>
            <w:r>
              <w:t>数据存储</w:t>
            </w:r>
          </w:p>
        </w:tc>
        <w:tc>
          <w:tcPr>
            <w:tcW w:type="dxa" w:w="3458"/>
            <w:vAlign w:val="center"/>
            <w:shd w:fill="F6F7F6"/>
          </w:tcPr>
          <w:p>
            <w:pPr>
              <w:pStyle w:val="BPTable"/>
            </w:pPr>
            <w:r>
              <w:t>提交版本、结果、证据编号、提示层级和教师汇总</w:t>
            </w:r>
          </w:p>
        </w:tc>
        <w:tc>
          <w:tcPr>
            <w:tcW w:type="dxa" w:w="3685"/>
            <w:vAlign w:val="center"/>
            <w:shd w:fill="F6F7F6"/>
          </w:tcPr>
          <w:p>
            <w:pPr>
              <w:pStyle w:val="BPTable"/>
            </w:pPr>
            <w:r>
              <w:t>按课程授权查询；备份恢复及删除流程可执行</w:t>
            </w:r>
          </w:p>
        </w:tc>
      </w:tr>
      <w:tr>
        <w:trPr>
          <w:cantSplit/>
        </w:trPr>
        <w:tc>
          <w:tcPr>
            <w:tcW w:type="dxa" w:w="1701"/>
            <w:vAlign w:val="center"/>
          </w:tcPr>
          <w:p>
            <w:pPr>
              <w:pStyle w:val="BPTable"/>
            </w:pPr>
            <w:r>
              <w:t>模型服务</w:t>
            </w:r>
          </w:p>
        </w:tc>
        <w:tc>
          <w:tcPr>
            <w:tcW w:type="dxa" w:w="3458"/>
            <w:vAlign w:val="center"/>
          </w:tcPr>
          <w:p>
            <w:pPr>
              <w:pStyle w:val="BPTable"/>
            </w:pPr>
            <w:r>
              <w:t>在证据约束下返回结构化错因与提示</w:t>
            </w:r>
          </w:p>
        </w:tc>
        <w:tc>
          <w:tcPr>
            <w:tcW w:type="dxa" w:w="3685"/>
            <w:vAlign w:val="center"/>
          </w:tcPr>
          <w:p>
            <w:pPr>
              <w:pStyle w:val="BPTable"/>
            </w:pPr>
            <w:r>
              <w:t>输出格式校验；证据不足标未知；模型失败回退原始评测</w:t>
            </w:r>
          </w:p>
        </w:tc>
      </w:tr>
    </w:tbl>
    <w:p>
      <w:pPr>
        <w:pStyle w:val="BPSource"/>
      </w:pPr>
      <w:r>
        <w:t>来源：项目组方案设计。</w:t>
      </w:r>
    </w:p>
    <w:p>
      <w:pPr>
        <w:pStyle w:val="BPH2"/>
      </w:pPr>
      <w:r>
        <w:t>6.1 不可信代码的执行边界</w:t>
      </w:r>
    </w:p>
    <w:p>
      <w:pPr>
        <w:pStyle w:val="BPBody"/>
      </w:pPr>
      <w:r>
        <w:t>学生代码不能直接在应用服务器或数据库所在进程中执行。评测工作器拟单独部署，默认禁用外网，以非特权身份运行，采用只读基础文件系统、独立临时目录、资源配额和超时终止，并限制系统调用及进程数。容器与超时参数需要联合配置和验证，不能单凭使用 Docker 宣称安全隔离已经完成。[T01][T02]</w:t>
      </w:r>
    </w:p>
    <w:p>
      <w:pPr>
        <w:pStyle w:val="BPH2"/>
      </w:pPr>
      <w:r>
        <w:t>6.2 研发可行性的边界</w:t>
      </w:r>
    </w:p>
    <w:p>
      <w:pPr>
        <w:pStyle w:val="BPBody"/>
      </w:pPr>
      <w:r>
        <w:t>先用教师认可的参考解与错误样例跑通单题闭环，再逐步扩展题库。SQLite 满足初期方案，但并发写入、队列积压和资源隔离仍需实测。当前未提交源码、部署记录或性能数据，技术选型仅表明实施路径，不能替代工程验证。</w:t>
      </w:r>
    </w:p>
    <w:p>
      <w:pPr>
        <w:pStyle w:val="BPH1"/>
        <w:pageBreakBefore/>
      </w:pPr>
      <w:r>
        <w:t>7 市场分析及竞品比较</w:t>
      </w:r>
    </w:p>
    <w:p>
      <w:pPr>
        <w:pStyle w:val="BPBody"/>
      </w:pPr>
      <w:r>
        <w:t>竞品能力以实际核查的官方公开页面为依据，页面披露范围与具体版本可能不同。公开资料未确认某项能力，只代表本次证据不足，不能解释为产品不具备该能力。以下比较用于界定切入点，不作为全面评测或性能排名。</w:t>
      </w:r>
    </w:p>
    <w:p>
      <w:pPr>
        <w:pStyle w:val="BPCaption"/>
      </w:pPr>
      <w:r>
        <w:t>表6 主要竞品与细分定位对照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757"/>
        <w:gridCol w:w="2438"/>
        <w:gridCol w:w="2324"/>
        <w:gridCol w:w="2324"/>
      </w:tblGrid>
      <w:tr>
        <w:trPr>
          <w:cantSplit/>
          <w:tblHeader/>
        </w:trPr>
        <w:tc>
          <w:tcPr>
            <w:tcW w:type="dxa" w:w="1757"/>
            <w:vAlign w:val="center"/>
            <w:shd w:fill="E8ECE9"/>
          </w:tcPr>
          <w:p>
            <w:pPr>
              <w:pStyle w:val="BPTable"/>
            </w:pPr>
            <w:r>
              <w:rPr>
                <w:b/>
              </w:rPr>
              <w:t>产品与目标用户</w:t>
            </w:r>
          </w:p>
        </w:tc>
        <w:tc>
          <w:tcPr>
            <w:tcW w:type="dxa" w:w="2438"/>
            <w:vAlign w:val="center"/>
            <w:shd w:fill="E8ECE9"/>
          </w:tcPr>
          <w:p>
            <w:pPr>
              <w:pStyle w:val="BPTable"/>
            </w:pPr>
            <w:r>
              <w:rPr>
                <w:b/>
              </w:rPr>
              <w:t>自动评测与AI提示</w:t>
            </w:r>
          </w:p>
        </w:tc>
        <w:tc>
          <w:tcPr>
            <w:tcW w:type="dxa" w:w="2324"/>
            <w:vAlign w:val="center"/>
            <w:shd w:fill="E8ECE9"/>
          </w:tcPr>
          <w:p>
            <w:pPr>
              <w:pStyle w:val="BPTable"/>
            </w:pPr>
            <w:r>
              <w:rPr>
                <w:b/>
              </w:rPr>
              <w:t>过程记录与教师反馈</w:t>
            </w:r>
          </w:p>
        </w:tc>
        <w:tc>
          <w:tcPr>
            <w:tcW w:type="dxa" w:w="2324"/>
            <w:vAlign w:val="center"/>
            <w:shd w:fill="E8ECE9"/>
          </w:tcPr>
          <w:p>
            <w:pPr>
              <w:pStyle w:val="BPTable"/>
            </w:pPr>
            <w:r>
              <w:rPr>
                <w:b/>
              </w:rPr>
              <w:t>部署与集成</w:t>
            </w:r>
          </w:p>
        </w:tc>
      </w:tr>
      <w:tr>
        <w:trPr>
          <w:cantSplit/>
        </w:trPr>
        <w:tc>
          <w:tcPr>
            <w:tcW w:type="dxa" w:w="1757"/>
            <w:vAlign w:val="center"/>
          </w:tcPr>
          <w:p>
            <w:pPr>
              <w:pStyle w:val="BPTable"/>
            </w:pPr>
            <w:r>
              <w:t>PTA 拼题A</w:t>
              <w:br/>
              <w:t>高校与社会的评测及教学辅助</w:t>
            </w:r>
          </w:p>
        </w:tc>
        <w:tc>
          <w:tcPr>
            <w:tcW w:type="dxa" w:w="2438"/>
            <w:vAlign w:val="center"/>
          </w:tcPr>
          <w:p>
            <w:pPr>
              <w:pStyle w:val="BPTable"/>
            </w:pPr>
            <w:r>
              <w:t>自动评测、多题型；人工与智能混合答疑。具体三级提示规则未确认。[C01]</w:t>
            </w:r>
          </w:p>
        </w:tc>
        <w:tc>
          <w:tcPr>
            <w:tcW w:type="dxa" w:w="2324"/>
            <w:vAlign w:val="center"/>
          </w:tcPr>
          <w:p>
            <w:pPr>
              <w:pStyle w:val="BPTable"/>
            </w:pPr>
            <w:r>
              <w:t>成绩、答卷、代码和分析可导出；统一提示事件链未确认。[C01]</w:t>
            </w:r>
          </w:p>
        </w:tc>
        <w:tc>
          <w:tcPr>
            <w:tcW w:type="dxa" w:w="2324"/>
            <w:vAlign w:val="center"/>
          </w:tcPr>
          <w:p>
            <w:pPr>
              <w:pStyle w:val="BPTable"/>
            </w:pPr>
            <w:r>
              <w:t>支持本地局域网考试、主站评测；完整私有化与LMS范围未确认。[C01]</w:t>
            </w:r>
          </w:p>
        </w:tc>
      </w:tr>
      <w:tr>
        <w:trPr>
          <w:cantSplit/>
        </w:trPr>
        <w:tc>
          <w:tcPr>
            <w:tcW w:type="dxa" w:w="1757"/>
            <w:vAlign w:val="center"/>
            <w:shd w:fill="F6F7F6"/>
          </w:tcPr>
          <w:p>
            <w:pPr>
              <w:pStyle w:val="BPTable"/>
            </w:pPr>
            <w:r>
              <w:t>头歌 EduCoder</w:t>
              <w:br/>
              <w:t>综合实践教学</w:t>
            </w:r>
          </w:p>
        </w:tc>
        <w:tc>
          <w:tcPr>
            <w:tcW w:type="dxa" w:w="2438"/>
            <w:vAlign w:val="center"/>
            <w:shd w:fill="F6F7F6"/>
          </w:tcPr>
          <w:p>
            <w:pPr>
              <w:pStyle w:val="BPTable"/>
            </w:pPr>
            <w:r>
              <w:t>智能评测；大模型问答、导学、审题和诊断。具体三级策略未确认。[C02][C03]</w:t>
            </w:r>
          </w:p>
        </w:tc>
        <w:tc>
          <w:tcPr>
            <w:tcW w:type="dxa" w:w="2324"/>
            <w:vAlign w:val="center"/>
            <w:shd w:fill="F6F7F6"/>
          </w:tcPr>
          <w:p>
            <w:pPr>
              <w:pStyle w:val="BPTable"/>
            </w:pPr>
            <w:r>
              <w:t>代码回溯、课堂统计与教学分析；需具体课程试用复核。[C02][C03]</w:t>
            </w:r>
          </w:p>
        </w:tc>
        <w:tc>
          <w:tcPr>
            <w:tcW w:type="dxa" w:w="2324"/>
            <w:vAlign w:val="center"/>
            <w:shd w:fill="F6F7F6"/>
          </w:tcPr>
          <w:p>
            <w:pPr>
              <w:pStyle w:val="BPTable"/>
            </w:pPr>
            <w:r>
              <w:t>提供本地化及信创化部署、自定义智能体；实施范围需询价。[C02]</w:t>
            </w:r>
          </w:p>
        </w:tc>
      </w:tr>
      <w:tr>
        <w:trPr>
          <w:cantSplit/>
        </w:trPr>
        <w:tc>
          <w:tcPr>
            <w:tcW w:type="dxa" w:w="1757"/>
            <w:vAlign w:val="center"/>
          </w:tcPr>
          <w:p>
            <w:pPr>
              <w:pStyle w:val="BPTable"/>
            </w:pPr>
            <w:r>
              <w:t>Moodle CodeRunner</w:t>
              <w:br/>
              <w:t>已有Moodle的编程课程</w:t>
            </w:r>
          </w:p>
        </w:tc>
        <w:tc>
          <w:tcPr>
            <w:tcW w:type="dxa" w:w="2438"/>
            <w:vAlign w:val="center"/>
          </w:tcPr>
          <w:p>
            <w:pPr>
              <w:pStyle w:val="BPTable"/>
            </w:pPr>
            <w:r>
              <w:t>运行测试、重复提交、反馈可定制；所查插件文档未确认内置LLM分层提示。[C04]</w:t>
            </w:r>
          </w:p>
        </w:tc>
        <w:tc>
          <w:tcPr>
            <w:tcW w:type="dxa" w:w="2324"/>
            <w:vAlign w:val="center"/>
          </w:tcPr>
          <w:p>
            <w:pPr>
              <w:pStyle w:val="BPTable"/>
            </w:pPr>
            <w:r>
              <w:t>Moodle可查看作答尝试、成绩与统计；不等于逐键编辑记录。[C05]</w:t>
            </w:r>
          </w:p>
        </w:tc>
        <w:tc>
          <w:tcPr>
            <w:tcW w:type="dxa" w:w="2324"/>
            <w:vAlign w:val="center"/>
          </w:tcPr>
          <w:p>
            <w:pPr>
              <w:pStyle w:val="BPTable"/>
            </w:pPr>
            <w:r>
              <w:t>Moodle题型插件；生产环境需独立Jobe执行服务器与运维。[C04]</w:t>
            </w:r>
          </w:p>
        </w:tc>
      </w:tr>
      <w:tr>
        <w:trPr>
          <w:cantSplit/>
        </w:trPr>
        <w:tc>
          <w:tcPr>
            <w:tcW w:type="dxa" w:w="1757"/>
            <w:vAlign w:val="center"/>
            <w:shd w:fill="F6F7F6"/>
          </w:tcPr>
          <w:p>
            <w:pPr>
              <w:pStyle w:val="BPTable"/>
            </w:pPr>
            <w:r>
              <w:t>CodeGrade</w:t>
              <w:br/>
              <w:t>编程课程学习与评测</w:t>
            </w:r>
          </w:p>
        </w:tc>
        <w:tc>
          <w:tcPr>
            <w:tcW w:type="dxa" w:w="2438"/>
            <w:vAlign w:val="center"/>
            <w:shd w:fill="F6F7F6"/>
          </w:tcPr>
          <w:p>
            <w:pPr>
              <w:pStyle w:val="BPTable"/>
            </w:pPr>
            <w:r>
              <w:t>自动评测；可配置三类AI助手、提示护栏；可关联代码及测试上下文。[C06][C07]</w:t>
            </w:r>
          </w:p>
        </w:tc>
        <w:tc>
          <w:tcPr>
            <w:tcW w:type="dxa" w:w="2324"/>
            <w:vAlign w:val="center"/>
            <w:shd w:fill="F6F7F6"/>
          </w:tcPr>
          <w:p>
            <w:pPr>
              <w:pStyle w:val="BPTable"/>
            </w:pPr>
            <w:r>
              <w:t>师生可见AI对话；人工评阅、量规及反馈。与本项目重合度高。[C07][C08]</w:t>
            </w:r>
          </w:p>
        </w:tc>
        <w:tc>
          <w:tcPr>
            <w:tcW w:type="dxa" w:w="2324"/>
            <w:vAlign w:val="center"/>
            <w:shd w:fill="F6F7F6"/>
          </w:tcPr>
          <w:p>
            <w:pPr>
              <w:pStyle w:val="BPTable"/>
            </w:pPr>
            <w:r>
              <w:t>LTI连接多种LMS，GitHub工作流及API；AI套餐和可用性待确认。[C08][C09]</w:t>
            </w:r>
          </w:p>
        </w:tc>
      </w:tr>
      <w:tr>
        <w:trPr>
          <w:cantSplit/>
        </w:trPr>
        <w:tc>
          <w:tcPr>
            <w:tcW w:type="dxa" w:w="1757"/>
            <w:vAlign w:val="center"/>
          </w:tcPr>
          <w:p>
            <w:pPr>
              <w:pStyle w:val="BPTable"/>
            </w:pPr>
            <w:r>
              <w:t>通用LLM</w:t>
              <w:br/>
              <w:t>以ChatGPT学习模式为例</w:t>
            </w:r>
          </w:p>
        </w:tc>
        <w:tc>
          <w:tcPr>
            <w:tcW w:type="dxa" w:w="2438"/>
            <w:vAlign w:val="center"/>
          </w:tcPr>
          <w:p>
            <w:pPr>
              <w:pStyle w:val="BPTable"/>
            </w:pPr>
            <w:r>
              <w:t>支持提问引导和逐步分层讲解；所查资料未确认课程统一判题。[C10]</w:t>
            </w:r>
          </w:p>
        </w:tc>
        <w:tc>
          <w:tcPr>
            <w:tcW w:type="dxa" w:w="2324"/>
            <w:vAlign w:val="center"/>
          </w:tcPr>
          <w:p>
            <w:pPr>
              <w:pStyle w:val="BPTable"/>
            </w:pPr>
            <w:r>
              <w:t>支持学习反馈；班级错因报告与教师干预事件链未确认。[C10]</w:t>
            </w:r>
          </w:p>
        </w:tc>
        <w:tc>
          <w:tcPr>
            <w:tcW w:type="dxa" w:w="2324"/>
            <w:vAlign w:val="center"/>
          </w:tcPr>
          <w:p>
            <w:pPr>
              <w:pStyle w:val="BPTable"/>
            </w:pPr>
            <w:r>
              <w:t>通用学习体验；课程集成须另评估；不代表所有API开发可能。[C10]</w:t>
            </w:r>
          </w:p>
        </w:tc>
      </w:tr>
    </w:tbl>
    <w:p>
      <w:pPr>
        <w:pStyle w:val="BPSource"/>
      </w:pPr>
      <w:r>
        <w:t>来源：各产品官方资料[C01]至[C10]，2026年10月23日核查。未确认不等于不支持；头歌部分依据官方页面索引正文，未验证登录后功能。</w:t>
      </w:r>
    </w:p>
    <w:p>
      <w:pPr>
        <w:pStyle w:val="BPH2"/>
      </w:pPr>
      <w:r>
        <w:t>7.1 可争取的细分空间</w:t>
      </w:r>
    </w:p>
    <w:p>
      <w:pPr>
        <w:pStyle w:val="BPBody"/>
      </w:pPr>
      <w:r>
        <w:t>项目不尝试替代成熟教学平台，而拟在单门 C 语言基础课中验证：能否把测试差异与提示逐项关联，能否把提示使用和再次修改转成教师可以采取行动的信息，以及能否以少量配置交付。现有平台的账号、题库和课程体系可作为未来集成对象。</w:t>
      </w:r>
    </w:p>
    <w:p>
      <w:pPr>
        <w:pStyle w:val="BPH1"/>
        <w:pageBreakBefore/>
      </w:pPr>
      <w:r>
        <w:t>8 商业模式与价值交付</w:t>
      </w:r>
    </w:p>
    <w:p>
      <w:pPr>
        <w:pStyle w:val="BPCaption"/>
      </w:pPr>
      <w:r>
        <w:t>表7 拟探索的课程服务模式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871"/>
        <w:gridCol w:w="6973"/>
      </w:tblGrid>
      <w:tr>
        <w:trPr>
          <w:cantSplit/>
          <w:tblHeader/>
        </w:trPr>
        <w:tc>
          <w:tcPr>
            <w:tcW w:type="dxa" w:w="1871"/>
            <w:vAlign w:val="center"/>
            <w:shd w:fill="E8ECE9"/>
          </w:tcPr>
          <w:p>
            <w:pPr>
              <w:pStyle w:val="BPTable"/>
            </w:pPr>
            <w:r>
              <w:rPr>
                <w:b/>
              </w:rPr>
              <w:t>问题</w:t>
            </w:r>
          </w:p>
        </w:tc>
        <w:tc>
          <w:tcPr>
            <w:tcW w:type="dxa" w:w="6973"/>
            <w:vAlign w:val="center"/>
            <w:shd w:fill="E8ECE9"/>
          </w:tcPr>
          <w:p>
            <w:pPr>
              <w:pStyle w:val="BPTable"/>
            </w:pPr>
            <w:r>
              <w:rPr>
                <w:b/>
              </w:rPr>
              <w:t>拟定方案</w:t>
            </w:r>
          </w:p>
        </w:tc>
      </w:tr>
      <w:tr>
        <w:trPr>
          <w:cantSplit/>
        </w:trPr>
        <w:tc>
          <w:tcPr>
            <w:tcW w:type="dxa" w:w="1871"/>
            <w:vAlign w:val="center"/>
          </w:tcPr>
          <w:p>
            <w:pPr>
              <w:pStyle w:val="BPTable"/>
            </w:pPr>
            <w:r>
              <w:t>谁使用</w:t>
            </w:r>
          </w:p>
        </w:tc>
        <w:tc>
          <w:tcPr>
            <w:tcW w:type="dxa" w:w="6973"/>
            <w:vAlign w:val="center"/>
          </w:tcPr>
          <w:p>
            <w:pPr>
              <w:pStyle w:val="BPTable"/>
            </w:pPr>
            <w:r>
              <w:t>学生完成实训；教师和助教配置题目、查看反馈</w:t>
            </w:r>
          </w:p>
        </w:tc>
      </w:tr>
      <w:tr>
        <w:trPr>
          <w:cantSplit/>
        </w:trPr>
        <w:tc>
          <w:tcPr>
            <w:tcW w:type="dxa" w:w="1871"/>
            <w:vAlign w:val="center"/>
            <w:shd w:fill="F6F7F6"/>
          </w:tcPr>
          <w:p>
            <w:pPr>
              <w:pStyle w:val="BPTable"/>
            </w:pPr>
            <w:r>
              <w:t>谁付费</w:t>
            </w:r>
          </w:p>
        </w:tc>
        <w:tc>
          <w:tcPr>
            <w:tcW w:type="dxa" w:w="6973"/>
            <w:vAlign w:val="center"/>
            <w:shd w:fill="F6F7F6"/>
          </w:tcPr>
          <w:p>
            <w:pPr>
              <w:pStyle w:val="BPTable"/>
            </w:pPr>
            <w:r>
              <w:t>具备预算和采购权限的学校、学院、课程单位或教育机构</w:t>
            </w:r>
          </w:p>
        </w:tc>
      </w:tr>
      <w:tr>
        <w:trPr>
          <w:cantSplit/>
        </w:trPr>
        <w:tc>
          <w:tcPr>
            <w:tcW w:type="dxa" w:w="1871"/>
            <w:vAlign w:val="center"/>
          </w:tcPr>
          <w:p>
            <w:pPr>
              <w:pStyle w:val="BPTable"/>
            </w:pPr>
            <w:r>
              <w:t>为什么付费</w:t>
            </w:r>
          </w:p>
        </w:tc>
        <w:tc>
          <w:tcPr>
            <w:tcW w:type="dxa" w:w="6973"/>
            <w:vAlign w:val="center"/>
          </w:tcPr>
          <w:p>
            <w:pPr>
              <w:pStyle w:val="BPTable"/>
            </w:pPr>
            <w:r>
              <w:t>假设服务能减少反复解释与整理错因的工作，并提供可追溯的过程信息；需教师验证</w:t>
            </w:r>
          </w:p>
        </w:tc>
      </w:tr>
      <w:tr>
        <w:trPr>
          <w:cantSplit/>
        </w:trPr>
        <w:tc>
          <w:tcPr>
            <w:tcW w:type="dxa" w:w="1871"/>
            <w:vAlign w:val="center"/>
            <w:shd w:fill="F6F7F6"/>
          </w:tcPr>
          <w:p>
            <w:pPr>
              <w:pStyle w:val="BPTable"/>
            </w:pPr>
            <w:r>
              <w:t>交付什么</w:t>
            </w:r>
          </w:p>
        </w:tc>
        <w:tc>
          <w:tcPr>
            <w:tcW w:type="dxa" w:w="6973"/>
            <w:vAlign w:val="center"/>
            <w:shd w:fill="F6F7F6"/>
          </w:tcPr>
          <w:p>
            <w:pPr>
              <w:pStyle w:val="BPTable"/>
            </w:pPr>
            <w:r>
              <w:t>课程环境、基础题目适配、诊断与提示配置、报告、维护和限额支持</w:t>
            </w:r>
          </w:p>
        </w:tc>
      </w:tr>
      <w:tr>
        <w:trPr>
          <w:cantSplit/>
        </w:trPr>
        <w:tc>
          <w:tcPr>
            <w:tcW w:type="dxa" w:w="1871"/>
            <w:vAlign w:val="center"/>
          </w:tcPr>
          <w:p>
            <w:pPr>
              <w:pStyle w:val="BPTable"/>
            </w:pPr>
            <w:r>
              <w:t>怎样收费</w:t>
            </w:r>
          </w:p>
        </w:tc>
        <w:tc>
          <w:tcPr>
            <w:tcW w:type="dxa" w:w="6973"/>
            <w:vAlign w:val="center"/>
          </w:tcPr>
          <w:p>
            <w:pPr>
              <w:pStyle w:val="BPTable"/>
            </w:pPr>
            <w:r>
              <w:t>先验证课程包或按学期订阅；院系部署、私有化及定制服务另行核价</w:t>
            </w:r>
          </w:p>
        </w:tc>
      </w:tr>
    </w:tbl>
    <w:p>
      <w:pPr>
        <w:pStyle w:val="BPSource"/>
      </w:pPr>
      <w:r>
        <w:t>来源：项目组方案设计。</w:t>
      </w:r>
    </w:p>
    <w:p>
      <w:pPr>
        <w:pStyle w:val="BPBody"/>
      </w:pPr>
      <w:r>
        <w:t>第一阶段以校内非付费验证为主，先确认真实使用意愿与数据条件。第二阶段以课程服务包探索订阅，合同或服务确认书应明确班级规模、题目数量、模型调用限额、支持时长、数据归属、故障处理和验收方式。第三阶段在稳定交付后，再探索院系部署及年度维护。各阶段均为计划。</w:t>
      </w:r>
    </w:p>
    <w:p>
      <w:pPr>
        <w:pStyle w:val="BPH2"/>
      </w:pPr>
      <w:r>
        <w:t>8.1 采购动力与验收</w:t>
      </w:r>
    </w:p>
    <w:p>
      <w:pPr>
        <w:pStyle w:val="BPBody"/>
      </w:pPr>
      <w:r>
        <w:t>潜在采购方需要看到可衡量的额外价值：教师是否实际使用报告、是否节约整理反馈的工作时间，以及学生能否解释自己的修改。平台使用次数与题目通过率不能直接等同于教学效果。服务验收拟以环境可用、题目可评测、记录可追溯、报告经教师确认和支持工单闭环为基础。</w:t>
      </w:r>
    </w:p>
    <w:p>
      <w:pPr>
        <w:pStyle w:val="BPH2"/>
      </w:pPr>
      <w:r>
        <w:t>8.2 服务范围与续费</w:t>
      </w:r>
    </w:p>
    <w:p>
      <w:pPr>
        <w:pStyle w:val="BPBody"/>
      </w:pPr>
      <w:r>
        <w:t>优先提供标准课程包，避免低价承诺无限调用和无限定制。超出约定人数、题目、调用量或支持时长时重新估价。续费应基于下一学期持续需求、可靠交付与教师认可，而非依赖单次比赛展示。客户是否愿意按拟定价格购买尚未验证。</w:t>
      </w:r>
    </w:p>
    <w:p>
      <w:pPr>
        <w:pStyle w:val="BPH1"/>
        <w:pageBreakBefore/>
      </w:pPr>
      <w:r>
        <w:t>9 市场进入及推广策略</w:t>
      </w:r>
    </w:p>
    <w:p>
      <w:pPr>
        <w:pStyle w:val="BPCaption"/>
      </w:pPr>
      <w:r>
        <w:t>表8 从校内验证到可重复交付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701"/>
        <w:gridCol w:w="3572"/>
        <w:gridCol w:w="3572"/>
      </w:tblGrid>
      <w:tr>
        <w:trPr>
          <w:cantSplit/>
          <w:tblHeader/>
        </w:trPr>
        <w:tc>
          <w:tcPr>
            <w:tcW w:type="dxa" w:w="1701"/>
            <w:vAlign w:val="center"/>
            <w:shd w:fill="E8ECE9"/>
          </w:tcPr>
          <w:p>
            <w:pPr>
              <w:pStyle w:val="BPTable"/>
            </w:pPr>
            <w:r>
              <w:rPr>
                <w:b/>
              </w:rPr>
              <w:t>阶段</w:t>
            </w:r>
          </w:p>
        </w:tc>
        <w:tc>
          <w:tcPr>
            <w:tcW w:type="dxa" w:w="3572"/>
            <w:vAlign w:val="center"/>
            <w:shd w:fill="E8ECE9"/>
          </w:tcPr>
          <w:p>
            <w:pPr>
              <w:pStyle w:val="BPTable"/>
            </w:pPr>
            <w:r>
              <w:rPr>
                <w:b/>
              </w:rPr>
              <w:t>拟开展的行动</w:t>
            </w:r>
          </w:p>
        </w:tc>
        <w:tc>
          <w:tcPr>
            <w:tcW w:type="dxa" w:w="3572"/>
            <w:vAlign w:val="center"/>
            <w:shd w:fill="E8ECE9"/>
          </w:tcPr>
          <w:p>
            <w:pPr>
              <w:pStyle w:val="BPTable"/>
            </w:pPr>
            <w:r>
              <w:rPr>
                <w:b/>
              </w:rPr>
              <w:t>继续投入的条件</w:t>
            </w:r>
          </w:p>
        </w:tc>
      </w:tr>
      <w:tr>
        <w:trPr>
          <w:cantSplit/>
        </w:trPr>
        <w:tc>
          <w:tcPr>
            <w:tcW w:type="dxa" w:w="1701"/>
            <w:vAlign w:val="center"/>
          </w:tcPr>
          <w:p>
            <w:pPr>
              <w:pStyle w:val="BPTable"/>
            </w:pPr>
            <w:r>
              <w:t>校内需求确认</w:t>
            </w:r>
          </w:p>
        </w:tc>
        <w:tc>
          <w:tcPr>
            <w:tcW w:type="dxa" w:w="3572"/>
            <w:vAlign w:val="center"/>
          </w:tcPr>
          <w:p>
            <w:pPr>
              <w:pStyle w:val="BPTable"/>
            </w:pPr>
            <w:r>
              <w:t>访谈学生与教师，明确课程场景、现有工具和预算路径</w:t>
            </w:r>
          </w:p>
        </w:tc>
        <w:tc>
          <w:tcPr>
            <w:tcW w:type="dxa" w:w="3572"/>
            <w:vAlign w:val="center"/>
          </w:tcPr>
          <w:p>
            <w:pPr>
              <w:pStyle w:val="BPTable"/>
            </w:pPr>
            <w:r>
              <w:t>至少一名课程教师愿意提供题目并复核反馈</w:t>
            </w:r>
          </w:p>
        </w:tc>
      </w:tr>
      <w:tr>
        <w:trPr>
          <w:cantSplit/>
        </w:trPr>
        <w:tc>
          <w:tcPr>
            <w:tcW w:type="dxa" w:w="1701"/>
            <w:vAlign w:val="center"/>
            <w:shd w:fill="F6F7F6"/>
          </w:tcPr>
          <w:p>
            <w:pPr>
              <w:pStyle w:val="BPTable"/>
            </w:pPr>
            <w:r>
              <w:t>小规模课程验证</w:t>
            </w:r>
          </w:p>
        </w:tc>
        <w:tc>
          <w:tcPr>
            <w:tcW w:type="dxa" w:w="3572"/>
            <w:vAlign w:val="center"/>
            <w:shd w:fill="F6F7F6"/>
          </w:tcPr>
          <w:p>
            <w:pPr>
              <w:pStyle w:val="BPTable"/>
            </w:pPr>
            <w:r>
              <w:t>经授权邀请自愿参与者完成限定题目，记录错误、提示和解释</w:t>
            </w:r>
          </w:p>
        </w:tc>
        <w:tc>
          <w:tcPr>
            <w:tcW w:type="dxa" w:w="3572"/>
            <w:vAlign w:val="center"/>
            <w:shd w:fill="F6F7F6"/>
          </w:tcPr>
          <w:p>
            <w:pPr>
              <w:pStyle w:val="BPTable"/>
            </w:pPr>
            <w:r>
              <w:t>评测与数据边界通过检查；反馈质量达到教师认可</w:t>
            </w:r>
          </w:p>
        </w:tc>
      </w:tr>
      <w:tr>
        <w:trPr>
          <w:cantSplit/>
        </w:trPr>
        <w:tc>
          <w:tcPr>
            <w:tcW w:type="dxa" w:w="1701"/>
            <w:vAlign w:val="center"/>
          </w:tcPr>
          <w:p>
            <w:pPr>
              <w:pStyle w:val="BPTable"/>
            </w:pPr>
            <w:r>
              <w:t>课程服务包探索</w:t>
            </w:r>
          </w:p>
        </w:tc>
        <w:tc>
          <w:tcPr>
            <w:tcW w:type="dxa" w:w="3572"/>
            <w:vAlign w:val="center"/>
          </w:tcPr>
          <w:p>
            <w:pPr>
              <w:pStyle w:val="BPTable"/>
            </w:pPr>
            <w:r>
              <w:t>固定人数、题目、支持与调用上限，形成验收清单</w:t>
            </w:r>
          </w:p>
        </w:tc>
        <w:tc>
          <w:tcPr>
            <w:tcW w:type="dxa" w:w="3572"/>
            <w:vAlign w:val="center"/>
          </w:tcPr>
          <w:p>
            <w:pPr>
              <w:pStyle w:val="BPTable"/>
            </w:pPr>
            <w:r>
              <w:t>教师愿继续采用，且具备付费或正式合作路径</w:t>
            </w:r>
          </w:p>
        </w:tc>
      </w:tr>
      <w:tr>
        <w:trPr>
          <w:cantSplit/>
        </w:trPr>
        <w:tc>
          <w:tcPr>
            <w:tcW w:type="dxa" w:w="1701"/>
            <w:vAlign w:val="center"/>
            <w:shd w:fill="F6F7F6"/>
          </w:tcPr>
          <w:p>
            <w:pPr>
              <w:pStyle w:val="BPTable"/>
            </w:pPr>
            <w:r>
              <w:t>院系与跨校推广</w:t>
            </w:r>
          </w:p>
        </w:tc>
        <w:tc>
          <w:tcPr>
            <w:tcW w:type="dxa" w:w="3572"/>
            <w:vAlign w:val="center"/>
            <w:shd w:fill="F6F7F6"/>
          </w:tcPr>
          <w:p>
            <w:pPr>
              <w:pStyle w:val="BPTable"/>
            </w:pPr>
            <w:r>
              <w:t>整理获准公开的案例，通过教师交流或课程合作触达</w:t>
            </w:r>
          </w:p>
        </w:tc>
        <w:tc>
          <w:tcPr>
            <w:tcW w:type="dxa" w:w="3572"/>
            <w:vAlign w:val="center"/>
            <w:shd w:fill="F6F7F6"/>
          </w:tcPr>
          <w:p>
            <w:pPr>
              <w:pStyle w:val="BPTable"/>
            </w:pPr>
            <w:r>
              <w:t>多次交付可复用，客户支持成本与服务质量可控</w:t>
            </w:r>
          </w:p>
        </w:tc>
      </w:tr>
    </w:tbl>
    <w:p>
      <w:pPr>
        <w:pStyle w:val="BPSource"/>
      </w:pPr>
      <w:r>
        <w:t>来源：项目组方案设计。</w:t>
      </w:r>
    </w:p>
    <w:p>
      <w:pPr>
        <w:pStyle w:val="BPBody"/>
      </w:pPr>
      <w:r>
        <w:t>验证阶段优先使用可撤销的小范围服务安排，不以未经确认的校名、学生人数或合作意向书宣传。推广内容围绕真实案例中的错误类型、提示示例与教师行动，展示方法和边界。没有客户授权时，只展示去标识化的自拟案例。</w:t>
      </w:r>
    </w:p>
    <w:p>
      <w:pPr>
        <w:pStyle w:val="BPH2"/>
      </w:pPr>
      <w:r>
        <w:t>9.1 获客与流失原因的记录</w:t>
      </w:r>
    </w:p>
    <w:p>
      <w:pPr>
        <w:pStyle w:val="BPBody"/>
      </w:pPr>
      <w:r>
        <w:t>每次教师沟通拟记录来源、课程、既有工具、需求、推进状态和下一步，不把一次交流统计为客户。试点结束询问愿继续使用的原因及停止使用的原因，并将配置耗时、反馈不准、使用门槛和采购周期分别记录。</w:t>
      </w:r>
    </w:p>
    <w:p>
      <w:pPr>
        <w:pStyle w:val="BPBody"/>
      </w:pPr>
      <w:r>
        <w:t>初期不安排付费广告预算，不开展大规模免费发放。单课程验证的目的在于找出是否值得继续服务的证据。若教师认为现有工具已足够，或者报告不带来教学行动，应调整定位，避免通过扩大用户数量掩盖价值不足。</w:t>
      </w:r>
    </w:p>
    <w:p>
      <w:pPr>
        <w:pStyle w:val="BPH1"/>
        <w:pageBreakBefore/>
      </w:pPr>
      <w:r>
        <w:t>10 成本结构与财务情景测算</w:t>
      </w:r>
    </w:p>
    <w:p>
      <w:pPr>
        <w:pStyle w:val="BPBody"/>
      </w:pPr>
      <w:r>
        <w:t>以下为项目组自设参数的单课程、单学期情景测算，既不是供应商报价，也不是实际收入或采购承诺。课程规模假设为100名学生、每人10题、每题平均3次提交，共3000次评测；其中40%触发一次 AI 诊断，共1200次模型调用。暂按一次诊断对应一次调用估计，若分层提示再次调用或发生重试，实际次数及输入输出长度须据实上调。</w:t>
      </w:r>
    </w:p>
    <w:p>
      <w:pPr>
        <w:pStyle w:val="BPCaption"/>
      </w:pPr>
      <w:r>
        <w:t>表9 课程服务交付成本假设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268"/>
        <w:gridCol w:w="4762"/>
        <w:gridCol w:w="1814"/>
      </w:tblGrid>
      <w:tr>
        <w:trPr>
          <w:cantSplit/>
          <w:tblHeader/>
        </w:trPr>
        <w:tc>
          <w:tcPr>
            <w:tcW w:type="dxa" w:w="2268"/>
            <w:vAlign w:val="center"/>
            <w:shd w:fill="E8ECE9"/>
          </w:tcPr>
          <w:p>
            <w:pPr>
              <w:pStyle w:val="BPTable"/>
            </w:pPr>
            <w:r>
              <w:rPr>
                <w:b/>
              </w:rPr>
              <w:t>成本项</w:t>
            </w:r>
          </w:p>
        </w:tc>
        <w:tc>
          <w:tcPr>
            <w:tcW w:type="dxa" w:w="4762"/>
            <w:vAlign w:val="center"/>
            <w:shd w:fill="E8ECE9"/>
          </w:tcPr>
          <w:p>
            <w:pPr>
              <w:pStyle w:val="BPTable"/>
            </w:pPr>
            <w:r>
              <w:rPr>
                <w:b/>
              </w:rPr>
              <w:t>假设计算方式</w:t>
            </w:r>
          </w:p>
        </w:tc>
        <w:tc>
          <w:tcPr>
            <w:tcW w:type="dxa" w:w="1814"/>
            <w:vAlign w:val="center"/>
            <w:shd w:fill="E8ECE9"/>
          </w:tcPr>
          <w:p>
            <w:pPr>
              <w:pStyle w:val="BPTable"/>
              <w:jc w:val="right"/>
            </w:pPr>
            <w:r>
              <w:rPr>
                <w:b/>
              </w:rPr>
              <w:t>金额 元</w:t>
            </w:r>
          </w:p>
        </w:tc>
      </w:tr>
      <w:tr>
        <w:trPr>
          <w:cantSplit/>
        </w:trPr>
        <w:tc>
          <w:tcPr>
            <w:tcW w:type="dxa" w:w="2268"/>
            <w:vAlign w:val="center"/>
          </w:tcPr>
          <w:p>
            <w:pPr>
              <w:pStyle w:val="BPTable"/>
            </w:pPr>
            <w:r>
              <w:t>AI模型调用</w:t>
            </w:r>
          </w:p>
        </w:tc>
        <w:tc>
          <w:tcPr>
            <w:tcW w:type="dxa" w:w="4762"/>
            <w:vAlign w:val="center"/>
          </w:tcPr>
          <w:p>
            <w:pPr>
              <w:pStyle w:val="BPTable"/>
            </w:pPr>
            <w:r>
              <w:t>1200次 × 0.02元/次</w:t>
            </w:r>
          </w:p>
        </w:tc>
        <w:tc>
          <w:tcPr>
            <w:tcW w:type="dxa" w:w="1814"/>
            <w:vAlign w:val="center"/>
          </w:tcPr>
          <w:p>
            <w:pPr>
              <w:pStyle w:val="BPTable"/>
              <w:jc w:val="right"/>
            </w:pPr>
            <w:r>
              <w:t>24</w:t>
            </w:r>
          </w:p>
        </w:tc>
      </w:tr>
      <w:tr>
        <w:trPr>
          <w:cantSplit/>
        </w:trPr>
        <w:tc>
          <w:tcPr>
            <w:tcW w:type="dxa" w:w="2268"/>
            <w:vAlign w:val="center"/>
            <w:shd w:fill="F6F7F6"/>
          </w:tcPr>
          <w:p>
            <w:pPr>
              <w:pStyle w:val="BPTable"/>
            </w:pPr>
            <w:r>
              <w:t>代码评测计算</w:t>
            </w:r>
          </w:p>
        </w:tc>
        <w:tc>
          <w:tcPr>
            <w:tcW w:type="dxa" w:w="4762"/>
            <w:vAlign w:val="center"/>
            <w:shd w:fill="F6F7F6"/>
          </w:tcPr>
          <w:p>
            <w:pPr>
              <w:pStyle w:val="BPTable"/>
            </w:pPr>
            <w:r>
              <w:t>3000次 × 0.003元/次</w:t>
            </w:r>
          </w:p>
        </w:tc>
        <w:tc>
          <w:tcPr>
            <w:tcW w:type="dxa" w:w="1814"/>
            <w:vAlign w:val="center"/>
            <w:shd w:fill="F6F7F6"/>
          </w:tcPr>
          <w:p>
            <w:pPr>
              <w:pStyle w:val="BPTable"/>
              <w:jc w:val="right"/>
            </w:pPr>
            <w:r>
              <w:t>9</w:t>
            </w:r>
          </w:p>
        </w:tc>
      </w:tr>
      <w:tr>
        <w:trPr>
          <w:cantSplit/>
        </w:trPr>
        <w:tc>
          <w:tcPr>
            <w:tcW w:type="dxa" w:w="2268"/>
            <w:vAlign w:val="center"/>
          </w:tcPr>
          <w:p>
            <w:pPr>
              <w:pStyle w:val="BPTable"/>
            </w:pPr>
            <w:r>
              <w:t>服务器分摊</w:t>
            </w:r>
          </w:p>
        </w:tc>
        <w:tc>
          <w:tcPr>
            <w:tcW w:type="dxa" w:w="4762"/>
            <w:vAlign w:val="center"/>
          </w:tcPr>
          <w:p>
            <w:pPr>
              <w:pStyle w:val="BPTable"/>
            </w:pPr>
            <w:r>
              <w:t>每课程每学期分摊假设</w:t>
            </w:r>
          </w:p>
        </w:tc>
        <w:tc>
          <w:tcPr>
            <w:tcW w:type="dxa" w:w="1814"/>
            <w:vAlign w:val="center"/>
          </w:tcPr>
          <w:p>
            <w:pPr>
              <w:pStyle w:val="BPTable"/>
              <w:jc w:val="right"/>
            </w:pPr>
            <w:r>
              <w:t>120</w:t>
            </w:r>
          </w:p>
        </w:tc>
      </w:tr>
      <w:tr>
        <w:trPr>
          <w:cantSplit/>
        </w:trPr>
        <w:tc>
          <w:tcPr>
            <w:tcW w:type="dxa" w:w="2268"/>
            <w:vAlign w:val="center"/>
            <w:shd w:fill="F6F7F6"/>
          </w:tcPr>
          <w:p>
            <w:pPr>
              <w:pStyle w:val="BPTable"/>
            </w:pPr>
            <w:r>
              <w:t>存储与备份</w:t>
            </w:r>
          </w:p>
        </w:tc>
        <w:tc>
          <w:tcPr>
            <w:tcW w:type="dxa" w:w="4762"/>
            <w:vAlign w:val="center"/>
            <w:shd w:fill="F6F7F6"/>
          </w:tcPr>
          <w:p>
            <w:pPr>
              <w:pStyle w:val="BPTable"/>
            </w:pPr>
            <w:r>
              <w:t>每课程每学期分摊假设</w:t>
            </w:r>
          </w:p>
        </w:tc>
        <w:tc>
          <w:tcPr>
            <w:tcW w:type="dxa" w:w="1814"/>
            <w:vAlign w:val="center"/>
            <w:shd w:fill="F6F7F6"/>
          </w:tcPr>
          <w:p>
            <w:pPr>
              <w:pStyle w:val="BPTable"/>
              <w:jc w:val="right"/>
            </w:pPr>
            <w:r>
              <w:t>20</w:t>
            </w:r>
          </w:p>
        </w:tc>
      </w:tr>
      <w:tr>
        <w:trPr>
          <w:cantSplit/>
        </w:trPr>
        <w:tc>
          <w:tcPr>
            <w:tcW w:type="dxa" w:w="2268"/>
            <w:vAlign w:val="center"/>
          </w:tcPr>
          <w:p>
            <w:pPr>
              <w:pStyle w:val="BPTable"/>
            </w:pPr>
            <w:r>
              <w:t>运维劳动</w:t>
            </w:r>
          </w:p>
        </w:tc>
        <w:tc>
          <w:tcPr>
            <w:tcW w:type="dxa" w:w="4762"/>
            <w:vAlign w:val="center"/>
          </w:tcPr>
          <w:p>
            <w:pPr>
              <w:pStyle w:val="BPTable"/>
            </w:pPr>
            <w:r>
              <w:t>2小时 × 40元/小时</w:t>
            </w:r>
          </w:p>
        </w:tc>
        <w:tc>
          <w:tcPr>
            <w:tcW w:type="dxa" w:w="1814"/>
            <w:vAlign w:val="center"/>
          </w:tcPr>
          <w:p>
            <w:pPr>
              <w:pStyle w:val="BPTable"/>
              <w:jc w:val="right"/>
            </w:pPr>
            <w:r>
              <w:t>80</w:t>
            </w:r>
          </w:p>
        </w:tc>
      </w:tr>
      <w:tr>
        <w:trPr>
          <w:cantSplit/>
        </w:trPr>
        <w:tc>
          <w:tcPr>
            <w:tcW w:type="dxa" w:w="2268"/>
            <w:vAlign w:val="center"/>
            <w:shd w:fill="F6F7F6"/>
          </w:tcPr>
          <w:p>
            <w:pPr>
              <w:pStyle w:val="BPTable"/>
            </w:pPr>
            <w:r>
              <w:t>客户支持劳动</w:t>
            </w:r>
          </w:p>
        </w:tc>
        <w:tc>
          <w:tcPr>
            <w:tcW w:type="dxa" w:w="4762"/>
            <w:vAlign w:val="center"/>
            <w:shd w:fill="F6F7F6"/>
          </w:tcPr>
          <w:p>
            <w:pPr>
              <w:pStyle w:val="BPTable"/>
            </w:pPr>
            <w:r>
              <w:t>3小时 × 40元/小时</w:t>
            </w:r>
          </w:p>
        </w:tc>
        <w:tc>
          <w:tcPr>
            <w:tcW w:type="dxa" w:w="1814"/>
            <w:vAlign w:val="center"/>
            <w:shd w:fill="F6F7F6"/>
          </w:tcPr>
          <w:p>
            <w:pPr>
              <w:pStyle w:val="BPTable"/>
              <w:jc w:val="right"/>
            </w:pPr>
            <w:r>
              <w:t>120</w:t>
            </w:r>
          </w:p>
        </w:tc>
      </w:tr>
      <w:tr>
        <w:trPr>
          <w:cantSplit/>
        </w:trPr>
        <w:tc>
          <w:tcPr>
            <w:tcW w:type="dxa" w:w="2268"/>
            <w:vAlign w:val="center"/>
          </w:tcPr>
          <w:p>
            <w:pPr>
              <w:pStyle w:val="BPTable"/>
            </w:pPr>
            <w:r>
              <w:t>课程适配劳动</w:t>
            </w:r>
          </w:p>
        </w:tc>
        <w:tc>
          <w:tcPr>
            <w:tcW w:type="dxa" w:w="4762"/>
            <w:vAlign w:val="center"/>
          </w:tcPr>
          <w:p>
            <w:pPr>
              <w:pStyle w:val="BPTable"/>
            </w:pPr>
            <w:r>
              <w:t>4小时 × 40元/小时</w:t>
            </w:r>
          </w:p>
        </w:tc>
        <w:tc>
          <w:tcPr>
            <w:tcW w:type="dxa" w:w="1814"/>
            <w:vAlign w:val="center"/>
          </w:tcPr>
          <w:p>
            <w:pPr>
              <w:pStyle w:val="BPTable"/>
              <w:jc w:val="right"/>
            </w:pPr>
            <w:r>
              <w:t>160</w:t>
            </w:r>
          </w:p>
        </w:tc>
      </w:tr>
      <w:tr>
        <w:trPr>
          <w:cantSplit/>
        </w:trPr>
        <w:tc>
          <w:tcPr>
            <w:tcW w:type="dxa" w:w="2268"/>
            <w:vAlign w:val="center"/>
            <w:shd w:fill="F6F7F6"/>
          </w:tcPr>
          <w:p>
            <w:pPr>
              <w:pStyle w:val="BPTable"/>
            </w:pPr>
            <w:r>
              <w:t>合计</w:t>
            </w:r>
          </w:p>
        </w:tc>
        <w:tc>
          <w:tcPr>
            <w:tcW w:type="dxa" w:w="4762"/>
            <w:vAlign w:val="center"/>
            <w:shd w:fill="F6F7F6"/>
          </w:tcPr>
          <w:p>
            <w:pPr>
              <w:pStyle w:val="BPTable"/>
            </w:pPr>
            <w:r>
              <w:t>包含上述劳动估值，不含一次性研发</w:t>
            </w:r>
          </w:p>
        </w:tc>
        <w:tc>
          <w:tcPr>
            <w:tcW w:type="dxa" w:w="1814"/>
            <w:vAlign w:val="center"/>
            <w:shd w:fill="F6F7F6"/>
          </w:tcPr>
          <w:p>
            <w:pPr>
              <w:pStyle w:val="BPTable"/>
              <w:jc w:val="right"/>
            </w:pPr>
            <w:r>
              <w:t>533</w:t>
            </w:r>
          </w:p>
        </w:tc>
      </w:tr>
    </w:tbl>
    <w:p>
      <w:pPr>
        <w:pStyle w:val="BPSource"/>
      </w:pPr>
      <w:r>
        <w:t>来源：项目组情景假设。劳动虽由学生承担，仍计入经济成本。</w:t>
      </w:r>
    </w:p>
    <w:p>
      <w:pPr>
        <w:pStyle w:val="BPBody"/>
      </w:pPr>
      <w:r>
        <w:t>课程服务包的假设价格为1500元/学期，暂不作为正式报价。每包贡献额为1500−533=967元，贡献率为967÷1500=64.5%。贡献额用于覆盖一次性研发和未分摊费用，不能称为净利润。模型尚未计入税费、采购差旅、获客、额外管理费用与异常安全事件成本。</w:t>
      </w:r>
    </w:p>
    <w:p>
      <w:pPr>
        <w:pStyle w:val="BPH2"/>
        <w:pageBreakBefore/>
      </w:pPr>
      <w:r>
        <w:t>10.1 价格与服务工时敏感性</w:t>
      </w:r>
    </w:p>
    <w:p>
      <w:pPr>
        <w:pStyle w:val="BPCaption"/>
      </w:pPr>
      <w:r>
        <w:t>表10 价格与用量敏感性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3118"/>
        <w:gridCol w:w="1417"/>
        <w:gridCol w:w="1417"/>
        <w:gridCol w:w="1417"/>
        <w:gridCol w:w="1474"/>
      </w:tblGrid>
      <w:tr>
        <w:trPr>
          <w:cantSplit/>
          <w:tblHeader/>
        </w:trPr>
        <w:tc>
          <w:tcPr>
            <w:tcW w:type="dxa" w:w="3118"/>
            <w:vAlign w:val="center"/>
            <w:shd w:fill="E8ECE9"/>
          </w:tcPr>
          <w:p>
            <w:pPr>
              <w:pStyle w:val="BPTable"/>
            </w:pPr>
            <w:r>
              <w:rPr>
                <w:b/>
              </w:rPr>
              <w:t>情景</w:t>
            </w:r>
          </w:p>
        </w:tc>
        <w:tc>
          <w:tcPr>
            <w:tcW w:type="dxa" w:w="1417"/>
            <w:vAlign w:val="center"/>
            <w:shd w:fill="E8ECE9"/>
          </w:tcPr>
          <w:p>
            <w:pPr>
              <w:pStyle w:val="BPTable"/>
            </w:pPr>
            <w:r>
              <w:rPr>
                <w:b/>
              </w:rPr>
              <w:t>收入 元</w:t>
            </w:r>
          </w:p>
        </w:tc>
        <w:tc>
          <w:tcPr>
            <w:tcW w:type="dxa" w:w="1417"/>
            <w:vAlign w:val="center"/>
            <w:shd w:fill="E8ECE9"/>
          </w:tcPr>
          <w:p>
            <w:pPr>
              <w:pStyle w:val="BPTable"/>
            </w:pPr>
            <w:r>
              <w:rPr>
                <w:b/>
              </w:rPr>
              <w:t>成本 元</w:t>
            </w:r>
          </w:p>
        </w:tc>
        <w:tc>
          <w:tcPr>
            <w:tcW w:type="dxa" w:w="1417"/>
            <w:vAlign w:val="center"/>
            <w:shd w:fill="E8ECE9"/>
          </w:tcPr>
          <w:p>
            <w:pPr>
              <w:pStyle w:val="BPTable"/>
            </w:pPr>
            <w:r>
              <w:rPr>
                <w:b/>
              </w:rPr>
              <w:t>贡献 元</w:t>
            </w:r>
          </w:p>
        </w:tc>
        <w:tc>
          <w:tcPr>
            <w:tcW w:type="dxa" w:w="1474"/>
            <w:vAlign w:val="center"/>
            <w:shd w:fill="E8ECE9"/>
          </w:tcPr>
          <w:p>
            <w:pPr>
              <w:pStyle w:val="BPTable"/>
              <w:jc w:val="right"/>
            </w:pPr>
            <w:r>
              <w:rPr>
                <w:b/>
              </w:rPr>
              <w:t>贡献率</w:t>
            </w:r>
          </w:p>
        </w:tc>
      </w:tr>
      <w:tr>
        <w:trPr>
          <w:cantSplit/>
        </w:trPr>
        <w:tc>
          <w:tcPr>
            <w:tcW w:type="dxa" w:w="3118"/>
            <w:vAlign w:val="center"/>
          </w:tcPr>
          <w:p>
            <w:pPr>
              <w:pStyle w:val="BPTable"/>
            </w:pPr>
            <w:r>
              <w:t>基准假设</w:t>
            </w:r>
          </w:p>
        </w:tc>
        <w:tc>
          <w:tcPr>
            <w:tcW w:type="dxa" w:w="1417"/>
            <w:vAlign w:val="center"/>
          </w:tcPr>
          <w:p>
            <w:pPr>
              <w:pStyle w:val="BPTable"/>
            </w:pPr>
            <w:r>
              <w:t>1500</w:t>
            </w:r>
          </w:p>
        </w:tc>
        <w:tc>
          <w:tcPr>
            <w:tcW w:type="dxa" w:w="1417"/>
            <w:vAlign w:val="center"/>
          </w:tcPr>
          <w:p>
            <w:pPr>
              <w:pStyle w:val="BPTable"/>
            </w:pPr>
            <w:r>
              <w:t>533</w:t>
            </w:r>
          </w:p>
        </w:tc>
        <w:tc>
          <w:tcPr>
            <w:tcW w:type="dxa" w:w="1417"/>
            <w:vAlign w:val="center"/>
          </w:tcPr>
          <w:p>
            <w:pPr>
              <w:pStyle w:val="BPTable"/>
            </w:pPr>
            <w:r>
              <w:t>967</w:t>
            </w:r>
          </w:p>
        </w:tc>
        <w:tc>
          <w:tcPr>
            <w:tcW w:type="dxa" w:w="1474"/>
            <w:vAlign w:val="center"/>
          </w:tcPr>
          <w:p>
            <w:pPr>
              <w:pStyle w:val="BPTable"/>
              <w:jc w:val="right"/>
            </w:pPr>
            <w:r>
              <w:t>64.5%</w:t>
            </w:r>
          </w:p>
        </w:tc>
      </w:tr>
      <w:tr>
        <w:trPr>
          <w:cantSplit/>
        </w:trPr>
        <w:tc>
          <w:tcPr>
            <w:tcW w:type="dxa" w:w="3118"/>
            <w:vAlign w:val="center"/>
            <w:shd w:fill="F6F7F6"/>
          </w:tcPr>
          <w:p>
            <w:pPr>
              <w:pStyle w:val="BPTable"/>
            </w:pPr>
            <w:r>
              <w:t>价格降至一半</w:t>
            </w:r>
          </w:p>
        </w:tc>
        <w:tc>
          <w:tcPr>
            <w:tcW w:type="dxa" w:w="1417"/>
            <w:vAlign w:val="center"/>
            <w:shd w:fill="F6F7F6"/>
          </w:tcPr>
          <w:p>
            <w:pPr>
              <w:pStyle w:val="BPTable"/>
            </w:pPr>
            <w:r>
              <w:t>750</w:t>
            </w:r>
          </w:p>
        </w:tc>
        <w:tc>
          <w:tcPr>
            <w:tcW w:type="dxa" w:w="1417"/>
            <w:vAlign w:val="center"/>
            <w:shd w:fill="F6F7F6"/>
          </w:tcPr>
          <w:p>
            <w:pPr>
              <w:pStyle w:val="BPTable"/>
            </w:pPr>
            <w:r>
              <w:t>533</w:t>
            </w:r>
          </w:p>
        </w:tc>
        <w:tc>
          <w:tcPr>
            <w:tcW w:type="dxa" w:w="1417"/>
            <w:vAlign w:val="center"/>
            <w:shd w:fill="F6F7F6"/>
          </w:tcPr>
          <w:p>
            <w:pPr>
              <w:pStyle w:val="BPTable"/>
            </w:pPr>
            <w:r>
              <w:t>217</w:t>
            </w:r>
          </w:p>
        </w:tc>
        <w:tc>
          <w:tcPr>
            <w:tcW w:type="dxa" w:w="1474"/>
            <w:vAlign w:val="center"/>
            <w:shd w:fill="F6F7F6"/>
          </w:tcPr>
          <w:p>
            <w:pPr>
              <w:pStyle w:val="BPTable"/>
              <w:jc w:val="right"/>
            </w:pPr>
            <w:r>
              <w:t>28.9%</w:t>
            </w:r>
          </w:p>
        </w:tc>
      </w:tr>
      <w:tr>
        <w:trPr>
          <w:cantSplit/>
        </w:trPr>
        <w:tc>
          <w:tcPr>
            <w:tcW w:type="dxa" w:w="3118"/>
            <w:vAlign w:val="center"/>
          </w:tcPr>
          <w:p>
            <w:pPr>
              <w:pStyle w:val="BPTable"/>
            </w:pPr>
            <w:r>
              <w:t>提交与AI调用均翻倍</w:t>
            </w:r>
          </w:p>
        </w:tc>
        <w:tc>
          <w:tcPr>
            <w:tcW w:type="dxa" w:w="1417"/>
            <w:vAlign w:val="center"/>
          </w:tcPr>
          <w:p>
            <w:pPr>
              <w:pStyle w:val="BPTable"/>
            </w:pPr>
            <w:r>
              <w:t>1500</w:t>
            </w:r>
          </w:p>
        </w:tc>
        <w:tc>
          <w:tcPr>
            <w:tcW w:type="dxa" w:w="1417"/>
            <w:vAlign w:val="center"/>
          </w:tcPr>
          <w:p>
            <w:pPr>
              <w:pStyle w:val="BPTable"/>
            </w:pPr>
            <w:r>
              <w:t>566</w:t>
            </w:r>
          </w:p>
        </w:tc>
        <w:tc>
          <w:tcPr>
            <w:tcW w:type="dxa" w:w="1417"/>
            <w:vAlign w:val="center"/>
          </w:tcPr>
          <w:p>
            <w:pPr>
              <w:pStyle w:val="BPTable"/>
            </w:pPr>
            <w:r>
              <w:t>934</w:t>
            </w:r>
          </w:p>
        </w:tc>
        <w:tc>
          <w:tcPr>
            <w:tcW w:type="dxa" w:w="1474"/>
            <w:vAlign w:val="center"/>
          </w:tcPr>
          <w:p>
            <w:pPr>
              <w:pStyle w:val="BPTable"/>
              <w:jc w:val="right"/>
            </w:pPr>
            <w:r>
              <w:t>62.3%</w:t>
            </w:r>
          </w:p>
        </w:tc>
      </w:tr>
      <w:tr>
        <w:trPr>
          <w:cantSplit/>
        </w:trPr>
        <w:tc>
          <w:tcPr>
            <w:tcW w:type="dxa" w:w="3118"/>
            <w:vAlign w:val="center"/>
            <w:shd w:fill="F6F7F6"/>
          </w:tcPr>
          <w:p>
            <w:pPr>
              <w:pStyle w:val="BPTable"/>
            </w:pPr>
            <w:r>
              <w:t>服务劳动工时翻倍</w:t>
            </w:r>
          </w:p>
        </w:tc>
        <w:tc>
          <w:tcPr>
            <w:tcW w:type="dxa" w:w="1417"/>
            <w:vAlign w:val="center"/>
            <w:shd w:fill="F6F7F6"/>
          </w:tcPr>
          <w:p>
            <w:pPr>
              <w:pStyle w:val="BPTable"/>
            </w:pPr>
            <w:r>
              <w:t>1500</w:t>
            </w:r>
          </w:p>
        </w:tc>
        <w:tc>
          <w:tcPr>
            <w:tcW w:type="dxa" w:w="1417"/>
            <w:vAlign w:val="center"/>
            <w:shd w:fill="F6F7F6"/>
          </w:tcPr>
          <w:p>
            <w:pPr>
              <w:pStyle w:val="BPTable"/>
            </w:pPr>
            <w:r>
              <w:t>893</w:t>
            </w:r>
          </w:p>
        </w:tc>
        <w:tc>
          <w:tcPr>
            <w:tcW w:type="dxa" w:w="1417"/>
            <w:vAlign w:val="center"/>
            <w:shd w:fill="F6F7F6"/>
          </w:tcPr>
          <w:p>
            <w:pPr>
              <w:pStyle w:val="BPTable"/>
            </w:pPr>
            <w:r>
              <w:t>607</w:t>
            </w:r>
          </w:p>
        </w:tc>
        <w:tc>
          <w:tcPr>
            <w:tcW w:type="dxa" w:w="1474"/>
            <w:vAlign w:val="center"/>
            <w:shd w:fill="F6F7F6"/>
          </w:tcPr>
          <w:p>
            <w:pPr>
              <w:pStyle w:val="BPTable"/>
              <w:jc w:val="right"/>
            </w:pPr>
            <w:r>
              <w:t>40.5%</w:t>
            </w:r>
          </w:p>
        </w:tc>
      </w:tr>
    </w:tbl>
    <w:p>
      <w:pPr>
        <w:pStyle w:val="BPSource"/>
      </w:pPr>
      <w:r>
        <w:t>来源：项目组情景测算。用量翻倍时仅两项调用成本翻倍；服务劳动翻倍时9小时增至18小时，其余条件不变。</w:t>
      </w:r>
    </w:p>
    <w:p>
      <w:pPr>
        <w:pStyle w:val="BPBody"/>
      </w:pPr>
      <w:r>
        <w:t>一次性研发预算若假设为12000元，在每包贡献967元、其他条件不变且确有成交的条件下，累计约13个同规模课程包才能覆盖该笔预算（13×967=12571元）。这只是预算回收算式，不是企业盈亏平衡预测，更不是订单目标已实现。</w:t>
      </w:r>
    </w:p>
    <w:p>
      <w:pPr>
        <w:pStyle w:val="BPBody"/>
      </w:pPr>
      <w:r>
        <w:t>基准情景中，运维、客户支持和课程适配共9小时，劳动估值360元，占533元交付成本约67.5%。服务工时翻倍时，贡献率降至40.5%。因此，题目配置能否复用、教师培训是否清晰以及支持是否有边界，比单纯压低模型调用费用更直接影响可持续交付。上述判断由假设模型推导，实际占比须由工时记录验证。</w:t>
      </w:r>
    </w:p>
    <w:p>
      <w:pPr>
        <w:pStyle w:val="BPBody"/>
      </w:pPr>
      <w:r>
        <w:t>试点拟逐项登记模型账单、Token或调用量、评测资源用量、故障重试和支持工时；发生外部服务超时，也可能已经产生费用。按实际人数、作业量和服务范围重算每包成本后，再讨论是否报价。533元不代表长期可接受的最低售价，1500元也未得到客户意愿或采购条件验证。</w:t>
      </w:r>
    </w:p>
    <w:p>
      <w:pPr>
        <w:pStyle w:val="BPH1"/>
        <w:pageBreakBefore/>
      </w:pPr>
      <w:r>
        <w:t>11 团队组织与资源条件</w:t>
      </w:r>
    </w:p>
    <w:p>
      <w:pPr>
        <w:pStyle w:val="BPBody"/>
      </w:pPr>
      <w:r>
        <w:t>ZERO团队由4名学生组成，负责人为叶兴楠。负责人已确认专业为软件工程、班级为26中本软工1班、年级为2026级。其余成员的专业年级、联系方式、具体技能和成果证据尚待核实。下列分工经负责人授权先行拟定，实际执行前由成员共同确认。</w:t>
      </w:r>
    </w:p>
    <w:p>
      <w:pPr>
        <w:pStyle w:val="BPCaption"/>
      </w:pPr>
      <w:r>
        <w:t>表11 拟定团队分工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041"/>
        <w:gridCol w:w="3402"/>
        <w:gridCol w:w="3402"/>
      </w:tblGrid>
      <w:tr>
        <w:trPr>
          <w:cantSplit/>
          <w:tblHeader/>
        </w:trPr>
        <w:tc>
          <w:tcPr>
            <w:tcW w:type="dxa" w:w="2041"/>
            <w:vAlign w:val="center"/>
            <w:shd w:fill="E8ECE9"/>
          </w:tcPr>
          <w:p>
            <w:pPr>
              <w:pStyle w:val="BPTable"/>
            </w:pPr>
            <w:r>
              <w:rPr>
                <w:b/>
              </w:rPr>
              <w:t>成员</w:t>
            </w:r>
          </w:p>
        </w:tc>
        <w:tc>
          <w:tcPr>
            <w:tcW w:type="dxa" w:w="3402"/>
            <w:vAlign w:val="center"/>
            <w:shd w:fill="E8ECE9"/>
          </w:tcPr>
          <w:p>
            <w:pPr>
              <w:pStyle w:val="BPTable"/>
            </w:pPr>
            <w:r>
              <w:rPr>
                <w:b/>
              </w:rPr>
              <w:t>拟承担职责</w:t>
            </w:r>
          </w:p>
        </w:tc>
        <w:tc>
          <w:tcPr>
            <w:tcW w:type="dxa" w:w="3402"/>
            <w:vAlign w:val="center"/>
            <w:shd w:fill="E8ECE9"/>
          </w:tcPr>
          <w:p>
            <w:pPr>
              <w:pStyle w:val="BPTable"/>
            </w:pPr>
            <w:r>
              <w:rPr>
                <w:b/>
              </w:rPr>
              <w:t>拟验收交付物</w:t>
            </w:r>
          </w:p>
        </w:tc>
      </w:tr>
      <w:tr>
        <w:trPr>
          <w:cantSplit/>
        </w:trPr>
        <w:tc>
          <w:tcPr>
            <w:tcW w:type="dxa" w:w="2041"/>
            <w:vAlign w:val="center"/>
          </w:tcPr>
          <w:p>
            <w:pPr>
              <w:pStyle w:val="BPTable"/>
            </w:pPr>
            <w:r>
              <w:t>叶兴楠 项目负责人</w:t>
            </w:r>
          </w:p>
        </w:tc>
        <w:tc>
          <w:tcPr>
            <w:tcW w:type="dxa" w:w="3402"/>
            <w:vAlign w:val="center"/>
          </w:tcPr>
          <w:p>
            <w:pPr>
              <w:pStyle w:val="BPTable"/>
            </w:pPr>
            <w:r>
              <w:t>需求规划、架构统筹、协调、商业计划、教师沟通与答辩</w:t>
            </w:r>
          </w:p>
        </w:tc>
        <w:tc>
          <w:tcPr>
            <w:tcW w:type="dxa" w:w="3402"/>
            <w:vAlign w:val="center"/>
          </w:tcPr>
          <w:p>
            <w:pPr>
              <w:pStyle w:val="BPTable"/>
            </w:pPr>
            <w:r>
              <w:t>需求清单、版本计划、访谈纪要、验收记录和答辩材料</w:t>
            </w:r>
          </w:p>
        </w:tc>
      </w:tr>
      <w:tr>
        <w:trPr>
          <w:cantSplit/>
        </w:trPr>
        <w:tc>
          <w:tcPr>
            <w:tcW w:type="dxa" w:w="2041"/>
            <w:vAlign w:val="center"/>
            <w:shd w:fill="F6F7F6"/>
          </w:tcPr>
          <w:p>
            <w:pPr>
              <w:pStyle w:val="BPTable"/>
            </w:pPr>
            <w:r>
              <w:t>林李想</w:t>
            </w:r>
          </w:p>
        </w:tc>
        <w:tc>
          <w:tcPr>
            <w:tcW w:type="dxa" w:w="3402"/>
            <w:vAlign w:val="center"/>
            <w:shd w:fill="F6F7F6"/>
          </w:tcPr>
          <w:p>
            <w:pPr>
              <w:pStyle w:val="BPTable"/>
            </w:pPr>
            <w:r>
              <w:t>后端接口、编译评测、安全执行与数据存储</w:t>
            </w:r>
          </w:p>
        </w:tc>
        <w:tc>
          <w:tcPr>
            <w:tcW w:type="dxa" w:w="3402"/>
            <w:vAlign w:val="center"/>
            <w:shd w:fill="F6F7F6"/>
          </w:tcPr>
          <w:p>
            <w:pPr>
              <w:pStyle w:val="BPTable"/>
            </w:pPr>
            <w:r>
              <w:t>可追溯提交接口、隔离配置和评测测试记录</w:t>
            </w:r>
          </w:p>
        </w:tc>
      </w:tr>
      <w:tr>
        <w:trPr>
          <w:cantSplit/>
        </w:trPr>
        <w:tc>
          <w:tcPr>
            <w:tcW w:type="dxa" w:w="2041"/>
            <w:vAlign w:val="center"/>
          </w:tcPr>
          <w:p>
            <w:pPr>
              <w:pStyle w:val="BPTable"/>
            </w:pPr>
            <w:r>
              <w:t>黄显涛</w:t>
            </w:r>
          </w:p>
        </w:tc>
        <w:tc>
          <w:tcPr>
            <w:tcW w:type="dxa" w:w="3402"/>
            <w:vAlign w:val="center"/>
          </w:tcPr>
          <w:p>
            <w:pPr>
              <w:pStyle w:val="BPTable"/>
            </w:pPr>
            <w:r>
              <w:t>学生实训页面、编辑交互、反馈展示与教师基础界面</w:t>
            </w:r>
          </w:p>
        </w:tc>
        <w:tc>
          <w:tcPr>
            <w:tcW w:type="dxa" w:w="3402"/>
            <w:vAlign w:val="center"/>
          </w:tcPr>
          <w:p>
            <w:pPr>
              <w:pStyle w:val="BPTable"/>
            </w:pPr>
            <w:r>
              <w:t>核心页面、状态反馈与前后端联调记录</w:t>
            </w:r>
          </w:p>
        </w:tc>
      </w:tr>
      <w:tr>
        <w:trPr>
          <w:cantSplit/>
        </w:trPr>
        <w:tc>
          <w:tcPr>
            <w:tcW w:type="dxa" w:w="2041"/>
            <w:vAlign w:val="center"/>
            <w:shd w:fill="F6F7F6"/>
          </w:tcPr>
          <w:p>
            <w:pPr>
              <w:pStyle w:val="BPTable"/>
            </w:pPr>
            <w:r>
              <w:t>汪盛淇</w:t>
            </w:r>
          </w:p>
        </w:tc>
        <w:tc>
          <w:tcPr>
            <w:tcW w:type="dxa" w:w="3402"/>
            <w:vAlign w:val="center"/>
            <w:shd w:fill="F6F7F6"/>
          </w:tcPr>
          <w:p>
            <w:pPr>
              <w:pStyle w:val="BPTable"/>
            </w:pPr>
            <w:r>
              <w:t>模型接入、提示策略、诊断质量与测试验证</w:t>
            </w:r>
          </w:p>
        </w:tc>
        <w:tc>
          <w:tcPr>
            <w:tcW w:type="dxa" w:w="3402"/>
            <w:vAlign w:val="center"/>
            <w:shd w:fill="F6F7F6"/>
          </w:tcPr>
          <w:p>
            <w:pPr>
              <w:pStyle w:val="BPTable"/>
            </w:pPr>
            <w:r>
              <w:t>结构化诊断规范、提示测试集和质量复核记录</w:t>
            </w:r>
          </w:p>
        </w:tc>
      </w:tr>
    </w:tbl>
    <w:p>
      <w:pPr>
        <w:pStyle w:val="BPSource"/>
      </w:pPr>
      <w:r>
        <w:t>来源：项目组方案设计。</w:t>
      </w:r>
    </w:p>
    <w:p>
      <w:pPr>
        <w:pStyle w:val="BPH2"/>
      </w:pPr>
      <w:r>
        <w:t>11.1 指导与外部资源</w:t>
      </w:r>
    </w:p>
    <w:p>
      <w:pPr>
        <w:pStyle w:val="BPBody"/>
      </w:pPr>
      <w:r>
        <w:t>指导教师拟配置1至2名，当前姓名、职称和参与确认状态均为【待确认】。需要重点补足程序设计教学评价、安全评测和商业调研指导。未取得授权前，不使用教师姓名或校内平台资源作为已获支持的证明。</w:t>
      </w:r>
    </w:p>
    <w:p>
      <w:pPr>
        <w:pStyle w:val="BPH2"/>
      </w:pPr>
      <w:r>
        <w:t>11.2 协作机制与执行能力证明</w:t>
      </w:r>
    </w:p>
    <w:p>
      <w:pPr>
        <w:pStyle w:val="BPBody"/>
      </w:pPr>
      <w:r>
        <w:t>拟建立按周计划、代码评审、缺陷记录和阶段演示机制。需求变动由负责人登记，评测隔离与诊断输出由不同成员交叉检查。团队能力以真实作品、课程实践、提交记录和实际任务完成情况佐证，不为任何成员虚构竞赛荣誉、从业经验或技术水平。</w:t>
      </w:r>
    </w:p>
    <w:p>
      <w:pPr>
        <w:pStyle w:val="BPBody"/>
      </w:pPr>
      <w:r>
        <w:t>初期预算与设备来源、可用服务器、模型账号及导师支持尚待核实。若资源不足，先完成离线样例验证，不承诺持续在线服务。后续按成员实际能力调整职责，保留任务和交付记录。</w:t>
      </w:r>
    </w:p>
    <w:p>
      <w:pPr>
        <w:pStyle w:val="BPH1"/>
        <w:pageBreakBefore/>
      </w:pPr>
      <w:r>
        <w:t>12 教育价值与社会效益</w:t>
      </w:r>
    </w:p>
    <w:p>
      <w:pPr>
        <w:pStyle w:val="BPBody"/>
      </w:pPr>
      <w:r>
        <w:t>学生侧的预期价值是把报错和失败结果转化为可以解释的学习任务。分层提示试图保留分析与修改的空间，鼓励学生说明边界条件、变量变化及输出差异。是否能培养自主纠错，需要通过解释任务、相近新题和延后复测观察，不能以一次通过率代替长期学习成效。</w:t>
      </w:r>
    </w:p>
    <w:p>
      <w:pPr>
        <w:pStyle w:val="BPBody"/>
      </w:pPr>
      <w:r>
        <w:t>教师侧的预期价值是从实际提交中发现可教学的共性问题。报告应能够支持具体行动，例如针对循环边界安排课堂示例，或对持续多次失败的学生提供人工辅导。重复错误次数和提示层级只是过程线索，不直接贴上能力高低或学习态度标签。</w:t>
      </w:r>
    </w:p>
    <w:p>
      <w:pPr>
        <w:pStyle w:val="BPCaption"/>
      </w:pPr>
      <w:r>
        <w:t>表12 团队培养与教育价值的观察方式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324"/>
        <w:gridCol w:w="3288"/>
        <w:gridCol w:w="3231"/>
      </w:tblGrid>
      <w:tr>
        <w:trPr>
          <w:cantSplit/>
          <w:tblHeader/>
        </w:trPr>
        <w:tc>
          <w:tcPr>
            <w:tcW w:type="dxa" w:w="2324"/>
            <w:vAlign w:val="center"/>
            <w:shd w:fill="E8ECE9"/>
          </w:tcPr>
          <w:p>
            <w:pPr>
              <w:pStyle w:val="BPTable"/>
            </w:pPr>
            <w:r>
              <w:rPr>
                <w:b/>
              </w:rPr>
              <w:t>培养方向</w:t>
            </w:r>
          </w:p>
        </w:tc>
        <w:tc>
          <w:tcPr>
            <w:tcW w:type="dxa" w:w="3288"/>
            <w:vAlign w:val="center"/>
            <w:shd w:fill="E8ECE9"/>
          </w:tcPr>
          <w:p>
            <w:pPr>
              <w:pStyle w:val="BPTable"/>
            </w:pPr>
            <w:r>
              <w:rPr>
                <w:b/>
              </w:rPr>
              <w:t>项目中的实际学习任务</w:t>
            </w:r>
          </w:p>
        </w:tc>
        <w:tc>
          <w:tcPr>
            <w:tcW w:type="dxa" w:w="3231"/>
            <w:vAlign w:val="center"/>
            <w:shd w:fill="E8ECE9"/>
          </w:tcPr>
          <w:p>
            <w:pPr>
              <w:pStyle w:val="BPTable"/>
            </w:pPr>
            <w:r>
              <w:rPr>
                <w:b/>
              </w:rPr>
              <w:t>后续可形成的证据</w:t>
            </w:r>
          </w:p>
        </w:tc>
      </w:tr>
      <w:tr>
        <w:trPr>
          <w:cantSplit/>
        </w:trPr>
        <w:tc>
          <w:tcPr>
            <w:tcW w:type="dxa" w:w="2324"/>
            <w:vAlign w:val="center"/>
          </w:tcPr>
          <w:p>
            <w:pPr>
              <w:pStyle w:val="BPTable"/>
            </w:pPr>
            <w:r>
              <w:t>软件工程与AI应用</w:t>
            </w:r>
          </w:p>
        </w:tc>
        <w:tc>
          <w:tcPr>
            <w:tcW w:type="dxa" w:w="3288"/>
            <w:vAlign w:val="center"/>
          </w:tcPr>
          <w:p>
            <w:pPr>
              <w:pStyle w:val="BPTable"/>
            </w:pPr>
            <w:r>
              <w:t>需求、接口、测试、模型输出校验和迭代</w:t>
            </w:r>
          </w:p>
        </w:tc>
        <w:tc>
          <w:tcPr>
            <w:tcW w:type="dxa" w:w="3231"/>
            <w:vAlign w:val="center"/>
          </w:tcPr>
          <w:p>
            <w:pPr>
              <w:pStyle w:val="BPTable"/>
            </w:pPr>
            <w:r>
              <w:t>代码与评审记录、缺陷闭环、版本演示</w:t>
            </w:r>
          </w:p>
        </w:tc>
      </w:tr>
      <w:tr>
        <w:trPr>
          <w:cantSplit/>
        </w:trPr>
        <w:tc>
          <w:tcPr>
            <w:tcW w:type="dxa" w:w="2324"/>
            <w:vAlign w:val="center"/>
            <w:shd w:fill="F6F7F6"/>
          </w:tcPr>
          <w:p>
            <w:pPr>
              <w:pStyle w:val="BPTable"/>
            </w:pPr>
            <w:r>
              <w:t>教育场景理解</w:t>
            </w:r>
          </w:p>
        </w:tc>
        <w:tc>
          <w:tcPr>
            <w:tcW w:type="dxa" w:w="3288"/>
            <w:vAlign w:val="center"/>
            <w:shd w:fill="F6F7F6"/>
          </w:tcPr>
          <w:p>
            <w:pPr>
              <w:pStyle w:val="BPTable"/>
            </w:pPr>
            <w:r>
              <w:t>把教师认可的错误与知识点映射为提示</w:t>
            </w:r>
          </w:p>
        </w:tc>
        <w:tc>
          <w:tcPr>
            <w:tcW w:type="dxa" w:w="3231"/>
            <w:vAlign w:val="center"/>
            <w:shd w:fill="F6F7F6"/>
          </w:tcPr>
          <w:p>
            <w:pPr>
              <w:pStyle w:val="BPTable"/>
            </w:pPr>
            <w:r>
              <w:t>经复核题目、提示规范、教师修改意见</w:t>
            </w:r>
          </w:p>
        </w:tc>
      </w:tr>
      <w:tr>
        <w:trPr>
          <w:cantSplit/>
        </w:trPr>
        <w:tc>
          <w:tcPr>
            <w:tcW w:type="dxa" w:w="2324"/>
            <w:vAlign w:val="center"/>
          </w:tcPr>
          <w:p>
            <w:pPr>
              <w:pStyle w:val="BPTable"/>
            </w:pPr>
            <w:r>
              <w:t>创业与商业调研</w:t>
            </w:r>
          </w:p>
        </w:tc>
        <w:tc>
          <w:tcPr>
            <w:tcW w:type="dxa" w:w="3288"/>
            <w:vAlign w:val="center"/>
          </w:tcPr>
          <w:p>
            <w:pPr>
              <w:pStyle w:val="BPTable"/>
            </w:pPr>
            <w:r>
              <w:t>识别用户和付费方，估算成本，验证价格</w:t>
            </w:r>
          </w:p>
        </w:tc>
        <w:tc>
          <w:tcPr>
            <w:tcW w:type="dxa" w:w="3231"/>
            <w:vAlign w:val="center"/>
          </w:tcPr>
          <w:p>
            <w:pPr>
              <w:pStyle w:val="BPTable"/>
            </w:pPr>
            <w:r>
              <w:t>访谈、成本日志、采购路径和服务验收记录</w:t>
            </w:r>
          </w:p>
        </w:tc>
      </w:tr>
      <w:tr>
        <w:trPr>
          <w:cantSplit/>
        </w:trPr>
        <w:tc>
          <w:tcPr>
            <w:tcW w:type="dxa" w:w="2324"/>
            <w:vAlign w:val="center"/>
            <w:shd w:fill="F6F7F6"/>
          </w:tcPr>
          <w:p>
            <w:pPr>
              <w:pStyle w:val="BPTable"/>
            </w:pPr>
            <w:r>
              <w:t>协作与项目管理</w:t>
            </w:r>
          </w:p>
        </w:tc>
        <w:tc>
          <w:tcPr>
            <w:tcW w:type="dxa" w:w="3288"/>
            <w:vAlign w:val="center"/>
            <w:shd w:fill="F6F7F6"/>
          </w:tcPr>
          <w:p>
            <w:pPr>
              <w:pStyle w:val="BPTable"/>
            </w:pPr>
            <w:r>
              <w:t>按分工交付并交叉复核</w:t>
            </w:r>
          </w:p>
        </w:tc>
        <w:tc>
          <w:tcPr>
            <w:tcW w:type="dxa" w:w="3231"/>
            <w:vAlign w:val="center"/>
            <w:shd w:fill="F6F7F6"/>
          </w:tcPr>
          <w:p>
            <w:pPr>
              <w:pStyle w:val="BPTable"/>
            </w:pPr>
            <w:r>
              <w:t>任务板、会议纪要和阶段验收</w:t>
            </w:r>
          </w:p>
        </w:tc>
      </w:tr>
    </w:tbl>
    <w:p>
      <w:pPr>
        <w:pStyle w:val="BPSource"/>
      </w:pPr>
      <w:r>
        <w:t>来源：项目组方案设计。</w:t>
      </w:r>
    </w:p>
    <w:p>
      <w:pPr>
        <w:pStyle w:val="BPBody"/>
      </w:pPr>
      <w:r>
        <w:t>社会效益拟体现在可复用的课程纠错实践和更易获得的学习帮助。是否面向更多学校推广，取决于试点效果、使用成本和交付能力。未来可能形成课程适配、教师支持与系统维护等服务岗位，但目前没有实际新增就业人数，也没有经验证的区域推广效果。</w:t>
      </w:r>
    </w:p>
    <w:p>
      <w:pPr>
        <w:pStyle w:val="BPH1"/>
        <w:pageBreakBefore/>
      </w:pPr>
      <w:r>
        <w:t>13 实施计划与阶段目标</w:t>
      </w:r>
    </w:p>
    <w:p>
      <w:pPr>
        <w:pStyle w:val="BPBody"/>
      </w:pPr>
      <w:r>
        <w:t>以2026年10月23日为材料基准日，优先按学院提交时点10月25日20:00准备（任务书提供）。本校2026年10月21日通知明确10月29日前推荐、11月2日校赛；区赛通知列10月30日前完成校赛，须由学校核实区赛报送衔接。区赛现场路演不超过5分钟、答辩3分钟，主体讲稿按5分钟以内安排。[S01][O01]</w:t>
      </w:r>
    </w:p>
    <w:p>
      <w:pPr>
        <w:pStyle w:val="BPCaption"/>
      </w:pPr>
      <w:r>
        <w:t>表13 近期与后续里程碑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098"/>
        <w:gridCol w:w="3345"/>
        <w:gridCol w:w="3402"/>
      </w:tblGrid>
      <w:tr>
        <w:trPr>
          <w:cantSplit/>
          <w:tblHeader/>
        </w:trPr>
        <w:tc>
          <w:tcPr>
            <w:tcW w:type="dxa" w:w="2098"/>
            <w:vAlign w:val="center"/>
            <w:shd w:fill="E8ECE9"/>
          </w:tcPr>
          <w:p>
            <w:pPr>
              <w:pStyle w:val="BPTable"/>
            </w:pPr>
            <w:r>
              <w:rPr>
                <w:b/>
              </w:rPr>
              <w:t>阶段</w:t>
            </w:r>
          </w:p>
        </w:tc>
        <w:tc>
          <w:tcPr>
            <w:tcW w:type="dxa" w:w="3345"/>
            <w:vAlign w:val="center"/>
            <w:shd w:fill="E8ECE9"/>
          </w:tcPr>
          <w:p>
            <w:pPr>
              <w:pStyle w:val="BPTable"/>
            </w:pPr>
            <w:r>
              <w:rPr>
                <w:b/>
              </w:rPr>
              <w:t>计划工作</w:t>
            </w:r>
          </w:p>
        </w:tc>
        <w:tc>
          <w:tcPr>
            <w:tcW w:type="dxa" w:w="3402"/>
            <w:vAlign w:val="center"/>
            <w:shd w:fill="E8ECE9"/>
          </w:tcPr>
          <w:p>
            <w:pPr>
              <w:pStyle w:val="BPTable"/>
            </w:pPr>
            <w:r>
              <w:rPr>
                <w:b/>
              </w:rPr>
              <w:t>验收或退出条件</w:t>
            </w:r>
          </w:p>
        </w:tc>
      </w:tr>
      <w:tr>
        <w:trPr>
          <w:cantSplit/>
        </w:trPr>
        <w:tc>
          <w:tcPr>
            <w:tcW w:type="dxa" w:w="2098"/>
            <w:vAlign w:val="center"/>
          </w:tcPr>
          <w:p>
            <w:pPr>
              <w:pStyle w:val="BPTable"/>
            </w:pPr>
            <w:r>
              <w:t>提交前 至10月25日</w:t>
            </w:r>
          </w:p>
        </w:tc>
        <w:tc>
          <w:tcPr>
            <w:tcW w:type="dxa" w:w="3345"/>
            <w:vAlign w:val="center"/>
          </w:tcPr>
          <w:p>
            <w:pPr>
              <w:pStyle w:val="BPTable"/>
            </w:pPr>
            <w:r>
              <w:t>核校官方版本、补全学籍与导师信息、整理证明、查重、签章和排练</w:t>
            </w:r>
          </w:p>
        </w:tc>
        <w:tc>
          <w:tcPr>
            <w:tcW w:type="dxa" w:w="3402"/>
            <w:vAlign w:val="center"/>
          </w:tcPr>
          <w:p>
            <w:pPr>
              <w:pStyle w:val="BPTable"/>
            </w:pPr>
            <w:r>
              <w:t>字段齐全、事实有依据；未完成项列明；按学院渠道提交</w:t>
            </w:r>
          </w:p>
        </w:tc>
      </w:tr>
      <w:tr>
        <w:trPr>
          <w:cantSplit/>
        </w:trPr>
        <w:tc>
          <w:tcPr>
            <w:tcW w:type="dxa" w:w="2098"/>
            <w:vAlign w:val="center"/>
            <w:shd w:fill="F6F7F6"/>
          </w:tcPr>
          <w:p>
            <w:pPr>
              <w:pStyle w:val="BPTable"/>
            </w:pPr>
            <w:r>
              <w:t>提交后第1至2周</w:t>
            </w:r>
          </w:p>
        </w:tc>
        <w:tc>
          <w:tcPr>
            <w:tcW w:type="dxa" w:w="3345"/>
            <w:vAlign w:val="center"/>
            <w:shd w:fill="F6F7F6"/>
          </w:tcPr>
          <w:p>
            <w:pPr>
              <w:pStyle w:val="BPTable"/>
            </w:pPr>
            <w:r>
              <w:t>完成访谈、选择题目并建立离线参考集</w:t>
            </w:r>
          </w:p>
        </w:tc>
        <w:tc>
          <w:tcPr>
            <w:tcW w:type="dxa" w:w="3402"/>
            <w:vAlign w:val="center"/>
            <w:shd w:fill="F6F7F6"/>
          </w:tcPr>
          <w:p>
            <w:pPr>
              <w:pStyle w:val="BPTable"/>
            </w:pPr>
            <w:r>
              <w:t>有教师参与意愿；题目、参考解与错误标签经复核</w:t>
            </w:r>
          </w:p>
        </w:tc>
      </w:tr>
      <w:tr>
        <w:trPr>
          <w:cantSplit/>
        </w:trPr>
        <w:tc>
          <w:tcPr>
            <w:tcW w:type="dxa" w:w="2098"/>
            <w:vAlign w:val="center"/>
          </w:tcPr>
          <w:p>
            <w:pPr>
              <w:pStyle w:val="BPTable"/>
            </w:pPr>
            <w:r>
              <w:t>第3至4周</w:t>
            </w:r>
          </w:p>
        </w:tc>
        <w:tc>
          <w:tcPr>
            <w:tcW w:type="dxa" w:w="3345"/>
            <w:vAlign w:val="center"/>
          </w:tcPr>
          <w:p>
            <w:pPr>
              <w:pStyle w:val="BPTable"/>
            </w:pPr>
            <w:r>
              <w:t>实现编辑、受限评测、结构化诊断、三级提示与记录</w:t>
            </w:r>
          </w:p>
        </w:tc>
        <w:tc>
          <w:tcPr>
            <w:tcW w:type="dxa" w:w="3402"/>
            <w:vAlign w:val="center"/>
          </w:tcPr>
          <w:p>
            <w:pPr>
              <w:pStyle w:val="BPTable"/>
            </w:pPr>
            <w:r>
              <w:t>关键路径可复现；安全和异常处理检查通过</w:t>
            </w:r>
          </w:p>
        </w:tc>
      </w:tr>
      <w:tr>
        <w:trPr>
          <w:cantSplit/>
        </w:trPr>
        <w:tc>
          <w:tcPr>
            <w:tcW w:type="dxa" w:w="2098"/>
            <w:vAlign w:val="center"/>
            <w:shd w:fill="F6F7F6"/>
          </w:tcPr>
          <w:p>
            <w:pPr>
              <w:pStyle w:val="BPTable"/>
            </w:pPr>
            <w:r>
              <w:t>第5至6周</w:t>
            </w:r>
          </w:p>
        </w:tc>
        <w:tc>
          <w:tcPr>
            <w:tcW w:type="dxa" w:w="3345"/>
            <w:vAlign w:val="center"/>
            <w:shd w:fill="F6F7F6"/>
          </w:tcPr>
          <w:p>
            <w:pPr>
              <w:pStyle w:val="BPTable"/>
            </w:pPr>
            <w:r>
              <w:t>开展经授权的小规模试点并复核提示</w:t>
            </w:r>
          </w:p>
        </w:tc>
        <w:tc>
          <w:tcPr>
            <w:tcW w:type="dxa" w:w="3402"/>
            <w:vAlign w:val="center"/>
            <w:shd w:fill="F6F7F6"/>
          </w:tcPr>
          <w:p>
            <w:pPr>
              <w:pStyle w:val="BPTable"/>
            </w:pPr>
            <w:r>
              <w:t>记录原始数据与教师意见；未满足条件则延后试点</w:t>
            </w:r>
          </w:p>
        </w:tc>
      </w:tr>
      <w:tr>
        <w:trPr>
          <w:cantSplit/>
        </w:trPr>
        <w:tc>
          <w:tcPr>
            <w:tcW w:type="dxa" w:w="2098"/>
            <w:vAlign w:val="center"/>
          </w:tcPr>
          <w:p>
            <w:pPr>
              <w:pStyle w:val="BPTable"/>
            </w:pPr>
            <w:r>
              <w:t>第7至8周</w:t>
            </w:r>
          </w:p>
        </w:tc>
        <w:tc>
          <w:tcPr>
            <w:tcW w:type="dxa" w:w="3345"/>
            <w:vAlign w:val="center"/>
          </w:tcPr>
          <w:p>
            <w:pPr>
              <w:pStyle w:val="BPTable"/>
            </w:pPr>
            <w:r>
              <w:t>分析使用价值、工时和付费条件，形成服务包</w:t>
            </w:r>
          </w:p>
        </w:tc>
        <w:tc>
          <w:tcPr>
            <w:tcW w:type="dxa" w:w="3402"/>
            <w:vAlign w:val="center"/>
          </w:tcPr>
          <w:p>
            <w:pPr>
              <w:pStyle w:val="BPTable"/>
            </w:pPr>
            <w:r>
              <w:t>教师认可且具备资源和采购路径再讨论付费</w:t>
            </w:r>
          </w:p>
        </w:tc>
      </w:tr>
    </w:tbl>
    <w:p>
      <w:pPr>
        <w:pStyle w:val="BPSource"/>
      </w:pPr>
      <w:r>
        <w:t>来源：项目组方案设计。</w:t>
      </w:r>
    </w:p>
    <w:p>
      <w:pPr>
        <w:pStyle w:val="BPBody"/>
      </w:pPr>
      <w:r>
        <w:t>建议先建立不少于30个经人工标注的错误或正确样例，覆盖编译失败、边界错误、逻辑错误及证据不足等情况。该数量为内部测试目标，不是已有测试成果。资源隔离测试需覆盖超时、内存占用、进程、文件与网络访问；未通过前不开放真实学生代码执行。</w:t>
      </w:r>
    </w:p>
    <w:p>
      <w:pPr>
        <w:pStyle w:val="BPBody"/>
      </w:pPr>
      <w:r>
        <w:t>每一阶段均需保留版本、测试条件、负责人、原始日志及复核结论。出现关键安全缺陷、持续错误引导或缺少课程合作条件时，先停止对应试点功能并修改方案，不以完成时间表代替质量验收。</w:t>
      </w:r>
    </w:p>
    <w:p>
      <w:pPr>
        <w:pStyle w:val="BPH1"/>
        <w:pageBreakBefore/>
      </w:pPr>
      <w:r>
        <w:t>14 风险识别及应对</w:t>
      </w:r>
    </w:p>
    <w:p>
      <w:pPr>
        <w:pStyle w:val="BPCaption"/>
      </w:pPr>
      <w:r>
        <w:t>表14 主要风险与应对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098"/>
        <w:gridCol w:w="2721"/>
        <w:gridCol w:w="4025"/>
      </w:tblGrid>
      <w:tr>
        <w:trPr>
          <w:cantSplit/>
          <w:tblHeader/>
        </w:trPr>
        <w:tc>
          <w:tcPr>
            <w:tcW w:type="dxa" w:w="2098"/>
            <w:vAlign w:val="center"/>
            <w:shd w:fill="E8ECE9"/>
          </w:tcPr>
          <w:p>
            <w:pPr>
              <w:pStyle w:val="BPTable"/>
            </w:pPr>
            <w:r>
              <w:rPr>
                <w:b/>
              </w:rPr>
              <w:t>风险</w:t>
            </w:r>
          </w:p>
        </w:tc>
        <w:tc>
          <w:tcPr>
            <w:tcW w:type="dxa" w:w="2721"/>
            <w:vAlign w:val="center"/>
            <w:shd w:fill="E8ECE9"/>
          </w:tcPr>
          <w:p>
            <w:pPr>
              <w:pStyle w:val="BPTable"/>
            </w:pPr>
            <w:r>
              <w:rPr>
                <w:b/>
              </w:rPr>
              <w:t>可能影响</w:t>
            </w:r>
          </w:p>
        </w:tc>
        <w:tc>
          <w:tcPr>
            <w:tcW w:type="dxa" w:w="4025"/>
            <w:vAlign w:val="center"/>
            <w:shd w:fill="E8ECE9"/>
          </w:tcPr>
          <w:p>
            <w:pPr>
              <w:pStyle w:val="BPTable"/>
            </w:pPr>
            <w:r>
              <w:rPr>
                <w:b/>
              </w:rPr>
              <w:t>拟采用的控制与触发条件</w:t>
            </w:r>
          </w:p>
        </w:tc>
      </w:tr>
      <w:tr>
        <w:trPr>
          <w:cantSplit/>
        </w:trPr>
        <w:tc>
          <w:tcPr>
            <w:tcW w:type="dxa" w:w="2098"/>
            <w:vAlign w:val="center"/>
          </w:tcPr>
          <w:p>
            <w:pPr>
              <w:pStyle w:val="BPTable"/>
            </w:pPr>
            <w:r>
              <w:t>需求或付费不足</w:t>
            </w:r>
          </w:p>
        </w:tc>
        <w:tc>
          <w:tcPr>
            <w:tcW w:type="dxa" w:w="2721"/>
            <w:vAlign w:val="center"/>
          </w:tcPr>
          <w:p>
            <w:pPr>
              <w:pStyle w:val="BPTable"/>
            </w:pPr>
            <w:r>
              <w:t>用户感兴趣但不持续使用，采购无法推进</w:t>
            </w:r>
          </w:p>
        </w:tc>
        <w:tc>
          <w:tcPr>
            <w:tcW w:type="dxa" w:w="4025"/>
            <w:vAlign w:val="center"/>
          </w:tcPr>
          <w:p>
            <w:pPr>
              <w:pStyle w:val="BPTable"/>
            </w:pPr>
            <w:r>
              <w:t>访谈区分兴趣、试用、付费；未找到课程教师则暂缓扩大研发</w:t>
            </w:r>
          </w:p>
        </w:tc>
      </w:tr>
      <w:tr>
        <w:trPr>
          <w:cantSplit/>
        </w:trPr>
        <w:tc>
          <w:tcPr>
            <w:tcW w:type="dxa" w:w="2098"/>
            <w:vAlign w:val="center"/>
            <w:shd w:fill="F6F7F6"/>
          </w:tcPr>
          <w:p>
            <w:pPr>
              <w:pStyle w:val="BPTable"/>
            </w:pPr>
            <w:r>
              <w:t>AI误诊与答案泄露</w:t>
            </w:r>
          </w:p>
        </w:tc>
        <w:tc>
          <w:tcPr>
            <w:tcW w:type="dxa" w:w="2721"/>
            <w:vAlign w:val="center"/>
            <w:shd w:fill="F6F7F6"/>
          </w:tcPr>
          <w:p>
            <w:pPr>
              <w:pStyle w:val="BPTable"/>
            </w:pPr>
            <w:r>
              <w:t>错误引导学生，削弱自主分析</w:t>
            </w:r>
          </w:p>
        </w:tc>
        <w:tc>
          <w:tcPr>
            <w:tcW w:type="dxa" w:w="4025"/>
            <w:vAlign w:val="center"/>
            <w:shd w:fill="F6F7F6"/>
          </w:tcPr>
          <w:p>
            <w:pPr>
              <w:pStyle w:val="BPTable"/>
            </w:pPr>
            <w:r>
              <w:t>证据引用、结构校验、教师复核、三级提示；不确定时回退原始结果</w:t>
            </w:r>
          </w:p>
        </w:tc>
      </w:tr>
      <w:tr>
        <w:trPr>
          <w:cantSplit/>
        </w:trPr>
        <w:tc>
          <w:tcPr>
            <w:tcW w:type="dxa" w:w="2098"/>
            <w:vAlign w:val="center"/>
          </w:tcPr>
          <w:p>
            <w:pPr>
              <w:pStyle w:val="BPTable"/>
            </w:pPr>
            <w:r>
              <w:t>评测隔离失效</w:t>
            </w:r>
          </w:p>
        </w:tc>
        <w:tc>
          <w:tcPr>
            <w:tcW w:type="dxa" w:w="2721"/>
            <w:vAlign w:val="center"/>
          </w:tcPr>
          <w:p>
            <w:pPr>
              <w:pStyle w:val="BPTable"/>
            </w:pPr>
            <w:r>
              <w:t>不可信代码影响服务或数据</w:t>
            </w:r>
          </w:p>
        </w:tc>
        <w:tc>
          <w:tcPr>
            <w:tcW w:type="dxa" w:w="4025"/>
            <w:vAlign w:val="center"/>
          </w:tcPr>
          <w:p>
            <w:pPr>
              <w:pStyle w:val="BPTable"/>
            </w:pPr>
            <w:r>
              <w:t>独立工作器、权限与资源限制、安全测试；未验收不开放执行</w:t>
            </w:r>
          </w:p>
        </w:tc>
      </w:tr>
      <w:tr>
        <w:trPr>
          <w:cantSplit/>
        </w:trPr>
        <w:tc>
          <w:tcPr>
            <w:tcW w:type="dxa" w:w="2098"/>
            <w:vAlign w:val="center"/>
            <w:shd w:fill="F6F7F6"/>
          </w:tcPr>
          <w:p>
            <w:pPr>
              <w:pStyle w:val="BPTable"/>
            </w:pPr>
            <w:r>
              <w:t>数据与授权边界不清</w:t>
            </w:r>
          </w:p>
        </w:tc>
        <w:tc>
          <w:tcPr>
            <w:tcW w:type="dxa" w:w="2721"/>
            <w:vAlign w:val="center"/>
            <w:shd w:fill="F6F7F6"/>
          </w:tcPr>
          <w:p>
            <w:pPr>
              <w:pStyle w:val="BPTable"/>
            </w:pPr>
            <w:r>
              <w:t>代码或学生过程数据被不当使用</w:t>
            </w:r>
          </w:p>
        </w:tc>
        <w:tc>
          <w:tcPr>
            <w:tcW w:type="dxa" w:w="4025"/>
            <w:vAlign w:val="center"/>
            <w:shd w:fill="F6F7F6"/>
          </w:tcPr>
          <w:p>
            <w:pPr>
              <w:pStyle w:val="BPTable"/>
            </w:pPr>
            <w:r>
              <w:t>课程授权、最少数据、访问控制、去标识化；外部模型仅发送必要内容</w:t>
            </w:r>
          </w:p>
        </w:tc>
      </w:tr>
      <w:tr>
        <w:trPr>
          <w:cantSplit/>
        </w:trPr>
        <w:tc>
          <w:tcPr>
            <w:tcW w:type="dxa" w:w="2098"/>
            <w:vAlign w:val="center"/>
          </w:tcPr>
          <w:p>
            <w:pPr>
              <w:pStyle w:val="BPTable"/>
            </w:pPr>
            <w:r>
              <w:t>交付成本被低估</w:t>
            </w:r>
          </w:p>
        </w:tc>
        <w:tc>
          <w:tcPr>
            <w:tcW w:type="dxa" w:w="2721"/>
            <w:vAlign w:val="center"/>
          </w:tcPr>
          <w:p>
            <w:pPr>
              <w:pStyle w:val="BPTable"/>
            </w:pPr>
            <w:r>
              <w:t>支持与适配工时消耗贡献</w:t>
            </w:r>
          </w:p>
        </w:tc>
        <w:tc>
          <w:tcPr>
            <w:tcW w:type="dxa" w:w="4025"/>
            <w:vAlign w:val="center"/>
          </w:tcPr>
          <w:p>
            <w:pPr>
              <w:pStyle w:val="BPTable"/>
            </w:pPr>
            <w:r>
              <w:t>工时与调用日志、服务上限、超量重估；按实际成本修正定价</w:t>
            </w:r>
          </w:p>
        </w:tc>
      </w:tr>
      <w:tr>
        <w:trPr>
          <w:cantSplit/>
        </w:trPr>
        <w:tc>
          <w:tcPr>
            <w:tcW w:type="dxa" w:w="2098"/>
            <w:vAlign w:val="center"/>
            <w:shd w:fill="F6F7F6"/>
          </w:tcPr>
          <w:p>
            <w:pPr>
              <w:pStyle w:val="BPTable"/>
            </w:pPr>
            <w:r>
              <w:t>团队与资源不足</w:t>
            </w:r>
          </w:p>
        </w:tc>
        <w:tc>
          <w:tcPr>
            <w:tcW w:type="dxa" w:w="2721"/>
            <w:vAlign w:val="center"/>
            <w:shd w:fill="F6F7F6"/>
          </w:tcPr>
          <w:p>
            <w:pPr>
              <w:pStyle w:val="BPTable"/>
            </w:pPr>
            <w:r>
              <w:t>里程碑延期，维护难以持续</w:t>
            </w:r>
          </w:p>
        </w:tc>
        <w:tc>
          <w:tcPr>
            <w:tcW w:type="dxa" w:w="4025"/>
            <w:vAlign w:val="center"/>
            <w:shd w:fill="F6F7F6"/>
          </w:tcPr>
          <w:p>
            <w:pPr>
              <w:pStyle w:val="BPTable"/>
            </w:pPr>
            <w:r>
              <w:t>小范围闭环、明确责任与备份人员；指导教师及设备先核实</w:t>
            </w:r>
          </w:p>
        </w:tc>
      </w:tr>
      <w:tr>
        <w:trPr>
          <w:cantSplit/>
        </w:trPr>
        <w:tc>
          <w:tcPr>
            <w:tcW w:type="dxa" w:w="2098"/>
            <w:vAlign w:val="center"/>
          </w:tcPr>
          <w:p>
            <w:pPr>
              <w:pStyle w:val="BPTable"/>
            </w:pPr>
            <w:r>
              <w:t>同类产品迭代</w:t>
            </w:r>
          </w:p>
        </w:tc>
        <w:tc>
          <w:tcPr>
            <w:tcW w:type="dxa" w:w="2721"/>
            <w:vAlign w:val="center"/>
          </w:tcPr>
          <w:p>
            <w:pPr>
              <w:pStyle w:val="BPTable"/>
            </w:pPr>
            <w:r>
              <w:t>差异减少，续费理由不足</w:t>
            </w:r>
          </w:p>
        </w:tc>
        <w:tc>
          <w:tcPr>
            <w:tcW w:type="dxa" w:w="4025"/>
            <w:vAlign w:val="center"/>
          </w:tcPr>
          <w:p>
            <w:pPr>
              <w:pStyle w:val="BPTable"/>
            </w:pPr>
            <w:r>
              <w:t>定期复核竞品；以课程价值验证决定集成、调整或停止</w:t>
            </w:r>
          </w:p>
        </w:tc>
      </w:tr>
    </w:tbl>
    <w:p>
      <w:pPr>
        <w:pStyle w:val="BPSource"/>
      </w:pPr>
      <w:r>
        <w:t>来源：项目组方案设计。</w:t>
      </w:r>
    </w:p>
    <w:p>
      <w:pPr>
        <w:pStyle w:val="BPBody"/>
      </w:pPr>
      <w:r>
        <w:t>诊断结果应保留“证据不足”状态，评测通过也只说明已配置测试通过。提示依赖程度不能直接推断学生能力，教师报告应允许回看具体提交。数据保留周期、访问权限和退出后的删除安排应在试点前由课程单位确认，不能由模型代替学校作出授权判断。</w:t>
      </w:r>
    </w:p>
    <w:p>
      <w:pPr>
        <w:pStyle w:val="BPBody"/>
      </w:pPr>
      <w:r>
        <w:t>商业风险优先通过验证服务是否值得使用和购买来降低；技术风险优先通过缩小范围、真实测试和人工复核控制。项目尚无经营记录，因此不以乐观收入预测抵消风险。</w:t>
      </w:r>
    </w:p>
    <w:p>
      <w:pPr>
        <w:pStyle w:val="BPH1"/>
        <w:pageBreakBefore/>
      </w:pPr>
      <w:r>
        <w:t>15 已有成果与后续验证计划</w:t>
      </w:r>
    </w:p>
    <w:p>
      <w:pPr>
        <w:pStyle w:val="BPCaption"/>
      </w:pPr>
      <w:r>
        <w:t>表15 成果与证据状态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041"/>
        <w:gridCol w:w="3458"/>
        <w:gridCol w:w="3345"/>
      </w:tblGrid>
      <w:tr>
        <w:trPr>
          <w:cantSplit/>
          <w:tblHeader/>
        </w:trPr>
        <w:tc>
          <w:tcPr>
            <w:tcW w:type="dxa" w:w="2041"/>
            <w:vAlign w:val="center"/>
            <w:shd w:fill="E8ECE9"/>
          </w:tcPr>
          <w:p>
            <w:pPr>
              <w:pStyle w:val="BPTable"/>
            </w:pPr>
            <w:r>
              <w:rPr>
                <w:b/>
              </w:rPr>
              <w:t>状态</w:t>
            </w:r>
          </w:p>
        </w:tc>
        <w:tc>
          <w:tcPr>
            <w:tcW w:type="dxa" w:w="3458"/>
            <w:vAlign w:val="center"/>
            <w:shd w:fill="E8ECE9"/>
          </w:tcPr>
          <w:p>
            <w:pPr>
              <w:pStyle w:val="BPTable"/>
            </w:pPr>
            <w:r>
              <w:rPr>
                <w:b/>
              </w:rPr>
              <w:t>当前可说明的内容</w:t>
            </w:r>
          </w:p>
        </w:tc>
        <w:tc>
          <w:tcPr>
            <w:tcW w:type="dxa" w:w="3345"/>
            <w:vAlign w:val="center"/>
            <w:shd w:fill="E8ECE9"/>
          </w:tcPr>
          <w:p>
            <w:pPr>
              <w:pStyle w:val="BPTable"/>
            </w:pPr>
            <w:r>
              <w:rPr>
                <w:b/>
              </w:rPr>
              <w:t>证据或补充动作</w:t>
            </w:r>
          </w:p>
        </w:tc>
      </w:tr>
      <w:tr>
        <w:trPr>
          <w:cantSplit/>
        </w:trPr>
        <w:tc>
          <w:tcPr>
            <w:tcW w:type="dxa" w:w="2041"/>
            <w:vAlign w:val="center"/>
          </w:tcPr>
          <w:p>
            <w:pPr>
              <w:pStyle w:val="BPTable"/>
            </w:pPr>
            <w:r>
              <w:t>已完成 本轮材料</w:t>
            </w:r>
          </w:p>
        </w:tc>
        <w:tc>
          <w:tcPr>
            <w:tcW w:type="dxa" w:w="3458"/>
            <w:vAlign w:val="center"/>
          </w:tcPr>
          <w:p>
            <w:pPr>
              <w:pStyle w:val="BPTable"/>
            </w:pPr>
            <w:r>
              <w:t>项目定位、产品与技术方案、竞品公开资料核查、财务假设及申报文本</w:t>
            </w:r>
          </w:p>
        </w:tc>
        <w:tc>
          <w:tcPr>
            <w:tcW w:type="dxa" w:w="3345"/>
            <w:vAlign w:val="center"/>
          </w:tcPr>
          <w:p>
            <w:pPr>
              <w:pStyle w:val="BPTable"/>
            </w:pPr>
            <w:r>
              <w:t>保留本版材料、公开来源及版本记录；属于文案与方案成果</w:t>
            </w:r>
          </w:p>
        </w:tc>
      </w:tr>
      <w:tr>
        <w:trPr>
          <w:cantSplit/>
        </w:trPr>
        <w:tc>
          <w:tcPr>
            <w:tcW w:type="dxa" w:w="2041"/>
            <w:vAlign w:val="center"/>
            <w:shd w:fill="F6F7F6"/>
          </w:tcPr>
          <w:p>
            <w:pPr>
              <w:pStyle w:val="BPTable"/>
            </w:pPr>
            <w:r>
              <w:t>团队已确认</w:t>
            </w:r>
          </w:p>
        </w:tc>
        <w:tc>
          <w:tcPr>
            <w:tcW w:type="dxa" w:w="3458"/>
            <w:vAlign w:val="center"/>
            <w:shd w:fill="F6F7F6"/>
          </w:tcPr>
          <w:p>
            <w:pPr>
              <w:pStyle w:val="BPTable"/>
            </w:pPr>
            <w:r>
              <w:t>ZERO团队及4名成员姓名；负责人专业、班级、年级</w:t>
            </w:r>
          </w:p>
        </w:tc>
        <w:tc>
          <w:tcPr>
            <w:tcW w:type="dxa" w:w="3345"/>
            <w:vAlign w:val="center"/>
            <w:shd w:fill="F6F7F6"/>
          </w:tcPr>
          <w:p>
            <w:pPr>
              <w:pStyle w:val="BPTable"/>
            </w:pPr>
            <w:r>
              <w:t>负责人本次确认；学籍、联系方式与分工执行仍需核实</w:t>
            </w:r>
          </w:p>
        </w:tc>
      </w:tr>
      <w:tr>
        <w:trPr>
          <w:cantSplit/>
        </w:trPr>
        <w:tc>
          <w:tcPr>
            <w:tcW w:type="dxa" w:w="2041"/>
            <w:vAlign w:val="center"/>
          </w:tcPr>
          <w:p>
            <w:pPr>
              <w:pStyle w:val="BPTable"/>
            </w:pPr>
            <w:r>
              <w:t>开展程度待核实</w:t>
            </w:r>
          </w:p>
        </w:tc>
        <w:tc>
          <w:tcPr>
            <w:tcW w:type="dxa" w:w="3458"/>
            <w:vAlign w:val="center"/>
          </w:tcPr>
          <w:p>
            <w:pPr>
              <w:pStyle w:val="BPTable"/>
            </w:pPr>
            <w:r>
              <w:t>任务书描述为立项与初步技术验证阶段</w:t>
            </w:r>
          </w:p>
        </w:tc>
        <w:tc>
          <w:tcPr>
            <w:tcW w:type="dxa" w:w="3345"/>
            <w:vAlign w:val="center"/>
          </w:tcPr>
          <w:p>
            <w:pPr>
              <w:pStyle w:val="BPTable"/>
            </w:pPr>
            <w:r>
              <w:t>补充现有源码、运行记录和测试条件后再确认研发状态</w:t>
            </w:r>
          </w:p>
        </w:tc>
      </w:tr>
      <w:tr>
        <w:trPr>
          <w:cantSplit/>
        </w:trPr>
        <w:tc>
          <w:tcPr>
            <w:tcW w:type="dxa" w:w="2041"/>
            <w:vAlign w:val="center"/>
            <w:shd w:fill="F6F7F6"/>
          </w:tcPr>
          <w:p>
            <w:pPr>
              <w:pStyle w:val="BPTable"/>
            </w:pPr>
            <w:r>
              <w:t>计划开展</w:t>
            </w:r>
          </w:p>
        </w:tc>
        <w:tc>
          <w:tcPr>
            <w:tcW w:type="dxa" w:w="3458"/>
            <w:vAlign w:val="center"/>
            <w:shd w:fill="F6F7F6"/>
          </w:tcPr>
          <w:p>
            <w:pPr>
              <w:pStyle w:val="BPTable"/>
            </w:pPr>
            <w:r>
              <w:t>访谈、最小可用闭环、隔离测试、课程试点和付费探索</w:t>
            </w:r>
          </w:p>
        </w:tc>
        <w:tc>
          <w:tcPr>
            <w:tcW w:type="dxa" w:w="3345"/>
            <w:vAlign w:val="center"/>
            <w:shd w:fill="F6F7F6"/>
          </w:tcPr>
          <w:p>
            <w:pPr>
              <w:pStyle w:val="BPTable"/>
            </w:pPr>
            <w:r>
              <w:t>依次通过教师参与、质量与资源条件后执行</w:t>
            </w:r>
          </w:p>
        </w:tc>
      </w:tr>
      <w:tr>
        <w:trPr>
          <w:cantSplit/>
        </w:trPr>
        <w:tc>
          <w:tcPr>
            <w:tcW w:type="dxa" w:w="2041"/>
            <w:vAlign w:val="center"/>
          </w:tcPr>
          <w:p>
            <w:pPr>
              <w:pStyle w:val="BPTable"/>
            </w:pPr>
            <w:r>
              <w:t>尚无可用佐证</w:t>
            </w:r>
          </w:p>
        </w:tc>
        <w:tc>
          <w:tcPr>
            <w:tcW w:type="dxa" w:w="3458"/>
            <w:vAlign w:val="center"/>
          </w:tcPr>
          <w:p>
            <w:pPr>
              <w:pStyle w:val="BPTable"/>
            </w:pPr>
            <w:r>
              <w:t>实际用户、收入、合同、投资、专利、软著、获奖与教学提升</w:t>
            </w:r>
          </w:p>
        </w:tc>
        <w:tc>
          <w:tcPr>
            <w:tcW w:type="dxa" w:w="3345"/>
            <w:vAlign w:val="center"/>
          </w:tcPr>
          <w:p>
            <w:pPr>
              <w:pStyle w:val="BPTable"/>
            </w:pPr>
            <w:r>
              <w:t>不作为已有成果申报；如实际取得则补原始证据</w:t>
            </w:r>
          </w:p>
        </w:tc>
      </w:tr>
    </w:tbl>
    <w:p>
      <w:pPr>
        <w:pStyle w:val="BPSource"/>
      </w:pPr>
      <w:r>
        <w:t>来源：任务书、负责人补充信息及本轮材料产出；未提供不等于已证明不存在。</w:t>
      </w:r>
    </w:p>
    <w:p>
      <w:pPr>
        <w:pStyle w:val="BPH2"/>
      </w:pPr>
      <w:r>
        <w:t>15.1 技术与教学验证的记录方法</w:t>
      </w:r>
    </w:p>
    <w:p>
      <w:pPr>
        <w:pStyle w:val="BPBody"/>
      </w:pPr>
      <w:r>
        <w:t>技术验证以编译与测试可复现、诊断引用正确证据、三级提示按规则输出、异常回退和访问权限为核心。教师对错因与提示逐条复核，分别记录正确、部分正确、错误、证据不足和是否泄露答案，不只报告一个模糊的准确率。</w:t>
      </w:r>
    </w:p>
    <w:p>
      <w:pPr>
        <w:pStyle w:val="BPBody"/>
      </w:pPr>
      <w:r>
        <w:t>教学试点拟记录自愿参与者的提交、提示请求、修改与解释任务，并说明基线、题目难度、样本量和退出情况。可比较使用前后或安排条件相近的对照任务，但小样本结果只支持探索性结论。记录教师查看报告的时间和实际教学动作，作为是否继续服务的重要依据。</w:t>
      </w:r>
    </w:p>
    <w:p>
      <w:pPr>
        <w:pStyle w:val="BPBody"/>
      </w:pPr>
      <w:r>
        <w:t>付费验证应形成服务范围、报价依据、预算归口和验收意见。未达成采购条件时，明确记录原因。CodePilot Edu 的下一步是拿出可复核的课程证据，逐步检验“让每一次编程错误，都成为一次真正有效的学习”这一项目愿景。</w:t>
      </w:r>
    </w:p>
    <w:p>
      <w:pPr>
        <w:pStyle w:val="BPH1"/>
        <w:pageBreakBefore/>
      </w:pPr>
      <w:r>
        <w:t>参考资料</w:t>
      </w:r>
    </w:p>
    <w:p>
      <w:pPr>
        <w:pStyle w:val="BPBody"/>
      </w:pPr>
      <w:r>
        <w:t>项目资料由任务书和负责人补充信息构成。外部资料仅支持相应产品能力、官方规则或技术设计依据。下列网络来源核查日期统一为2026年10月23日，产品能力及商务条件仍应在采购或上线前复核。</w:t>
      </w:r>
    </w:p>
    <w:p>
      <w:pPr>
        <w:pStyle w:val="BPReference"/>
      </w:pPr>
      <w:r>
        <w:t>[S01] 广西职业师范学院教务处  关于举办第十届中华职业教育创新创业大赛校赛的通知</w:t>
        <w:br/>
        <w:t>本校原件见04-资料与佐证内学校RAR及解压文件</w:t>
        <w:br/>
        <w:t>2026年10月21日；核对参赛资格、学院推荐、11月2日校赛、3名额和查重不超过15%。</w:t>
      </w:r>
    </w:p>
    <w:p>
      <w:pPr>
        <w:pStyle w:val="BPReference"/>
      </w:pPr>
      <w:r>
        <w:t>[S02] 广西职业师范学院随校通知发布  本校附件1学生赛道项目评审书及附件2学生赛道评审规则</w:t>
        <w:br/>
        <w:t>本校原件见04-资料与佐证内学校RAR及解压文件</w:t>
        <w:br/>
        <w:t>本次申报书直接填写原附件1，保留A/B/C/D及学籍签章位置；本科评分25/35/20/20。</w:t>
      </w:r>
    </w:p>
    <w:p>
      <w:pPr>
        <w:pStyle w:val="BPReference"/>
      </w:pPr>
      <w:r>
        <w:t>[O01] 广西区赛组委会  关于举办第十届中华职业教育创新创业大赛广西区赛的通知 桂统字〔2026〕1号</w:t>
        <w:br/>
        <w:t>https://sei.gxufl.edu.cn/info/112386</w:t>
        <w:br/>
        <w:t>已核对盖章原件第2至6页；原PDF保存在资料目录。</w:t>
      </w:r>
    </w:p>
    <w:p>
      <w:pPr>
        <w:pStyle w:val="BPReference"/>
      </w:pPr>
      <w:r>
        <w:t>[O02] 广西区赛组委会  第十届中华职业教育创新创业大赛广西区赛学生赛道评审书及评审规则</w:t>
        <w:br/>
        <w:t>https://sei.gxufl.edu.cn/info/112386</w:t>
        <w:br/>
        <w:t>原版doc保存在资料目录；本科评分25/35/20/20。</w:t>
      </w:r>
    </w:p>
    <w:p>
      <w:pPr>
        <w:pStyle w:val="BPReference"/>
      </w:pPr>
      <w:r>
        <w:t>[C01] 杭州百腾教育科技有限公司 / PAT-EDU  PTA 产品介绍</w:t>
        <w:br/>
        <w:t>https://www.pat-edu.com/pta.html</w:t>
        <w:br/>
        <w:t>产品定位；自动评测与多题型；人工和智能混合答疑；教师可导出成绩、答卷、代码与分析；局域网本地服务器考试并在主站评测。</w:t>
      </w:r>
    </w:p>
    <w:p>
      <w:pPr>
        <w:pStyle w:val="BPReference"/>
      </w:pPr>
      <w:r>
        <w:t>[C02] 头歌 EduCoder  头歌实践教学平台官网</w:t>
        <w:br/>
        <w:t>https://ww.educoder.net/</w:t>
        <w:br/>
        <w:t>官网披露大模型问答、导学、审题、诊断；自动化测试反馈；命令操作记录；本地化/信创化部署；自定义智能体。主页面JS渲染，支持内容取自官方URL的搜索索引正文。</w:t>
      </w:r>
    </w:p>
    <w:p>
      <w:pPr>
        <w:pStyle w:val="BPReference"/>
      </w:pPr>
      <w:r>
        <w:t>[C03] 头歌 EduCoder  头歌教学课堂创建页</w:t>
        <w:br/>
        <w:t>https://www.educoder.net/classrooms/new</w:t>
        <w:br/>
        <w:t>课堂实验标注在线实操、智能评测、代码回溯；数据统计标注课堂教学成效分析；含编程作业及AI智能体。主页面JS渲染，支持内容取自官方URL的搜索索引正文。</w:t>
      </w:r>
    </w:p>
    <w:p>
      <w:pPr>
        <w:pStyle w:val="BPReference"/>
      </w:pPr>
      <w:r>
        <w:t>[C04] CodeRunner 维护者 Richard Lobb 等  CodeRunner 作者维护文档</w:t>
        <w:br/>
        <w:t>https://trampgeek.github.io/moodle-qtype_coderunner/</w:t>
        <w:br/>
        <w:t>执行代码并运行测试；自适应重复提交；按测试得分；结果表与可定制反馈；生产环境需要独立Jobe服务器。</w:t>
      </w:r>
    </w:p>
    <w:p>
      <w:pPr>
        <w:pStyle w:val="BPReference"/>
      </w:pPr>
      <w:r>
        <w:t>[C05] Moodle  MoodleDocs：Quiz reports</w:t>
        <w:br/>
        <w:t>https://docs.moodle.org/en/Quiz_reports</w:t>
        <w:br/>
        <w:t>成绩、作答、统计及人工评分报告；可查看全部作答尝试；交互题型可显示首次、最后或全部尝试。</w:t>
      </w:r>
    </w:p>
    <w:p>
      <w:pPr>
        <w:pStyle w:val="BPReference"/>
      </w:pPr>
      <w:r>
        <w:t>[C06] CodeGrade  CodeGrade：Autograder</w:t>
        <w:br/>
        <w:t>https://www.codegrade.com/solutions/autograder</w:t>
        <w:br/>
        <w:t>I/O、单元、代码质量与结构测试；量规评分；自动反馈和人工评阅；不采用页面营销性能承诺或价格。</w:t>
      </w:r>
    </w:p>
    <w:p>
      <w:pPr>
        <w:pStyle w:val="BPReference"/>
      </w:pPr>
      <w:r>
        <w:t>[C07] CodeGrade  CodeGrade Help：AI Assistant</w:t>
        <w:br/>
        <w:t>https://help.codegrade.com/setup-assignment/other-features/ai-assistant</w:t>
        <w:br/>
        <w:t>三类助手；Learning助手不直接给编码答案；师生查看全部AI对话；可配置内容护栏、上下文和系统提示；帮助页标注Beta。</w:t>
      </w:r>
    </w:p>
    <w:p>
      <w:pPr>
        <w:pStyle w:val="BPReference"/>
      </w:pPr>
      <w:r>
        <w:t>[C08] CodeGrade  CodeGrade：AI Coding Assistant for CS Courses</w:t>
        <w:br/>
        <w:t>https://www.codegrade.com/solutions/ai-assistant</w:t>
        <w:br/>
        <w:t>教师按作业选择助手和帮助深度，查看每段对话；可关联学生实际代码；营销页称AI为付费计划附加能力。</w:t>
      </w:r>
    </w:p>
    <w:p>
      <w:pPr>
        <w:pStyle w:val="BPReference"/>
      </w:pPr>
      <w:r>
        <w:t>[C09] CodeGrade  CodeGrade：LMS Integration for Code Autograding</w:t>
        <w:br/>
        <w:t>https://www.codegrade.com/solutions/learning-and-grading-in-one-place</w:t>
        <w:br/>
        <w:t>LTI连接Canvas、Blackboard、Moodle、Brightspace等；同步名单、角色、自动及人工成绩；GitHub工作流和REST API。</w:t>
      </w:r>
    </w:p>
    <w:p>
      <w:pPr>
        <w:pStyle w:val="BPReference"/>
      </w:pPr>
      <w:r>
        <w:t>[C10] OpenAI  OpenAI Help Center：Using study mode in ChatGPT</w:t>
        <w:br/>
        <w:t>https://help.openai.com/en/articles/11780217-using-study-mode-in-chatgpt</w:t>
        <w:br/>
        <w:t>学习模式支持提问引导、逐步和分层解释、理解检查、作答反馈及上传课程材料；可按设置使用记忆与历史对话。</w:t>
      </w:r>
    </w:p>
    <w:p>
      <w:pPr>
        <w:pStyle w:val="BPReference"/>
      </w:pPr>
      <w:r>
        <w:t>[T01] Docker Docs  Resource constraints</w:t>
        <w:br/>
        <w:t>https://docs.docker.com/engine/containers/resource_constraints/</w:t>
        <w:br/>
        <w:t>资源默认不受限，需配置CPU与内存限制。</w:t>
      </w:r>
    </w:p>
    <w:p>
      <w:pPr>
        <w:pStyle w:val="BPReference"/>
      </w:pPr>
      <w:r>
        <w:t>[T02] Docker Docs  Seccomp security profiles for Docker</w:t>
        <w:br/>
        <w:t>https://docs.docker.com/engine/security/seccomp/</w:t>
        <w:br/>
        <w:t>系统调用限制与最小权限设计参考。</w:t>
      </w:r>
    </w:p>
    <w:p>
      <w:pPr>
        <w:pStyle w:val="BPH1"/>
        <w:pageBreakBefore/>
      </w:pPr>
      <w:r>
        <w:t>附录 课程验证与证据管理</w:t>
      </w:r>
    </w:p>
    <w:p>
      <w:pPr>
        <w:pStyle w:val="BPBody"/>
      </w:pPr>
      <w:r>
        <w:t>以下为计划执行的记录模板和访谈提纲，不是已经开展的调查或实验。</w:t>
      </w:r>
    </w:p>
    <w:p>
      <w:pPr>
        <w:pStyle w:val="BPH2"/>
      </w:pPr>
      <w:r>
        <w:t>A 学生与教师访谈提纲</w:t>
      </w:r>
    </w:p>
    <w:p>
      <w:pPr>
        <w:pStyle w:val="BPBody"/>
      </w:pPr>
      <w:r>
        <w:t>学生：请描述最近一次不能理解的C语言错误，当时用了什么工具，是否得到能解释的帮助？如果提示逐级出现，你会在什么情况下请求下一层？</w:t>
      </w:r>
    </w:p>
    <w:p>
      <w:pPr>
        <w:pStyle w:val="BPBody"/>
      </w:pPr>
      <w:r>
        <w:t>教师：最近一次需要集中讲解的错误是什么？现有平台提供哪些信息，你还需要哪一类提交过程？看到某项统计后，你会采取什么教学行动？</w:t>
      </w:r>
    </w:p>
    <w:p>
      <w:pPr>
        <w:pStyle w:val="BPBody"/>
      </w:pPr>
      <w:r>
        <w:t>课程单位：谁可决定试点、谁负责部署与验收？已有平台如何接入？预算与采购流程如何？在什么条件下才愿意考虑持续服务？</w:t>
      </w:r>
    </w:p>
    <w:p>
      <w:pPr>
        <w:pStyle w:val="BPH2"/>
      </w:pPr>
      <w:r>
        <w:t>B 首轮验证记录字段</w:t>
      </w:r>
    </w:p>
    <w:p>
      <w:pPr>
        <w:pStyle w:val="BPCaption"/>
      </w:pPr>
      <w:r>
        <w:t>表16 拟采用的证据记录规范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041"/>
        <w:gridCol w:w="6803"/>
      </w:tblGrid>
      <w:tr>
        <w:trPr>
          <w:cantSplit/>
          <w:tblHeader/>
        </w:trPr>
        <w:tc>
          <w:tcPr>
            <w:tcW w:type="dxa" w:w="2041"/>
            <w:vAlign w:val="center"/>
            <w:shd w:fill="E8ECE9"/>
          </w:tcPr>
          <w:p>
            <w:pPr>
              <w:pStyle w:val="BPTable"/>
            </w:pPr>
            <w:r>
              <w:rPr>
                <w:b/>
              </w:rPr>
              <w:t>记录类型</w:t>
            </w:r>
          </w:p>
        </w:tc>
        <w:tc>
          <w:tcPr>
            <w:tcW w:type="dxa" w:w="6803"/>
            <w:vAlign w:val="center"/>
            <w:shd w:fill="E8ECE9"/>
          </w:tcPr>
          <w:p>
            <w:pPr>
              <w:pStyle w:val="BPTable"/>
            </w:pPr>
            <w:r>
              <w:rPr>
                <w:b/>
              </w:rPr>
              <w:t>必须保留的字段</w:t>
            </w:r>
          </w:p>
        </w:tc>
      </w:tr>
      <w:tr>
        <w:trPr>
          <w:cantSplit/>
        </w:trPr>
        <w:tc>
          <w:tcPr>
            <w:tcW w:type="dxa" w:w="2041"/>
            <w:vAlign w:val="center"/>
          </w:tcPr>
          <w:p>
            <w:pPr>
              <w:pStyle w:val="BPTable"/>
            </w:pPr>
            <w:r>
              <w:t>研发与测试</w:t>
            </w:r>
          </w:p>
        </w:tc>
        <w:tc>
          <w:tcPr>
            <w:tcW w:type="dxa" w:w="6803"/>
            <w:vAlign w:val="center"/>
          </w:tcPr>
          <w:p>
            <w:pPr>
              <w:pStyle w:val="BPTable"/>
            </w:pPr>
            <w:r>
              <w:t>版本或提交号、环境、用例、预期与实际结果、原始日志、责任人和复核人</w:t>
            </w:r>
          </w:p>
        </w:tc>
      </w:tr>
      <w:tr>
        <w:trPr>
          <w:cantSplit/>
        </w:trPr>
        <w:tc>
          <w:tcPr>
            <w:tcW w:type="dxa" w:w="2041"/>
            <w:vAlign w:val="center"/>
            <w:shd w:fill="F6F7F6"/>
          </w:tcPr>
          <w:p>
            <w:pPr>
              <w:pStyle w:val="BPTable"/>
            </w:pPr>
            <w:r>
              <w:t>诊断复核</w:t>
            </w:r>
          </w:p>
        </w:tc>
        <w:tc>
          <w:tcPr>
            <w:tcW w:type="dxa" w:w="6803"/>
            <w:vAlign w:val="center"/>
            <w:shd w:fill="F6F7F6"/>
          </w:tcPr>
          <w:p>
            <w:pPr>
              <w:pStyle w:val="BPTable"/>
            </w:pPr>
            <w:r>
              <w:t>代码与测试证据编号、AI输出、人工错因、判断类别、是否泄露答案和修改意见</w:t>
            </w:r>
          </w:p>
        </w:tc>
      </w:tr>
      <w:tr>
        <w:trPr>
          <w:cantSplit/>
        </w:trPr>
        <w:tc>
          <w:tcPr>
            <w:tcW w:type="dxa" w:w="2041"/>
            <w:vAlign w:val="center"/>
          </w:tcPr>
          <w:p>
            <w:pPr>
              <w:pStyle w:val="BPTable"/>
            </w:pPr>
            <w:r>
              <w:t>访谈与试点</w:t>
            </w:r>
          </w:p>
        </w:tc>
        <w:tc>
          <w:tcPr>
            <w:tcW w:type="dxa" w:w="6803"/>
            <w:vAlign w:val="center"/>
          </w:tcPr>
          <w:p>
            <w:pPr>
              <w:pStyle w:val="BPTable"/>
            </w:pPr>
            <w:r>
              <w:t>授权、日期、对象角色、题目条件、原始记录、样本与退出情况、局限</w:t>
            </w:r>
          </w:p>
        </w:tc>
      </w:tr>
      <w:tr>
        <w:trPr>
          <w:cantSplit/>
        </w:trPr>
        <w:tc>
          <w:tcPr>
            <w:tcW w:type="dxa" w:w="2041"/>
            <w:vAlign w:val="center"/>
            <w:shd w:fill="F6F7F6"/>
          </w:tcPr>
          <w:p>
            <w:pPr>
              <w:pStyle w:val="BPTable"/>
            </w:pPr>
            <w:r>
              <w:t>商业验证</w:t>
            </w:r>
          </w:p>
        </w:tc>
        <w:tc>
          <w:tcPr>
            <w:tcW w:type="dxa" w:w="6803"/>
            <w:vAlign w:val="center"/>
            <w:shd w:fill="F6F7F6"/>
          </w:tcPr>
          <w:p>
            <w:pPr>
              <w:pStyle w:val="BPTable"/>
            </w:pPr>
            <w:r>
              <w:t>服务范围、工时、调用费用、沟通状态、价格意见、预算归口及验收条件</w:t>
            </w:r>
          </w:p>
        </w:tc>
      </w:tr>
    </w:tbl>
    <w:p>
      <w:pPr>
        <w:pStyle w:val="BPSource"/>
      </w:pPr>
      <w:r>
        <w:t>来源：项目组拟定的验证流程。</w:t>
      </w:r>
    </w:p>
    <w:p>
      <w:pPr>
        <w:pStyle w:val="BPH2"/>
      </w:pPr>
      <w:r>
        <w:t>C 证据的使用规则</w:t>
      </w:r>
    </w:p>
    <w:p>
      <w:pPr>
        <w:pStyle w:val="BPBody"/>
      </w:pPr>
      <w:r>
        <w:t>每项对外成果应有唯一证据编号和可回溯原件；公开展示前删除不必要的个人信息并取得相应授权。没有原件或无法复现的内容只列待核实，不以生成的界面、证书、调查结论或测试数字补位。</w:t>
      </w:r>
    </w:p>
    <w:sectPr w:rsidR="00FC693F" w:rsidRPr="0006063C" w:rsidSect="00034616">
      <w:footerReference w:type="default" r:id="rId9"/>
      <w:pgSz w:w="11906" w:h="16838"/>
      <w:pgMar w:top="1276" w:right="1531" w:bottom="1191" w:left="1531" w:header="567" w:footer="567"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CodePilot Edu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cstheme="majorBidi" w:ascii="Times New Roman" w:hAnsi="Times New Roman" w:eastAsia="黑体"/>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PBody">
    <w:name w:val="BP Body"/>
    <w:basedOn w:val="Normal"/>
    <w:pPr>
      <w:widowControl/>
      <w:spacing w:after="120" w:line="336" w:lineRule="auto"/>
      <w:ind w:firstLine="420"/>
    </w:pPr>
    <w:rPr>
      <w:rFonts w:ascii="Times New Roman" w:hAnsi="Times New Roman" w:eastAsia="宋体"/>
      <w:b w:val="0"/>
      <w:color w:val="000000"/>
      <w:sz w:val="22"/>
    </w:rPr>
  </w:style>
  <w:style w:type="paragraph" w:customStyle="1" w:styleId="BPH1">
    <w:name w:val="BP H1"/>
    <w:basedOn w:val="Normal"/>
    <w:pPr>
      <w:keepNext/>
      <w:widowControl/>
      <w:spacing w:after="200" w:line="336" w:lineRule="auto" w:before="240"/>
      <w:outlineLvl w:val="0"/>
    </w:pPr>
    <w:rPr>
      <w:rFonts w:ascii="Times New Roman" w:hAnsi="Times New Roman" w:eastAsia="黑体"/>
      <w:b/>
      <w:color w:val="000000"/>
      <w:sz w:val="32"/>
    </w:rPr>
  </w:style>
  <w:style w:type="paragraph" w:customStyle="1" w:styleId="BPH2">
    <w:name w:val="BP H2"/>
    <w:basedOn w:val="Normal"/>
    <w:pPr>
      <w:keepNext/>
      <w:widowControl/>
      <w:spacing w:after="200" w:line="336" w:lineRule="auto" w:before="240"/>
      <w:outlineLvl w:val="1"/>
    </w:pPr>
    <w:rPr>
      <w:rFonts w:ascii="Times New Roman" w:hAnsi="Times New Roman" w:eastAsia="黑体"/>
      <w:b/>
      <w:color w:val="000000"/>
      <w:sz w:val="24"/>
    </w:rPr>
  </w:style>
  <w:style w:type="paragraph" w:customStyle="1" w:styleId="BPTable">
    <w:name w:val="BP Table"/>
    <w:basedOn w:val="Normal"/>
    <w:pPr>
      <w:widowControl/>
      <w:spacing w:after="60" w:line="288" w:lineRule="auto" w:before="60"/>
    </w:pPr>
    <w:rPr>
      <w:rFonts w:ascii="Times New Roman" w:hAnsi="Times New Roman" w:eastAsia="宋体"/>
      <w:b w:val="0"/>
      <w:color w:val="000000"/>
      <w:sz w:val="20"/>
    </w:rPr>
  </w:style>
  <w:style w:type="paragraph" w:customStyle="1" w:styleId="BPCaption">
    <w:name w:val="BP Caption"/>
    <w:basedOn w:val="Normal"/>
    <w:pPr>
      <w:keepNext/>
      <w:widowControl/>
      <w:spacing w:after="100" w:line="336" w:lineRule="auto" w:before="160"/>
    </w:pPr>
    <w:rPr>
      <w:rFonts w:ascii="Times New Roman" w:hAnsi="Times New Roman" w:eastAsia="黑体"/>
      <w:b/>
      <w:color w:val="000000"/>
      <w:sz w:val="20"/>
    </w:rPr>
  </w:style>
  <w:style w:type="paragraph" w:customStyle="1" w:styleId="BPSource">
    <w:name w:val="BP Source"/>
    <w:basedOn w:val="Normal"/>
    <w:pPr>
      <w:widowControl/>
      <w:spacing w:after="160" w:line="276" w:lineRule="auto" w:before="40"/>
    </w:pPr>
    <w:rPr>
      <w:rFonts w:ascii="Times New Roman" w:hAnsi="Times New Roman" w:eastAsia="宋体"/>
      <w:b w:val="0"/>
      <w:color w:val="000000"/>
      <w:sz w:val="18"/>
    </w:rPr>
  </w:style>
  <w:style w:type="paragraph" w:customStyle="1" w:styleId="BPMeta">
    <w:name w:val="BP Meta"/>
    <w:basedOn w:val="Normal"/>
    <w:pPr>
      <w:widowControl/>
      <w:spacing w:after="120" w:line="336" w:lineRule="auto"/>
    </w:pPr>
    <w:rPr>
      <w:rFonts w:ascii="Times New Roman" w:hAnsi="Times New Roman" w:eastAsia="宋体"/>
      <w:b w:val="0"/>
      <w:color w:val="000000"/>
      <w:sz w:val="22"/>
    </w:rPr>
  </w:style>
  <w:style w:type="paragraph" w:customStyle="1" w:styleId="BPTOC">
    <w:name w:val="BP TOC"/>
    <w:basedOn w:val="Normal"/>
    <w:pPr>
      <w:widowControl/>
      <w:spacing w:after="120" w:line="336" w:lineRule="auto"/>
    </w:pPr>
    <w:rPr>
      <w:rFonts w:ascii="Times New Roman" w:hAnsi="Times New Roman" w:eastAsia="宋体"/>
      <w:b w:val="0"/>
      <w:color w:val="000000"/>
      <w:sz w:val="22"/>
    </w:rPr>
  </w:style>
  <w:style w:type="paragraph" w:customStyle="1" w:styleId="BPReference">
    <w:name w:val="BP Reference"/>
    <w:basedOn w:val="Normal"/>
    <w:pPr>
      <w:keepLines/>
      <w:widowControl/>
      <w:spacing w:after="180" w:line="288" w:lineRule="auto"/>
    </w:pPr>
    <w:rPr>
      <w:rFonts w:ascii="Times New Roman" w:hAnsi="Times New Roman" w:eastAsia="宋体"/>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CodePilot Edu 商业计划书</dc:title>
  <dc:subject>基于AI错因诊断与学习行为分析的程序设计智能实训平台</dc:subject>
  <dc:creator>ZERO团队</dc:creator>
  <cp:keywords>创新创业大赛 本科组 C语言 AI纠错 情景测算</cp:keywords>
  <dc:description>generated by python-docx</dc:description>
  <cp:lastModifiedBy/>
  <cp:revision>1</cp:revision>
  <dcterms:created xsi:type="dcterms:W3CDTF">2013-12-23T23:15:00Z</dcterms:created>
  <dcterms:modified xsi:type="dcterms:W3CDTF">2013-12-23T23:15:00Z</dcterms:modified>
  <cp:category/>
</cp:coreProperties>
</file>