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BPMeta"/>
        <w:spacing w:after="0"/>
      </w:pPr>
    </w:p>
    <w:p>
      <w:pPr>
        <w:pStyle w:val="BPMeta"/>
        <w:spacing w:after="0"/>
      </w:pPr>
    </w:p>
    <w:p>
      <w:pPr>
        <w:pStyle w:val="BPMeta"/>
        <w:jc w:val="center"/>
      </w:pPr>
      <w:r>
        <w:rPr>
          <w:rFonts w:ascii="Times New Roman" w:hAnsi="Times New Roman" w:eastAsia="黑体"/>
          <w:b/>
          <w:sz w:val="52"/>
        </w:rPr>
        <w:t>CodePilot Edu</w:t>
      </w:r>
    </w:p>
    <w:p>
      <w:pPr>
        <w:pStyle w:val="BPMeta"/>
        <w:spacing w:after="280"/>
        <w:jc w:val="center"/>
      </w:pPr>
      <w:r>
        <w:rPr>
          <w:rFonts w:ascii="Times New Roman" w:hAnsi="Times New Roman" w:eastAsia="黑体"/>
          <w:b/>
          <w:sz w:val="76"/>
        </w:rPr>
        <w:t>商业计划书</w:t>
      </w:r>
    </w:p>
    <w:p>
      <w:pPr>
        <w:pStyle w:val="BPMeta"/>
        <w:spacing w:after="320"/>
        <w:jc w:val="center"/>
        <w:pBdr>
          <w:bottom w:val="single" w:sz="8" w:space="1" w:color="000000"/>
        </w:pBdr>
      </w:pPr>
    </w:p>
    <w:p>
      <w:pPr>
        <w:pStyle w:val="BPMeta"/>
        <w:spacing w:line="360" w:lineRule="auto" w:after="520"/>
        <w:jc w:val="center"/>
      </w:pPr>
      <w:r>
        <w:rPr>
          <w:sz w:val="30"/>
        </w:rPr>
        <w:t>基于AI错因诊断与学习行为分析的程序设计智能实训平台</w:t>
      </w:r>
    </w:p>
    <w:p>
      <w:pPr>
        <w:pStyle w:val="BPMeta"/>
        <w:jc w:val="center"/>
      </w:pPr>
      <w:r>
        <w:rPr>
          <w:sz w:val="26"/>
        </w:rPr>
        <w:t>第十届中华职业教育创新创业大赛</w:t>
      </w:r>
    </w:p>
    <w:p>
      <w:pPr>
        <w:pStyle w:val="BPMeta"/>
        <w:jc w:val="center"/>
      </w:pPr>
      <w:r>
        <w:rPr>
          <w:sz w:val="26"/>
        </w:rPr>
        <w:t>学生赛道 · 本科组</w:t>
      </w:r>
    </w:p>
    <w:p>
      <w:pPr>
        <w:pStyle w:val="BPMeta"/>
        <w:jc w:val="center"/>
      </w:pPr>
      <w:r>
        <w:rPr>
          <w:sz w:val="26"/>
        </w:rPr>
        <w:t>广西职业师范学院　计算机与信息工程学院</w:t>
      </w:r>
    </w:p>
    <w:p>
      <w:pPr>
        <w:pStyle w:val="BPMeta"/>
        <w:jc w:val="center"/>
      </w:pPr>
      <w:r>
        <w:rPr>
          <w:sz w:val="26"/>
        </w:rPr>
        <w:t>ZERO团队</w:t>
      </w:r>
    </w:p>
    <w:p>
      <w:pPr>
        <w:pStyle w:val="BPMeta"/>
        <w:jc w:val="center"/>
      </w:pPr>
      <w:r>
        <w:rPr>
          <w:sz w:val="26"/>
        </w:rPr>
        <w:t>项目负责人：叶兴楠</w:t>
      </w:r>
    </w:p>
    <w:p>
      <w:pPr>
        <w:pStyle w:val="BPMeta"/>
        <w:spacing w:after="0"/>
      </w:pPr>
    </w:p>
    <w:p>
      <w:pPr>
        <w:pStyle w:val="BPMeta"/>
        <w:spacing w:after="0"/>
      </w:pPr>
    </w:p>
    <w:p>
      <w:pPr>
        <w:pStyle w:val="BPMeta"/>
        <w:jc w:val="center"/>
      </w:pPr>
      <w:r>
        <w:rPr>
          <w:sz w:val="26"/>
        </w:rPr>
        <w:t>2026年10月</w:t>
      </w:r>
    </w:p>
    <w:p>
      <w:pPr>
        <w:pStyle w:val="BPMeta"/>
        <w:spacing w:before="200"/>
        <w:jc w:val="center"/>
      </w:pPr>
      <w:r>
        <w:rPr>
          <w:sz w:val="21"/>
        </w:rPr>
        <w:t>指导教师审阅稿</w:t>
      </w:r>
    </w:p>
    <w:p>
      <w:pPr>
        <w:sectPr>
          <w:footerReference w:type="default" r:id="rId9"/>
          <w:pgSz w:w="11906" w:h="16838"/>
          <w:pgMar w:top="1361" w:right="1531" w:bottom="1247" w:left="1531" w:header="680" w:footer="680" w:gutter="0"/>
          <w:cols w:space="720"/>
          <w:docGrid w:linePitch="360"/>
        </w:sectPr>
      </w:pPr>
    </w:p>
    <w:p>
      <w:pPr>
        <w:pStyle w:val="BPH1"/>
        <w:spacing w:before="120" w:after="400"/>
        <w:jc w:val="center"/>
      </w:pPr>
      <w:r>
        <w:t>目　　录</w:t>
      </w:r>
    </w:p>
    <w:p>
      <w:pPr>
        <w:pStyle w:val="BPTOC"/>
        <w:tabs>
          <w:tab w:pos="8674" w:val="right" w:leader="dot"/>
        </w:tabs>
        <w:spacing w:after="180"/>
      </w:pPr>
      <w:r>
        <w:t>1 执行摘要</w:t>
      </w:r>
      <w:r>
        <w:tab/>
        <w:t>1</w:t>
      </w:r>
    </w:p>
    <w:p>
      <w:pPr>
        <w:pStyle w:val="BPTOC"/>
        <w:tabs>
          <w:tab w:pos="8674" w:val="right" w:leader="dot"/>
        </w:tabs>
        <w:spacing w:after="180"/>
      </w:pPr>
      <w:r>
        <w:t>2 需求与目标客户</w:t>
      </w:r>
      <w:r>
        <w:tab/>
        <w:t>1</w:t>
      </w:r>
    </w:p>
    <w:p>
      <w:pPr>
        <w:pStyle w:val="BPTOC"/>
        <w:tabs>
          <w:tab w:pos="8674" w:val="right" w:leader="dot"/>
        </w:tabs>
        <w:spacing w:after="180"/>
      </w:pPr>
      <w:r>
        <w:t>3 产品与服务流程</w:t>
      </w:r>
      <w:r>
        <w:tab/>
        <w:t>2</w:t>
      </w:r>
    </w:p>
    <w:p>
      <w:pPr>
        <w:pStyle w:val="BPTOC"/>
        <w:tabs>
          <w:tab w:pos="8674" w:val="right" w:leader="dot"/>
        </w:tabs>
        <w:spacing w:after="180"/>
      </w:pPr>
      <w:r>
        <w:t>4 项目特色与竞品比较</w:t>
      </w:r>
      <w:r>
        <w:tab/>
        <w:t>4</w:t>
      </w:r>
    </w:p>
    <w:p>
      <w:pPr>
        <w:pStyle w:val="BPTOC"/>
        <w:tabs>
          <w:tab w:pos="8674" w:val="right" w:leader="dot"/>
        </w:tabs>
        <w:spacing w:after="180"/>
      </w:pPr>
      <w:r>
        <w:t>5 技术方案与首期范围</w:t>
      </w:r>
      <w:r>
        <w:tab/>
        <w:t>5</w:t>
      </w:r>
    </w:p>
    <w:p>
      <w:pPr>
        <w:pStyle w:val="BPTOC"/>
        <w:tabs>
          <w:tab w:pos="8674" w:val="right" w:leader="dot"/>
        </w:tabs>
        <w:spacing w:after="180"/>
      </w:pPr>
      <w:r>
        <w:t>6 商业模式、定价逻辑与市场进入</w:t>
      </w:r>
      <w:r>
        <w:tab/>
        <w:t>6</w:t>
      </w:r>
    </w:p>
    <w:p>
      <w:pPr>
        <w:pStyle w:val="BPTOC"/>
        <w:tabs>
          <w:tab w:pos="8674" w:val="right" w:leader="dot"/>
        </w:tabs>
        <w:spacing w:after="180"/>
      </w:pPr>
      <w:r>
        <w:t>7 团队分工与实施计划</w:t>
      </w:r>
      <w:r>
        <w:tab/>
        <w:t>7</w:t>
      </w:r>
    </w:p>
    <w:p>
      <w:pPr>
        <w:pStyle w:val="BPTOC"/>
        <w:tabs>
          <w:tab w:pos="8674" w:val="right" w:leader="dot"/>
        </w:tabs>
        <w:spacing w:after="180"/>
      </w:pPr>
      <w:r>
        <w:t>8 首期预算、课程服务成本与财务测算</w:t>
      </w:r>
      <w:r>
        <w:tab/>
        <w:t>8</w:t>
      </w:r>
    </w:p>
    <w:p>
      <w:pPr>
        <w:pStyle w:val="BPTOC"/>
        <w:tabs>
          <w:tab w:pos="8674" w:val="right" w:leader="dot"/>
        </w:tabs>
        <w:spacing w:after="180"/>
      </w:pPr>
      <w:r>
        <w:t>9 教育价值与风险应对</w:t>
      </w:r>
      <w:r>
        <w:tab/>
        <w:t>11</w:t>
      </w:r>
    </w:p>
    <w:p>
      <w:pPr>
        <w:pStyle w:val="BPSource"/>
        <w:spacing w:before="360"/>
      </w:pPr>
      <w:r>
        <w:t>说明：文中表格均标注“模拟示例”“预算”或“情景测算”；金额为项目测算，不构成报价、订单或收入。</w:t>
      </w:r>
    </w:p>
    <w:p>
      <w:pPr>
        <w:sectPr>
          <w:footerReference w:type="default" r:id="rId10"/>
          <w:pgSz w:w="11906" w:h="16838"/>
          <w:pgMar w:top="1361" w:right="1531" w:bottom="1247" w:left="1531" w:header="680" w:footer="680" w:gutter="0"/>
          <w:cols w:space="720"/>
          <w:docGrid w:linePitch="360"/>
        </w:sectPr>
      </w:pPr>
    </w:p>
    <w:p>
      <w:pPr>
        <w:pStyle w:val="BPH1"/>
        <w:spacing w:before="0"/>
      </w:pPr>
      <w:r>
        <w:t>1 执行摘要</w:t>
      </w:r>
    </w:p>
    <w:p>
      <w:pPr>
        <w:pStyle w:val="BPBody"/>
      </w:pPr>
      <w:r>
        <w:t>项目面向软件工程、物联网工程等工科专业的程序设计课堂，服务对象是学习C语言基础课程的学生及其任课教师。课堂练习中，学生遇到编译错误或结果不符时，往往只能看到报错文字或最终答案，难以判断先检查什么；教师在有限课时内也难以逐一还原每名学生的修改过程。</w:t>
      </w:r>
    </w:p>
    <w:p>
      <w:pPr>
        <w:pStyle w:val="BPBody"/>
      </w:pPr>
      <w:r>
        <w:t>CodePilot Edu 以“提交—评测—提示—修改—重提—教师查看”为主线：学生提交代码后，系统在受限环境中完成编译与测试，展示失败依据，再按知识点引导、逻辑定位、修正思路三层递进给出提示，并记录每次修改；教师端汇总重复失败、提示层级与提交轨迹，用于确定集中讲解或个别辅导的对象。</w:t>
      </w:r>
    </w:p>
    <w:p>
      <w:pPr>
        <w:pStyle w:val="BPBody"/>
      </w:pPr>
      <w:r>
        <w:t>首期聚焦C语言基础练习，先用一道题打通完整流程，再扩充输入输出、分支、循环、数组与函数等基础题目；Java、Python列入后续扩展。架构采用Vue 3、FastAPI、SQLAlchemy、MySQL、GCC、受限Docker与模型API。项目处于原型开发阶段，首期新增现金预算1800元，上限2000元。</w:t>
      </w:r>
    </w:p>
    <w:p>
      <w:pPr>
        <w:pStyle w:val="BPBody"/>
      </w:pPr>
      <w:r>
        <w:t>商业路径从校内一门课程的服务验证起步：任课教师决定采用范围，院系或课程经费承担服务费用。收费按课程包测算，一个课程包对应一个班级一个学期，假设价格1500元、交付成本533元；上述数字均为情景测算，需经课程试用与预算沟通后确认。</w:t>
      </w:r>
    </w:p>
    <w:p>
      <w:pPr>
        <w:pStyle w:val="BPH1"/>
        <w:spacing w:before="320"/>
      </w:pPr>
      <w:r>
        <w:t>2 需求与目标客户</w:t>
      </w:r>
    </w:p>
    <w:p>
      <w:pPr>
        <w:pStyle w:val="BPH2"/>
      </w:pPr>
      <w:r>
        <w:t>2.1 课堂中的三个断点</w:t>
      </w:r>
    </w:p>
    <w:p>
      <w:pPr>
        <w:pStyle w:val="BPBody"/>
      </w:pPr>
      <w:r>
        <w:t>以“依次输出1至10”为例，学生写成 i &lt; 10，程序编译通过，但只输出1至9。学生看到的是“结果不对”，需要自己把输出差异、循环终止条件和变量取值联系起来；教师看到的是一份最终结果，难以知道学生改过几次、卡在哪一层；一个班数十人同时练习时，教师也无法逐一解释。该例为模拟教学案例，不是真实课堂记录。</w:t>
      </w:r>
    </w:p>
    <w:p>
      <w:pPr>
        <w:pStyle w:val="BPBody"/>
      </w:pPr>
      <w:r>
        <w:t>这些断点并非IDE功能不足造成。IDE能够编写、编译和调试，缺少的是从报错信息到学习指导之间的一层组织：判断本次失败涉及哪个知识点、应当先给哪一级提示、学生修改后是否真正理解。项目面向的正是这一层教学组织工作。</w:t>
      </w:r>
    </w:p>
    <w:p>
      <w:pPr>
        <w:pStyle w:val="BPBody"/>
      </w:pPr>
      <w:r>
        <w:t>课堂常见做法是教师集中讲解共性错误，学生课后自行搜索或询问通用AI。集中讲解覆盖共性问题，难以对应个体；通用AI能解释代码，却无法保证与本次测试证据、课程知识点和教师要求一致。项目把三者放进同一条记录，使个别辅导有据可查。</w:t>
      </w:r>
    </w:p>
    <w:p>
      <w:pPr>
        <w:pStyle w:val="BPH2"/>
      </w:pPr>
      <w:r>
        <w:t>2.2 使用者、决策者与付费主体</w:t>
      </w:r>
    </w:p>
    <w:p>
      <w:pPr>
        <w:pStyle w:val="BPCaption"/>
        <w:keepNext/>
        <w:jc w:val="center"/>
      </w:pPr>
      <w:r>
        <w:t>表1 角色分工与关注点（模拟示例）</w:t>
      </w:r>
    </w:p>
    <w:tbl>
      <w:tblPr>
        <w:tblW w:type="dxa" w:w="8617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896"/>
        <w:gridCol w:w="3447"/>
        <w:gridCol w:w="3275"/>
      </w:tblGrid>
      <w:tr>
        <w:trPr>
          <w:cantSplit/>
          <w:tblHeader/>
        </w:trPr>
        <w:tc>
          <w:tcPr>
            <w:tcW w:type="dxa" w:w="1896"/>
            <w:shd w:val="clear" w:color="auto" w:fill="F2F2F2"/>
            <w:vAlign w:val="center"/>
          </w:tcPr>
          <w:p>
            <w:pPr>
              <w:pStyle w:val="BPTable"/>
              <w:keepNext/>
              <w:jc w:val="center"/>
            </w:pPr>
            <w:r/>
            <w:r>
              <w:rPr>
                <w:b/>
              </w:rPr>
              <w:t>角色</w:t>
            </w:r>
          </w:p>
        </w:tc>
        <w:tc>
          <w:tcPr>
            <w:tcW w:type="dxa" w:w="3447"/>
            <w:shd w:val="clear" w:color="auto" w:fill="F2F2F2"/>
            <w:vAlign w:val="center"/>
          </w:tcPr>
          <w:p>
            <w:pPr>
              <w:pStyle w:val="BPTable"/>
              <w:keepNext/>
              <w:jc w:val="center"/>
            </w:pPr>
            <w:r/>
            <w:r>
              <w:rPr>
                <w:b/>
              </w:rPr>
              <w:t>在流程中的任务</w:t>
            </w:r>
          </w:p>
        </w:tc>
        <w:tc>
          <w:tcPr>
            <w:tcW w:type="dxa" w:w="3275"/>
            <w:shd w:val="clear" w:color="auto" w:fill="F2F2F2"/>
            <w:vAlign w:val="center"/>
          </w:tcPr>
          <w:p>
            <w:pPr>
              <w:pStyle w:val="BPTable"/>
              <w:keepNext/>
              <w:jc w:val="center"/>
            </w:pPr>
            <w:r/>
            <w:r>
              <w:rPr>
                <w:b/>
              </w:rPr>
              <w:t>主要关注点</w:t>
            </w:r>
          </w:p>
        </w:tc>
      </w:tr>
      <w:tr>
        <w:trPr>
          <w:cantSplit/>
        </w:trPr>
        <w:tc>
          <w:tcPr>
            <w:tcW w:type="dxa" w:w="1896"/>
            <w:vAlign w:val="center"/>
          </w:tcPr>
          <w:p>
            <w:pPr>
              <w:pStyle w:val="BPTable"/>
              <w:keepNext/>
            </w:pPr>
            <w:r/>
            <w:r>
              <w:t>学生（使用者）</w:t>
            </w:r>
          </w:p>
        </w:tc>
        <w:tc>
          <w:tcPr>
            <w:tcW w:type="dxa" w:w="3447"/>
            <w:vAlign w:val="center"/>
          </w:tcPr>
          <w:p>
            <w:pPr>
              <w:pStyle w:val="BPTable"/>
              <w:keepNext/>
            </w:pPr>
            <w:r/>
            <w:r>
              <w:t>读题、提交、按提示修改并重提</w:t>
            </w:r>
          </w:p>
        </w:tc>
        <w:tc>
          <w:tcPr>
            <w:tcW w:type="dxa" w:w="3275"/>
            <w:vAlign w:val="center"/>
          </w:tcPr>
          <w:p>
            <w:pPr>
              <w:pStyle w:val="BPTable"/>
              <w:keepNext/>
            </w:pPr>
            <w:r/>
            <w:r>
              <w:t>提示是否看得懂、是否打断练习</w:t>
            </w:r>
          </w:p>
        </w:tc>
      </w:tr>
      <w:tr>
        <w:trPr>
          <w:cantSplit/>
        </w:trPr>
        <w:tc>
          <w:tcPr>
            <w:tcW w:type="dxa" w:w="1896"/>
            <w:vAlign w:val="center"/>
          </w:tcPr>
          <w:p>
            <w:pPr>
              <w:pStyle w:val="BPTable"/>
              <w:keepNext/>
            </w:pPr>
            <w:r/>
            <w:r>
              <w:t>任课教师（决策者）</w:t>
            </w:r>
          </w:p>
        </w:tc>
        <w:tc>
          <w:tcPr>
            <w:tcW w:type="dxa" w:w="3447"/>
            <w:vAlign w:val="center"/>
          </w:tcPr>
          <w:p>
            <w:pPr>
              <w:pStyle w:val="BPTable"/>
              <w:keepNext/>
            </w:pPr>
            <w:r/>
            <w:r>
              <w:t>选题、设定提示深度、查看记录、安排辅导</w:t>
            </w:r>
          </w:p>
        </w:tc>
        <w:tc>
          <w:tcPr>
            <w:tcW w:type="dxa" w:w="3275"/>
            <w:vAlign w:val="center"/>
          </w:tcPr>
          <w:p>
            <w:pPr>
              <w:pStyle w:val="BPTable"/>
              <w:keepNext/>
            </w:pPr>
            <w:r/>
            <w:r>
              <w:t>记录能否支持教学动作、准备成本</w:t>
            </w:r>
          </w:p>
        </w:tc>
      </w:tr>
      <w:tr>
        <w:trPr>
          <w:cantSplit/>
        </w:trPr>
        <w:tc>
          <w:tcPr>
            <w:tcW w:type="dxa" w:w="1896"/>
            <w:vAlign w:val="center"/>
          </w:tcPr>
          <w:p>
            <w:pPr>
              <w:pStyle w:val="BPTable"/>
              <w:keepNext/>
            </w:pPr>
            <w:r/>
            <w:r>
              <w:t>院系或课程负责人（付费主体，假设）</w:t>
            </w:r>
          </w:p>
        </w:tc>
        <w:tc>
          <w:tcPr>
            <w:tcW w:type="dxa" w:w="3447"/>
            <w:vAlign w:val="center"/>
          </w:tcPr>
          <w:p>
            <w:pPr>
              <w:pStyle w:val="BPTable"/>
              <w:keepNext/>
            </w:pPr>
            <w:r/>
            <w:r>
              <w:t>决定是否纳入课程服务与经费</w:t>
            </w:r>
          </w:p>
        </w:tc>
        <w:tc>
          <w:tcPr>
            <w:tcW w:type="dxa" w:w="3275"/>
            <w:vAlign w:val="center"/>
          </w:tcPr>
          <w:p>
            <w:pPr>
              <w:pStyle w:val="BPTable"/>
              <w:keepNext/>
            </w:pPr>
            <w:r/>
            <w:r>
              <w:t>服务边界、验收标准、数据与部署条件</w:t>
            </w:r>
          </w:p>
        </w:tc>
      </w:tr>
    </w:tbl>
    <w:p>
      <w:pPr>
        <w:pStyle w:val="BPSource"/>
      </w:pPr>
      <w:r>
        <w:t>注：角色划分为项目设计假设，付费主体尚未经采购与课程单位确认。</w:t>
      </w:r>
    </w:p>
    <w:p>
      <w:pPr>
        <w:pStyle w:val="BPBody"/>
      </w:pPr>
      <w:r>
        <w:t>使用者、决策者与付费主体分离，是本项目商业设计的起点：学生不付费，教师决定是否使用，院系决定是否购买。产品因此需要同时满足“学生愿意用”与“教师能验收”两个条件，而不是只提供一项生成式功能。</w:t>
      </w:r>
    </w:p>
    <w:p>
      <w:pPr>
        <w:pStyle w:val="BPH2"/>
      </w:pPr>
      <w:r>
        <w:t>2.3 首期课程与需求核实</w:t>
      </w:r>
    </w:p>
    <w:p>
      <w:pPr>
        <w:pStyle w:val="BPBody"/>
      </w:pPr>
      <w:r>
        <w:t>首期选择校内一门C语言基础课程，内容覆盖输入输出、分支、循环、数组和函数。首轮按1名任课教师、5名学生的规模安排访谈与受控操作观察，记录最近一次看不懂的错误、现有求助方式、提示理解偏差以及新增提交步骤的负担。该规模属于验证安排，不作为已完成的调研或教学实验，也不用于推断总体比例。</w:t>
      </w:r>
    </w:p>
    <w:p>
      <w:pPr>
        <w:pStyle w:val="BPBody"/>
      </w:pPr>
      <w:r>
        <w:t>需求核实设置三个判断点：教师是否愿意提供题目并复核提示；学生能否在提示后说明修改理由；教师能否在一分钟内从记录中定位需要辅导的学生。任一条件不满足，先修订流程，不扩大题目范围。</w:t>
      </w:r>
    </w:p>
    <w:p>
      <w:pPr>
        <w:pStyle w:val="BPH1"/>
        <w:spacing w:before="320"/>
      </w:pPr>
      <w:r>
        <w:t>3 产品与服务流程</w:t>
      </w:r>
    </w:p>
    <w:p>
      <w:pPr>
        <w:pStyle w:val="BPBody"/>
      </w:pPr>
      <w:r>
        <w:t>系统设计包括学生实训界面、评测服务、诊断与提示服务、过程记录和教师查看五个部分。学生保留编写与修改代码的主动权，系统只提供证据与分级提示，不替代学生完成练习。</w:t>
      </w:r>
    </w:p>
    <w:p>
      <w:pPr>
        <w:pStyle w:val="BPCaption"/>
        <w:keepNext/>
        <w:jc w:val="center"/>
      </w:pPr>
      <w:r>
        <w:t>表2 单题闭环与交付标准（产品设计）</w:t>
      </w:r>
    </w:p>
    <w:tbl>
      <w:tblPr>
        <w:tblW w:type="dxa" w:w="8617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206"/>
        <w:gridCol w:w="3964"/>
        <w:gridCol w:w="3447"/>
      </w:tblGrid>
      <w:tr>
        <w:trPr>
          <w:cantSplit/>
          <w:tblHeader/>
        </w:trPr>
        <w:tc>
          <w:tcPr>
            <w:tcW w:type="dxa" w:w="1206"/>
            <w:shd w:val="clear" w:color="auto" w:fill="F2F2F2"/>
            <w:vAlign w:val="center"/>
          </w:tcPr>
          <w:p>
            <w:pPr>
              <w:pStyle w:val="BPTable"/>
              <w:keepNext/>
              <w:jc w:val="center"/>
            </w:pPr>
            <w:r/>
            <w:r>
              <w:rPr>
                <w:b/>
              </w:rPr>
              <w:t>环节</w:t>
            </w:r>
          </w:p>
        </w:tc>
        <w:tc>
          <w:tcPr>
            <w:tcW w:type="dxa" w:w="3964"/>
            <w:shd w:val="clear" w:color="auto" w:fill="F2F2F2"/>
            <w:vAlign w:val="center"/>
          </w:tcPr>
          <w:p>
            <w:pPr>
              <w:pStyle w:val="BPTable"/>
              <w:keepNext/>
              <w:jc w:val="center"/>
            </w:pPr>
            <w:r/>
            <w:r>
              <w:rPr>
                <w:b/>
              </w:rPr>
              <w:t>系统输出</w:t>
            </w:r>
          </w:p>
        </w:tc>
        <w:tc>
          <w:tcPr>
            <w:tcW w:type="dxa" w:w="3447"/>
            <w:shd w:val="clear" w:color="auto" w:fill="F2F2F2"/>
            <w:vAlign w:val="center"/>
          </w:tcPr>
          <w:p>
            <w:pPr>
              <w:pStyle w:val="BPTable"/>
              <w:keepNext/>
              <w:jc w:val="center"/>
            </w:pPr>
            <w:r/>
            <w:r>
              <w:rPr>
                <w:b/>
              </w:rPr>
              <w:t>交付标准</w:t>
            </w:r>
          </w:p>
        </w:tc>
      </w:tr>
      <w:tr>
        <w:trPr>
          <w:cantSplit/>
        </w:trPr>
        <w:tc>
          <w:tcPr>
            <w:tcW w:type="dxa" w:w="1206"/>
            <w:vAlign w:val="center"/>
          </w:tcPr>
          <w:p>
            <w:pPr>
              <w:pStyle w:val="BPTable"/>
              <w:keepNext/>
            </w:pPr>
            <w:r/>
            <w:r>
              <w:t>提交</w:t>
            </w:r>
          </w:p>
        </w:tc>
        <w:tc>
          <w:tcPr>
            <w:tcW w:type="dxa" w:w="3964"/>
            <w:vAlign w:val="center"/>
          </w:tcPr>
          <w:p>
            <w:pPr>
              <w:pStyle w:val="BPTable"/>
              <w:keepNext/>
            </w:pPr>
            <w:r/>
            <w:r>
              <w:t>提交编号、代码版本、题目与语言</w:t>
            </w:r>
          </w:p>
        </w:tc>
        <w:tc>
          <w:tcPr>
            <w:tcW w:type="dxa" w:w="3447"/>
            <w:vAlign w:val="center"/>
          </w:tcPr>
          <w:p>
            <w:pPr>
              <w:pStyle w:val="BPTable"/>
              <w:keepNext/>
            </w:pPr>
            <w:r/>
            <w:r>
              <w:t>每次提交可追溯，重提不覆盖历史版本</w:t>
            </w:r>
          </w:p>
        </w:tc>
      </w:tr>
      <w:tr>
        <w:trPr>
          <w:cantSplit/>
        </w:trPr>
        <w:tc>
          <w:tcPr>
            <w:tcW w:type="dxa" w:w="1206"/>
            <w:vAlign w:val="center"/>
          </w:tcPr>
          <w:p>
            <w:pPr>
              <w:pStyle w:val="BPTable"/>
              <w:keepNext/>
            </w:pPr>
            <w:r/>
            <w:r>
              <w:t>评测</w:t>
            </w:r>
          </w:p>
        </w:tc>
        <w:tc>
          <w:tcPr>
            <w:tcW w:type="dxa" w:w="3964"/>
            <w:vAlign w:val="center"/>
          </w:tcPr>
          <w:p>
            <w:pPr>
              <w:pStyle w:val="BPTable"/>
              <w:keepNext/>
            </w:pPr>
            <w:r/>
            <w:r>
              <w:t>编译状态、运行状态、用例预期与实际输出</w:t>
            </w:r>
          </w:p>
        </w:tc>
        <w:tc>
          <w:tcPr>
            <w:tcW w:type="dxa" w:w="3447"/>
            <w:vAlign w:val="center"/>
          </w:tcPr>
          <w:p>
            <w:pPr>
              <w:pStyle w:val="BPTable"/>
              <w:keepNext/>
            </w:pPr>
            <w:r/>
            <w:r>
              <w:t>结果来自真实执行；超时与超限单独标注</w:t>
            </w:r>
          </w:p>
        </w:tc>
      </w:tr>
      <w:tr>
        <w:trPr>
          <w:cantSplit/>
        </w:trPr>
        <w:tc>
          <w:tcPr>
            <w:tcW w:type="dxa" w:w="1206"/>
            <w:vAlign w:val="center"/>
          </w:tcPr>
          <w:p>
            <w:pPr>
              <w:pStyle w:val="BPTable"/>
              <w:keepNext/>
            </w:pPr>
            <w:r/>
            <w:r>
              <w:t>证据展示</w:t>
            </w:r>
          </w:p>
        </w:tc>
        <w:tc>
          <w:tcPr>
            <w:tcW w:type="dxa" w:w="3964"/>
            <w:vAlign w:val="center"/>
          </w:tcPr>
          <w:p>
            <w:pPr>
              <w:pStyle w:val="BPTable"/>
              <w:keepNext/>
            </w:pPr>
            <w:r/>
            <w:r>
              <w:t>失败用例、差异摘要、涉及知识点</w:t>
            </w:r>
          </w:p>
        </w:tc>
        <w:tc>
          <w:tcPr>
            <w:tcW w:type="dxa" w:w="3447"/>
            <w:vAlign w:val="center"/>
          </w:tcPr>
          <w:p>
            <w:pPr>
              <w:pStyle w:val="BPTable"/>
              <w:keepNext/>
            </w:pPr>
            <w:r/>
            <w:r>
              <w:t>事实与推测分栏，推测标注依据</w:t>
            </w:r>
          </w:p>
        </w:tc>
      </w:tr>
      <w:tr>
        <w:trPr>
          <w:cantSplit/>
        </w:trPr>
        <w:tc>
          <w:tcPr>
            <w:tcW w:type="dxa" w:w="1206"/>
            <w:vAlign w:val="center"/>
          </w:tcPr>
          <w:p>
            <w:pPr>
              <w:pStyle w:val="BPTable"/>
              <w:keepNext/>
            </w:pPr>
            <w:r/>
            <w:r>
              <w:t>分层提示</w:t>
            </w:r>
          </w:p>
        </w:tc>
        <w:tc>
          <w:tcPr>
            <w:tcW w:type="dxa" w:w="3964"/>
            <w:vAlign w:val="center"/>
          </w:tcPr>
          <w:p>
            <w:pPr>
              <w:pStyle w:val="BPTable"/>
              <w:keepNext/>
            </w:pPr>
            <w:r/>
            <w:r>
              <w:t>第一层知识点引导、第二层逻辑定位、第三层修正思路</w:t>
            </w:r>
          </w:p>
        </w:tc>
        <w:tc>
          <w:tcPr>
            <w:tcW w:type="dxa" w:w="3447"/>
            <w:vAlign w:val="center"/>
          </w:tcPr>
          <w:p>
            <w:pPr>
              <w:pStyle w:val="BPTable"/>
              <w:keepNext/>
            </w:pPr>
            <w:r/>
            <w:r>
              <w:t>按请求逐层解锁，默认不给整题答案</w:t>
            </w:r>
          </w:p>
        </w:tc>
      </w:tr>
      <w:tr>
        <w:trPr>
          <w:cantSplit/>
        </w:trPr>
        <w:tc>
          <w:tcPr>
            <w:tcW w:type="dxa" w:w="1206"/>
            <w:vAlign w:val="center"/>
          </w:tcPr>
          <w:p>
            <w:pPr>
              <w:pStyle w:val="BPTable"/>
              <w:keepNext/>
            </w:pPr>
            <w:r/>
            <w:r>
              <w:t>修改重提</w:t>
            </w:r>
          </w:p>
        </w:tc>
        <w:tc>
          <w:tcPr>
            <w:tcW w:type="dxa" w:w="3964"/>
            <w:vAlign w:val="center"/>
          </w:tcPr>
          <w:p>
            <w:pPr>
              <w:pStyle w:val="BPTable"/>
              <w:keepNext/>
            </w:pPr>
            <w:r/>
            <w:r>
              <w:t>新旧版本对照、提示层级、重提结果</w:t>
            </w:r>
          </w:p>
        </w:tc>
        <w:tc>
          <w:tcPr>
            <w:tcW w:type="dxa" w:w="3447"/>
            <w:vAlign w:val="center"/>
          </w:tcPr>
          <w:p>
            <w:pPr>
              <w:pStyle w:val="BPTable"/>
              <w:keepNext/>
            </w:pPr>
            <w:r/>
            <w:r>
              <w:t>记录修改次数与通过状态</w:t>
            </w:r>
          </w:p>
        </w:tc>
      </w:tr>
      <w:tr>
        <w:trPr>
          <w:cantSplit/>
        </w:trPr>
        <w:tc>
          <w:tcPr>
            <w:tcW w:type="dxa" w:w="1206"/>
            <w:vAlign w:val="center"/>
          </w:tcPr>
          <w:p>
            <w:pPr>
              <w:pStyle w:val="BPTable"/>
              <w:keepNext/>
            </w:pPr>
            <w:r/>
            <w:r>
              <w:t>教师查看</w:t>
            </w:r>
          </w:p>
        </w:tc>
        <w:tc>
          <w:tcPr>
            <w:tcW w:type="dxa" w:w="3964"/>
            <w:vAlign w:val="center"/>
          </w:tcPr>
          <w:p>
            <w:pPr>
              <w:pStyle w:val="BPTable"/>
              <w:keepNext/>
            </w:pPr>
            <w:r/>
            <w:r>
              <w:t>班级失败分布、重复错因、单人轨迹</w:t>
            </w:r>
          </w:p>
        </w:tc>
        <w:tc>
          <w:tcPr>
            <w:tcW w:type="dxa" w:w="3447"/>
            <w:vAlign w:val="center"/>
          </w:tcPr>
          <w:p>
            <w:pPr>
              <w:pStyle w:val="BPTable"/>
              <w:keepNext/>
            </w:pPr>
            <w:r/>
            <w:r>
              <w:t>按课程授权访问，可导出辅导清单</w:t>
            </w:r>
          </w:p>
        </w:tc>
      </w:tr>
    </w:tbl>
    <w:p>
      <w:pPr>
        <w:pStyle w:val="BPSource"/>
      </w:pPr>
      <w:r>
        <w:t>注：流程为产品设计示意，非实际运行截图；各环节以可运行版本验收。</w:t>
      </w:r>
    </w:p>
    <w:p>
      <w:pPr>
        <w:pStyle w:val="BPBody"/>
      </w:pPr>
      <w:r>
        <w:t>三层提示的目标不同，避免一次把答案说完。第一层知识点引导，指出应关注的知识点或现象；第二层逻辑定位，引导学生定位到具体语句和变量取值；第三层修正思路，给出局部修改方向与验证方法。</w:t>
      </w:r>
    </w:p>
    <w:p>
      <w:pPr>
        <w:pStyle w:val="BPCaption"/>
        <w:keepNext/>
        <w:jc w:val="center"/>
      </w:pPr>
      <w:r>
        <w:t>表3 三层提示设计（模拟示例）</w:t>
      </w:r>
    </w:p>
    <w:tbl>
      <w:tblPr>
        <w:tblW w:type="dxa" w:w="8617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723"/>
        <w:gridCol w:w="2930"/>
        <w:gridCol w:w="3964"/>
      </w:tblGrid>
      <w:tr>
        <w:trPr>
          <w:cantSplit/>
          <w:tblHeader/>
        </w:trPr>
        <w:tc>
          <w:tcPr>
            <w:tcW w:type="dxa" w:w="1723"/>
            <w:shd w:val="clear" w:color="auto" w:fill="F2F2F2"/>
            <w:vAlign w:val="center"/>
          </w:tcPr>
          <w:p>
            <w:pPr>
              <w:pStyle w:val="BPTable"/>
              <w:keepNext/>
              <w:jc w:val="center"/>
            </w:pPr>
            <w:r/>
            <w:r>
              <w:rPr>
                <w:b/>
              </w:rPr>
              <w:t>层级</w:t>
            </w:r>
          </w:p>
        </w:tc>
        <w:tc>
          <w:tcPr>
            <w:tcW w:type="dxa" w:w="2930"/>
            <w:shd w:val="clear" w:color="auto" w:fill="F2F2F2"/>
            <w:vAlign w:val="center"/>
          </w:tcPr>
          <w:p>
            <w:pPr>
              <w:pStyle w:val="BPTable"/>
              <w:keepNext/>
              <w:jc w:val="center"/>
            </w:pPr>
            <w:r/>
            <w:r>
              <w:rPr>
                <w:b/>
              </w:rPr>
              <w:t>目标</w:t>
            </w:r>
          </w:p>
        </w:tc>
        <w:tc>
          <w:tcPr>
            <w:tcW w:type="dxa" w:w="3964"/>
            <w:shd w:val="clear" w:color="auto" w:fill="F2F2F2"/>
            <w:vAlign w:val="center"/>
          </w:tcPr>
          <w:p>
            <w:pPr>
              <w:pStyle w:val="BPTable"/>
              <w:keepNext/>
              <w:jc w:val="center"/>
            </w:pPr>
            <w:r/>
            <w:r>
              <w:rPr>
                <w:b/>
              </w:rPr>
              <w:t>示例：输出1至10</w:t>
            </w:r>
          </w:p>
        </w:tc>
      </w:tr>
      <w:tr>
        <w:trPr>
          <w:cantSplit/>
        </w:trPr>
        <w:tc>
          <w:tcPr>
            <w:tcW w:type="dxa" w:w="1723"/>
            <w:vAlign w:val="center"/>
          </w:tcPr>
          <w:p>
            <w:pPr>
              <w:pStyle w:val="BPTable"/>
              <w:keepNext/>
            </w:pPr>
            <w:r/>
            <w:r>
              <w:t>第一层 知识点引导</w:t>
            </w:r>
          </w:p>
        </w:tc>
        <w:tc>
          <w:tcPr>
            <w:tcW w:type="dxa" w:w="2930"/>
            <w:vAlign w:val="center"/>
          </w:tcPr>
          <w:p>
            <w:pPr>
              <w:pStyle w:val="BPTable"/>
              <w:keepNext/>
            </w:pPr>
            <w:r/>
            <w:r>
              <w:t>指出应关注的知识点或现象</w:t>
            </w:r>
          </w:p>
        </w:tc>
        <w:tc>
          <w:tcPr>
            <w:tcW w:type="dxa" w:w="3964"/>
            <w:vAlign w:val="center"/>
          </w:tcPr>
          <w:p>
            <w:pPr>
              <w:pStyle w:val="BPTable"/>
              <w:keepNext/>
            </w:pPr>
            <w:r/>
            <w:r>
              <w:t>检查循环终止条件与输出范围是否一致</w:t>
            </w:r>
          </w:p>
        </w:tc>
      </w:tr>
      <w:tr>
        <w:trPr>
          <w:cantSplit/>
        </w:trPr>
        <w:tc>
          <w:tcPr>
            <w:tcW w:type="dxa" w:w="1723"/>
            <w:vAlign w:val="center"/>
          </w:tcPr>
          <w:p>
            <w:pPr>
              <w:pStyle w:val="BPTable"/>
              <w:keepNext/>
            </w:pPr>
            <w:r/>
            <w:r>
              <w:t>第二层 逻辑定位</w:t>
            </w:r>
          </w:p>
        </w:tc>
        <w:tc>
          <w:tcPr>
            <w:tcW w:type="dxa" w:w="2930"/>
            <w:vAlign w:val="center"/>
          </w:tcPr>
          <w:p>
            <w:pPr>
              <w:pStyle w:val="BPTable"/>
              <w:keepNext/>
            </w:pPr>
            <w:r/>
            <w:r>
              <w:t>定位到具体语句与变量取值</w:t>
            </w:r>
          </w:p>
        </w:tc>
        <w:tc>
          <w:tcPr>
            <w:tcW w:type="dxa" w:w="3964"/>
            <w:vAlign w:val="center"/>
          </w:tcPr>
          <w:p>
            <w:pPr>
              <w:pStyle w:val="BPTable"/>
              <w:keepNext/>
            </w:pPr>
            <w:r/>
            <w:r>
              <w:t>代入 i=9 和 i=10，判断循环是否继续</w:t>
            </w:r>
          </w:p>
        </w:tc>
      </w:tr>
      <w:tr>
        <w:trPr>
          <w:cantSplit/>
        </w:trPr>
        <w:tc>
          <w:tcPr>
            <w:tcW w:type="dxa" w:w="1723"/>
            <w:vAlign w:val="center"/>
          </w:tcPr>
          <w:p>
            <w:pPr>
              <w:pStyle w:val="BPTable"/>
              <w:keepNext/>
            </w:pPr>
            <w:r/>
            <w:r>
              <w:t>第三层 修正思路</w:t>
            </w:r>
          </w:p>
        </w:tc>
        <w:tc>
          <w:tcPr>
            <w:tcW w:type="dxa" w:w="2930"/>
            <w:vAlign w:val="center"/>
          </w:tcPr>
          <w:p>
            <w:pPr>
              <w:pStyle w:val="BPTable"/>
              <w:keepNext/>
            </w:pPr>
            <w:r/>
            <w:r>
              <w:t>给出局部修改方向与验证方法</w:t>
            </w:r>
          </w:p>
        </w:tc>
        <w:tc>
          <w:tcPr>
            <w:tcW w:type="dxa" w:w="3964"/>
            <w:vAlign w:val="center"/>
          </w:tcPr>
          <w:p>
            <w:pPr>
              <w:pStyle w:val="BPTable"/>
              <w:keepNext/>
            </w:pPr>
            <w:r/>
            <w:r>
              <w:t>说明应使10进入循环，并用小输入验证</w:t>
            </w:r>
          </w:p>
        </w:tc>
      </w:tr>
    </w:tbl>
    <w:p>
      <w:pPr>
        <w:pStyle w:val="BPSource"/>
      </w:pPr>
      <w:r>
        <w:t>注：示例为项目自拟教学案例，用于说明提示层级，不含真实学生数据。</w:t>
      </w:r>
    </w:p>
    <w:p>
      <w:pPr>
        <w:pStyle w:val="BPBody"/>
      </w:pPr>
      <w:r>
        <w:t>实际评测结果与模型解释分开保存：编译与测试结果属于确定事实，错因判断属于推测，界面分别展示；证据不足时标注“无法判断”，回退到原始评测结果。提示只针对当前题目与本次失败依据，不跨题推断学生能力。</w:t>
      </w:r>
    </w:p>
    <w:p>
      <w:pPr>
        <w:pStyle w:val="BPBody"/>
      </w:pPr>
      <w:r>
        <w:t>教师端提供课程、题目、班级三个层级的查看入口，支持按连续失败次数筛选，保留每次提示的层级与时间。课程服务交付物包括题目与测试用例配置、提示策略设置、学期使用报告、问题处理记录和一次教师培训。</w:t>
      </w:r>
    </w:p>
    <w:p>
      <w:pPr>
        <w:pStyle w:val="BPBody"/>
      </w:pPr>
      <w:r>
        <w:t>课堂使用时，学生在原有IDE完成初稿后可粘贴或上传至系统，也可直接在页面编辑器中编写。每次提交生成编号，便于对照前后版本；教师在一节课结束时查看本班失败分布，选择下一节课集中讲解的知识点；连续三次未通过的学生，其使用过的提示层级保留在记录中，供课后个别辅导。</w:t>
      </w:r>
    </w:p>
    <w:p>
      <w:pPr>
        <w:pStyle w:val="BPH1"/>
        <w:spacing w:before="320"/>
      </w:pPr>
      <w:r>
        <w:t>4 项目特色与竞品比较</w:t>
      </w:r>
    </w:p>
    <w:p>
      <w:pPr>
        <w:pStyle w:val="BPH2"/>
      </w:pPr>
      <w:r>
        <w:t>4.1 三项设计</w:t>
      </w:r>
    </w:p>
    <w:p>
      <w:pPr>
        <w:pStyle w:val="BPBody"/>
      </w:pPr>
      <w:r>
        <w:t>一是评测证据驱动的结构化诊断，把编译信息、测试差异、知识点与提示逐项关联，输出中区分事实与推测。二是面向自主纠错的分层提示，按知识点引导、逻辑定位、修正思路逐级给出帮助，并记录使用情况。三是基于纠错过程的教学反馈，把重复失败、修改次数与提示层级汇总为教师可执行的辅导线索。</w:t>
      </w:r>
    </w:p>
    <w:p>
      <w:pPr>
        <w:pStyle w:val="BPBody"/>
      </w:pPr>
      <w:r>
        <w:t>三项设计属于应用流程的组合，不涉及原创编译器、自研基础模型或独创算法。项目不以“AI自动判题”作为卖点，而以“失败依据可查、提示有层级、过程可复核”作为交付标准。</w:t>
      </w:r>
    </w:p>
    <w:p>
      <w:pPr>
        <w:pStyle w:val="BPH2"/>
      </w:pPr>
      <w:r>
        <w:t>4.2 竞品对照</w:t>
      </w:r>
    </w:p>
    <w:p>
      <w:pPr>
        <w:pStyle w:val="BPCaption"/>
        <w:keepNext/>
        <w:jc w:val="center"/>
      </w:pPr>
      <w:r>
        <w:t>表4 主要竞品与比较重点（公开资料核查）</w:t>
      </w:r>
    </w:p>
    <w:tbl>
      <w:tblPr>
        <w:tblW w:type="dxa" w:w="8617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68"/>
        <w:gridCol w:w="3792"/>
        <w:gridCol w:w="2758"/>
      </w:tblGrid>
      <w:tr>
        <w:trPr>
          <w:cantSplit/>
          <w:tblHeader/>
        </w:trPr>
        <w:tc>
          <w:tcPr>
            <w:tcW w:type="dxa" w:w="2068"/>
            <w:shd w:val="clear" w:color="auto" w:fill="F2F2F2"/>
            <w:vAlign w:val="center"/>
          </w:tcPr>
          <w:p>
            <w:pPr>
              <w:pStyle w:val="BPTable"/>
              <w:keepNext/>
              <w:jc w:val="center"/>
            </w:pPr>
            <w:r/>
            <w:r>
              <w:rPr>
                <w:b/>
              </w:rPr>
              <w:t>产品</w:t>
            </w:r>
          </w:p>
        </w:tc>
        <w:tc>
          <w:tcPr>
            <w:tcW w:type="dxa" w:w="3792"/>
            <w:shd w:val="clear" w:color="auto" w:fill="F2F2F2"/>
            <w:vAlign w:val="center"/>
          </w:tcPr>
          <w:p>
            <w:pPr>
              <w:pStyle w:val="BPTable"/>
              <w:keepNext/>
              <w:jc w:val="center"/>
            </w:pPr>
            <w:r/>
            <w:r>
              <w:rPr>
                <w:b/>
              </w:rPr>
              <w:t>已确认的公开能力</w:t>
            </w:r>
          </w:p>
        </w:tc>
        <w:tc>
          <w:tcPr>
            <w:tcW w:type="dxa" w:w="2758"/>
            <w:shd w:val="clear" w:color="auto" w:fill="F2F2F2"/>
            <w:vAlign w:val="center"/>
          </w:tcPr>
          <w:p>
            <w:pPr>
              <w:pStyle w:val="BPTable"/>
              <w:keepNext/>
              <w:jc w:val="center"/>
            </w:pPr>
            <w:r/>
            <w:r>
              <w:rPr>
                <w:b/>
              </w:rPr>
              <w:t>本项目的比较重点</w:t>
            </w:r>
          </w:p>
        </w:tc>
      </w:tr>
      <w:tr>
        <w:trPr>
          <w:cantSplit/>
        </w:trPr>
        <w:tc>
          <w:tcPr>
            <w:tcW w:type="dxa" w:w="2068"/>
            <w:vAlign w:val="center"/>
          </w:tcPr>
          <w:p>
            <w:pPr>
              <w:pStyle w:val="BPTable"/>
              <w:keepNext/>
            </w:pPr>
            <w:r/>
            <w:r>
              <w:t>PTA 拼题A</w:t>
            </w:r>
          </w:p>
        </w:tc>
        <w:tc>
          <w:tcPr>
            <w:tcW w:type="dxa" w:w="3792"/>
            <w:vAlign w:val="center"/>
          </w:tcPr>
          <w:p>
            <w:pPr>
              <w:pStyle w:val="BPTable"/>
              <w:keepNext/>
            </w:pPr>
            <w:r/>
            <w:r>
              <w:t>自动评测、多题型；人工与智能混合答疑；成绩与答卷分析</w:t>
            </w:r>
          </w:p>
        </w:tc>
        <w:tc>
          <w:tcPr>
            <w:tcW w:type="dxa" w:w="2758"/>
            <w:vAlign w:val="center"/>
          </w:tcPr>
          <w:p>
            <w:pPr>
              <w:pStyle w:val="BPTable"/>
              <w:keepNext/>
            </w:pPr>
            <w:r/>
            <w:r>
              <w:t>单门课程中失败依据、提示与重提能否连续呈现</w:t>
            </w:r>
          </w:p>
        </w:tc>
      </w:tr>
      <w:tr>
        <w:trPr>
          <w:cantSplit/>
        </w:trPr>
        <w:tc>
          <w:tcPr>
            <w:tcW w:type="dxa" w:w="2068"/>
            <w:vAlign w:val="center"/>
          </w:tcPr>
          <w:p>
            <w:pPr>
              <w:pStyle w:val="BPTable"/>
              <w:keepNext/>
            </w:pPr>
            <w:r/>
            <w:r>
              <w:t>头歌 EduCoder</w:t>
            </w:r>
          </w:p>
        </w:tc>
        <w:tc>
          <w:tcPr>
            <w:tcW w:type="dxa" w:w="3792"/>
            <w:vAlign w:val="center"/>
          </w:tcPr>
          <w:p>
            <w:pPr>
              <w:pStyle w:val="BPTable"/>
              <w:keepNext/>
            </w:pPr>
            <w:r/>
            <w:r>
              <w:t>智能评测、大模型助教、代码回溯、课堂统计、本地化部署</w:t>
            </w:r>
          </w:p>
        </w:tc>
        <w:tc>
          <w:tcPr>
            <w:tcW w:type="dxa" w:w="2758"/>
            <w:vAlign w:val="center"/>
          </w:tcPr>
          <w:p>
            <w:pPr>
              <w:pStyle w:val="BPTable"/>
              <w:keepNext/>
            </w:pPr>
            <w:r/>
            <w:r>
              <w:t>课程适配工作量与教师查看路径</w:t>
            </w:r>
          </w:p>
        </w:tc>
      </w:tr>
      <w:tr>
        <w:trPr>
          <w:cantSplit/>
        </w:trPr>
        <w:tc>
          <w:tcPr>
            <w:tcW w:type="dxa" w:w="2068"/>
            <w:vAlign w:val="center"/>
          </w:tcPr>
          <w:p>
            <w:pPr>
              <w:pStyle w:val="BPTable"/>
              <w:keepNext/>
            </w:pPr>
            <w:r/>
            <w:r>
              <w:t>Moodle CodeRunner</w:t>
            </w:r>
          </w:p>
        </w:tc>
        <w:tc>
          <w:tcPr>
            <w:tcW w:type="dxa" w:w="3792"/>
            <w:vAlign w:val="center"/>
          </w:tcPr>
          <w:p>
            <w:pPr>
              <w:pStyle w:val="BPTable"/>
              <w:keepNext/>
            </w:pPr>
            <w:r/>
            <w:r>
              <w:t>测试驱动评测、重复提交、可定制反馈；需自建Jobe执行服务</w:t>
            </w:r>
          </w:p>
        </w:tc>
        <w:tc>
          <w:tcPr>
            <w:tcW w:type="dxa" w:w="2758"/>
            <w:vAlign w:val="center"/>
          </w:tcPr>
          <w:p>
            <w:pPr>
              <w:pStyle w:val="BPTable"/>
              <w:keepNext/>
            </w:pPr>
            <w:r/>
            <w:r>
              <w:t>与现有Moodle课程的低成本衔接</w:t>
            </w:r>
          </w:p>
        </w:tc>
      </w:tr>
      <w:tr>
        <w:trPr>
          <w:cantSplit/>
        </w:trPr>
        <w:tc>
          <w:tcPr>
            <w:tcW w:type="dxa" w:w="2068"/>
            <w:vAlign w:val="center"/>
          </w:tcPr>
          <w:p>
            <w:pPr>
              <w:pStyle w:val="BPTable"/>
              <w:keepNext/>
            </w:pPr>
            <w:r/>
            <w:r>
              <w:t>CodeGrade</w:t>
            </w:r>
          </w:p>
        </w:tc>
        <w:tc>
          <w:tcPr>
            <w:tcW w:type="dxa" w:w="3792"/>
            <w:vAlign w:val="center"/>
          </w:tcPr>
          <w:p>
            <w:pPr>
              <w:pStyle w:val="BPTable"/>
              <w:keepNext/>
            </w:pPr>
            <w:r/>
            <w:r>
              <w:t>自动评测、可配置AI助手、师生可见对话、LTI集成</w:t>
            </w:r>
          </w:p>
        </w:tc>
        <w:tc>
          <w:tcPr>
            <w:tcW w:type="dxa" w:w="2758"/>
            <w:vAlign w:val="center"/>
          </w:tcPr>
          <w:p>
            <w:pPr>
              <w:pStyle w:val="BPTable"/>
              <w:keepNext/>
            </w:pPr>
            <w:r/>
            <w:r>
              <w:t>中文课程场景的题目与提示配置</w:t>
            </w:r>
          </w:p>
        </w:tc>
      </w:tr>
      <w:tr>
        <w:trPr>
          <w:cantSplit/>
        </w:trPr>
        <w:tc>
          <w:tcPr>
            <w:tcW w:type="dxa" w:w="2068"/>
            <w:vAlign w:val="center"/>
          </w:tcPr>
          <w:p>
            <w:pPr>
              <w:pStyle w:val="BPTable"/>
              <w:keepNext/>
            </w:pPr>
            <w:r/>
            <w:r>
              <w:t>通用大模型（ChatGPT学习模式）</w:t>
            </w:r>
          </w:p>
        </w:tc>
        <w:tc>
          <w:tcPr>
            <w:tcW w:type="dxa" w:w="3792"/>
            <w:vAlign w:val="center"/>
          </w:tcPr>
          <w:p>
            <w:pPr>
              <w:pStyle w:val="BPTable"/>
              <w:keepNext/>
            </w:pPr>
            <w:r/>
            <w:r>
              <w:t>提问引导、逐步解释、学习反馈</w:t>
            </w:r>
          </w:p>
        </w:tc>
        <w:tc>
          <w:tcPr>
            <w:tcW w:type="dxa" w:w="2758"/>
            <w:vAlign w:val="center"/>
          </w:tcPr>
          <w:p>
            <w:pPr>
              <w:pStyle w:val="BPTable"/>
              <w:keepNext/>
            </w:pPr>
            <w:r/>
            <w:r>
              <w:t>与课程判题、教师干预链路的结合</w:t>
            </w:r>
          </w:p>
        </w:tc>
      </w:tr>
    </w:tbl>
    <w:p>
      <w:pPr>
        <w:pStyle w:val="BPSource"/>
      </w:pPr>
      <w:r>
        <w:t>来源：各产品官方公开资料，2026年10月23日核查；具体三级提示规则公开资料未逐项确认，未确认不等于不支持。</w:t>
      </w:r>
    </w:p>
    <w:p>
      <w:pPr>
        <w:pStyle w:val="BPBody"/>
      </w:pPr>
      <w:r>
        <w:t>上述产品已具备多项相关能力。项目不宣称功能独有或效果领先，差异点集中在C语言基础题的题目配置、提示顺序和教师可读的过程记录。比较指标为提示与证据的一致性、学生下一步操作是否明确、教师定位问题所需时间以及课程适配工时。</w:t>
      </w:r>
    </w:p>
    <w:p>
      <w:pPr>
        <w:pStyle w:val="BPH2"/>
      </w:pPr>
      <w:r>
        <w:t>4.3 可持续积累的资源</w:t>
      </w:r>
    </w:p>
    <w:p>
      <w:pPr>
        <w:pStyle w:val="BPBody"/>
      </w:pPr>
      <w:r>
        <w:t>若验证有效，可积累的资源包括经教师审核的错误样例与测试集、知识点标注规范、提示质量评审标准和课程适配流程。这些资源决定后续交付成本能否下降，也是与通用工具形成差别的实际基础。</w:t>
      </w:r>
    </w:p>
    <w:p>
      <w:pPr>
        <w:pStyle w:val="BPH1"/>
        <w:spacing w:before="320"/>
      </w:pPr>
      <w:r>
        <w:t>5 技术方案与首期范围</w:t>
      </w:r>
    </w:p>
    <w:p>
      <w:pPr>
        <w:pStyle w:val="BPBody"/>
      </w:pPr>
      <w:r>
        <w:t>系统采用Vue 3实现学生与教师页面，Python与FastAPI提供接口服务，SQLAlchemy访问MySQL，存储课程、题目、提交、评测、提示与查看记录；C语言评测采用GCC，在受限Docker环境中执行；模型能力通过兼容API接入，在评测证据约束下生成解释与提示。</w:t>
      </w:r>
    </w:p>
    <w:p>
      <w:pPr>
        <w:pStyle w:val="BPCaption"/>
        <w:keepNext/>
        <w:jc w:val="center"/>
      </w:pPr>
      <w:r>
        <w:t>表5 模块职责与首期验收条件（技术设计）</w:t>
      </w:r>
    </w:p>
    <w:tbl>
      <w:tblPr>
        <w:tblW w:type="dxa" w:w="8617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79"/>
        <w:gridCol w:w="3619"/>
        <w:gridCol w:w="3619"/>
      </w:tblGrid>
      <w:tr>
        <w:trPr>
          <w:cantSplit/>
          <w:tblHeader/>
        </w:trPr>
        <w:tc>
          <w:tcPr>
            <w:tcW w:type="dxa" w:w="1379"/>
            <w:shd w:val="clear" w:color="auto" w:fill="F2F2F2"/>
            <w:vAlign w:val="center"/>
          </w:tcPr>
          <w:p>
            <w:pPr>
              <w:pStyle w:val="BPTable"/>
              <w:keepNext/>
              <w:jc w:val="center"/>
            </w:pPr>
            <w:r/>
            <w:r>
              <w:rPr>
                <w:b/>
              </w:rPr>
              <w:t>模块</w:t>
            </w:r>
          </w:p>
        </w:tc>
        <w:tc>
          <w:tcPr>
            <w:tcW w:type="dxa" w:w="3619"/>
            <w:shd w:val="clear" w:color="auto" w:fill="F2F2F2"/>
            <w:vAlign w:val="center"/>
          </w:tcPr>
          <w:p>
            <w:pPr>
              <w:pStyle w:val="BPTable"/>
              <w:keepNext/>
              <w:jc w:val="center"/>
            </w:pPr>
            <w:r/>
            <w:r>
              <w:rPr>
                <w:b/>
              </w:rPr>
              <w:t>职责</w:t>
            </w:r>
          </w:p>
        </w:tc>
        <w:tc>
          <w:tcPr>
            <w:tcW w:type="dxa" w:w="3619"/>
            <w:shd w:val="clear" w:color="auto" w:fill="F2F2F2"/>
            <w:vAlign w:val="center"/>
          </w:tcPr>
          <w:p>
            <w:pPr>
              <w:pStyle w:val="BPTable"/>
              <w:keepNext/>
              <w:jc w:val="center"/>
            </w:pPr>
            <w:r/>
            <w:r>
              <w:rPr>
                <w:b/>
              </w:rPr>
              <w:t>首期验收条件</w:t>
            </w:r>
          </w:p>
        </w:tc>
      </w:tr>
      <w:tr>
        <w:trPr>
          <w:cantSplit/>
        </w:trPr>
        <w:tc>
          <w:tcPr>
            <w:tcW w:type="dxa" w:w="1379"/>
            <w:vAlign w:val="center"/>
          </w:tcPr>
          <w:p>
            <w:pPr>
              <w:pStyle w:val="BPTable"/>
              <w:keepNext/>
            </w:pPr>
            <w:r/>
            <w:r>
              <w:t>前端</w:t>
            </w:r>
          </w:p>
        </w:tc>
        <w:tc>
          <w:tcPr>
            <w:tcW w:type="dxa" w:w="3619"/>
            <w:vAlign w:val="center"/>
          </w:tcPr>
          <w:p>
            <w:pPr>
              <w:pStyle w:val="BPTable"/>
              <w:keepNext/>
            </w:pPr>
            <w:r/>
            <w:r>
              <w:t>题目、编辑器、提交状态、证据与逐层提示、教师查看</w:t>
            </w:r>
          </w:p>
        </w:tc>
        <w:tc>
          <w:tcPr>
            <w:tcW w:type="dxa" w:w="3619"/>
            <w:vAlign w:val="center"/>
          </w:tcPr>
          <w:p>
            <w:pPr>
              <w:pStyle w:val="BPTable"/>
              <w:keepNext/>
            </w:pPr>
            <w:r/>
            <w:r>
              <w:t>提交与题目对应；超时、失败、证据不足均可辨认</w:t>
            </w:r>
          </w:p>
        </w:tc>
      </w:tr>
      <w:tr>
        <w:trPr>
          <w:cantSplit/>
        </w:trPr>
        <w:tc>
          <w:tcPr>
            <w:tcW w:type="dxa" w:w="1379"/>
            <w:vAlign w:val="center"/>
          </w:tcPr>
          <w:p>
            <w:pPr>
              <w:pStyle w:val="BPTable"/>
              <w:keepNext/>
            </w:pPr>
            <w:r/>
            <w:r>
              <w:t>后端</w:t>
            </w:r>
          </w:p>
        </w:tc>
        <w:tc>
          <w:tcPr>
            <w:tcW w:type="dxa" w:w="3619"/>
            <w:vAlign w:val="center"/>
          </w:tcPr>
          <w:p>
            <w:pPr>
              <w:pStyle w:val="BPTable"/>
              <w:keepNext/>
            </w:pPr>
            <w:r/>
            <w:r>
              <w:t>请求校验、评测调度、诊断调用、权限控制</w:t>
            </w:r>
          </w:p>
        </w:tc>
        <w:tc>
          <w:tcPr>
            <w:tcW w:type="dxa" w:w="3619"/>
            <w:vAlign w:val="center"/>
          </w:tcPr>
          <w:p>
            <w:pPr>
              <w:pStyle w:val="BPTable"/>
              <w:keepNext/>
            </w:pPr>
            <w:r/>
            <w:r>
              <w:t>评测状态与模型状态分离；重复任务不重复计费</w:t>
            </w:r>
          </w:p>
        </w:tc>
      </w:tr>
      <w:tr>
        <w:trPr>
          <w:cantSplit/>
        </w:trPr>
        <w:tc>
          <w:tcPr>
            <w:tcW w:type="dxa" w:w="1379"/>
            <w:vAlign w:val="center"/>
          </w:tcPr>
          <w:p>
            <w:pPr>
              <w:pStyle w:val="BPTable"/>
              <w:keepNext/>
            </w:pPr>
            <w:r/>
            <w:r>
              <w:t>评测服务</w:t>
            </w:r>
          </w:p>
        </w:tc>
        <w:tc>
          <w:tcPr>
            <w:tcW w:type="dxa" w:w="3619"/>
            <w:vAlign w:val="center"/>
          </w:tcPr>
          <w:p>
            <w:pPr>
              <w:pStyle w:val="BPTable"/>
              <w:keepNext/>
            </w:pPr>
            <w:r/>
            <w:r>
              <w:t>编译、用例运行、结果比对、资源限制</w:t>
            </w:r>
          </w:p>
        </w:tc>
        <w:tc>
          <w:tcPr>
            <w:tcW w:type="dxa" w:w="3619"/>
            <w:vAlign w:val="center"/>
          </w:tcPr>
          <w:p>
            <w:pPr>
              <w:pStyle w:val="BPTable"/>
              <w:keepNext/>
            </w:pPr>
            <w:r/>
            <w:r>
              <w:t>限时、限内存、限进程、禁外网、独立临时目录</w:t>
            </w:r>
          </w:p>
        </w:tc>
      </w:tr>
      <w:tr>
        <w:trPr>
          <w:cantSplit/>
        </w:trPr>
        <w:tc>
          <w:tcPr>
            <w:tcW w:type="dxa" w:w="1379"/>
            <w:vAlign w:val="center"/>
          </w:tcPr>
          <w:p>
            <w:pPr>
              <w:pStyle w:val="BPTable"/>
              <w:keepNext/>
            </w:pPr>
            <w:r/>
            <w:r>
              <w:t>数据存储</w:t>
            </w:r>
          </w:p>
        </w:tc>
        <w:tc>
          <w:tcPr>
            <w:tcW w:type="dxa" w:w="3619"/>
            <w:vAlign w:val="center"/>
          </w:tcPr>
          <w:p>
            <w:pPr>
              <w:pStyle w:val="BPTable"/>
              <w:keepNext/>
            </w:pPr>
            <w:r/>
            <w:r>
              <w:t>课程、题目、提交版本、评测与提示记录</w:t>
            </w:r>
          </w:p>
        </w:tc>
        <w:tc>
          <w:tcPr>
            <w:tcW w:type="dxa" w:w="3619"/>
            <w:vAlign w:val="center"/>
          </w:tcPr>
          <w:p>
            <w:pPr>
              <w:pStyle w:val="BPTable"/>
              <w:keepNext/>
            </w:pPr>
            <w:r/>
            <w:r>
              <w:t>按角色授权查询；备份与删除流程可执行</w:t>
            </w:r>
          </w:p>
        </w:tc>
      </w:tr>
      <w:tr>
        <w:trPr>
          <w:cantSplit/>
        </w:trPr>
        <w:tc>
          <w:tcPr>
            <w:tcW w:type="dxa" w:w="1379"/>
            <w:vAlign w:val="center"/>
          </w:tcPr>
          <w:p>
            <w:pPr>
              <w:pStyle w:val="BPTable"/>
              <w:keepNext/>
            </w:pPr>
            <w:r/>
            <w:r>
              <w:t>模型服务</w:t>
            </w:r>
          </w:p>
        </w:tc>
        <w:tc>
          <w:tcPr>
            <w:tcW w:type="dxa" w:w="3619"/>
            <w:vAlign w:val="center"/>
          </w:tcPr>
          <w:p>
            <w:pPr>
              <w:pStyle w:val="BPTable"/>
              <w:keepNext/>
            </w:pPr>
            <w:r/>
            <w:r>
              <w:t>依据证据生成结构化错因与提示</w:t>
            </w:r>
          </w:p>
        </w:tc>
        <w:tc>
          <w:tcPr>
            <w:tcW w:type="dxa" w:w="3619"/>
            <w:vAlign w:val="center"/>
          </w:tcPr>
          <w:p>
            <w:pPr>
              <w:pStyle w:val="BPTable"/>
              <w:keepNext/>
            </w:pPr>
            <w:r/>
            <w:r>
              <w:t>输出格式校验；证据不足标未知；失败回退原始结果</w:t>
            </w:r>
          </w:p>
        </w:tc>
      </w:tr>
    </w:tbl>
    <w:p>
      <w:pPr>
        <w:pStyle w:val="BPSource"/>
      </w:pPr>
      <w:r>
        <w:t>注：技术设计与验收条件，用于说明实施范围，不作为已完成功能清单。</w:t>
      </w:r>
    </w:p>
    <w:p>
      <w:pPr>
        <w:pStyle w:val="BPBody"/>
      </w:pPr>
      <w:r>
        <w:t>安全边界按“不可信代码不在业务进程中执行”设计：评测工作器独立部署，非特权运行，默认断网，限制CPU、内存、进程数与输出大小，任务结束清理临时目录；模型调用设置超时、额度与降级。相关参数需联合调试并通过安全复测后，才开放真实学生代码提交。</w:t>
      </w:r>
    </w:p>
    <w:p>
      <w:pPr>
        <w:pStyle w:val="BPBody"/>
      </w:pPr>
      <w:r>
        <w:t>首期范围是一道题的完整闭环加一组基础题，完成提交、评测、证据展示、三层提示、修改重提与教师查看；题目覆盖输入输出、分支、循环、数组和函数。多租户、支付、移动端与大规模题库不列入首期，Java、Python评测适配列入后续扩展。</w:t>
      </w:r>
    </w:p>
    <w:p>
      <w:pPr>
        <w:pStyle w:val="BPBody"/>
      </w:pPr>
      <w:r>
        <w:t>部署上，前端、后端、评测工作器与MySQL分列运行，原型阶段采用单机多容器与低并发队列。接口说明、数据库结构与部署步骤随版本更新；评测记录与业务数据分开存放，提交记录保留版本号与时间，便于复现问题。</w:t>
      </w:r>
    </w:p>
    <w:p>
      <w:pPr>
        <w:pStyle w:val="BPH1"/>
        <w:spacing w:before="320"/>
      </w:pPr>
      <w:r>
        <w:t>6 商业模式、定价逻辑与市场进入</w:t>
      </w:r>
    </w:p>
    <w:p>
      <w:pPr>
        <w:pStyle w:val="BPH2"/>
      </w:pPr>
      <w:r>
        <w:t>6.1 付费理由与服务边界</w:t>
      </w:r>
    </w:p>
    <w:p>
      <w:pPr>
        <w:pStyle w:val="BPBody"/>
      </w:pPr>
      <w:r>
        <w:t>采购方购买的不是一项生成式功能，而是一学期的课程服务：题目与测试用例配置、提示策略设置、评测与记录运行、教师使用报告和问题处理。付费理由有三条：减少教师整理错误与重复解释的时间；让辅导对象从凭印象变为有记录；把课程练习沉淀为可复用的题目与案例资产。</w:t>
      </w:r>
    </w:p>
    <w:p>
      <w:pPr>
        <w:pStyle w:val="BPBody"/>
      </w:pPr>
      <w:r>
        <w:t>服务边界同样明确：不替代教师授课，不提供整题答案，不承诺提分，不承接学校现有教学平台的账号与数据迁移。超出约定人数、题目数量、调用量或支持时长的需求，另行评估。</w:t>
      </w:r>
    </w:p>
    <w:p>
      <w:pPr>
        <w:pStyle w:val="BPH2"/>
      </w:pPr>
      <w:r>
        <w:t>6.2 收费方式与定价逻辑</w:t>
      </w:r>
    </w:p>
    <w:p>
      <w:pPr>
        <w:pStyle w:val="BPBody"/>
      </w:pPr>
      <w:r>
        <w:t>收费以课程包为单位，一个课程包对应一个班级、一门课程、一个学期，包含约定人数、题目数量、模型调用额度、教师培训与支持工时。假设价格为1500元/课程包/学期，依据是单包交付成本533元与约9小时的教师支持投入。该价格仅为测算情景，不构成报价，也未取得采购确认。</w:t>
      </w:r>
    </w:p>
    <w:p>
      <w:pPr>
        <w:pStyle w:val="BPBody"/>
      </w:pPr>
      <w:r>
        <w:t>续费取决于三项可验收结果：教师实际使用报告并据此安排辅导；提示被学生理解并转化为修改；课程适配工时随题目复用而下降。三项均未达成时，应调整服务内容，而不是依靠扩大用户数量。</w:t>
      </w:r>
    </w:p>
    <w:p>
      <w:pPr>
        <w:pStyle w:val="BPH2"/>
      </w:pPr>
      <w:r>
        <w:t>6.3 市场进入</w:t>
      </w:r>
    </w:p>
    <w:p>
      <w:pPr>
        <w:pStyle w:val="BPCaption"/>
        <w:keepNext/>
        <w:jc w:val="center"/>
      </w:pPr>
      <w:r>
        <w:t>表6 四阶段市场进入安排（计划）</w:t>
      </w:r>
    </w:p>
    <w:tbl>
      <w:tblPr>
        <w:tblW w:type="dxa" w:w="8617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551"/>
        <w:gridCol w:w="3964"/>
        <w:gridCol w:w="3102"/>
      </w:tblGrid>
      <w:tr>
        <w:trPr>
          <w:cantSplit/>
          <w:tblHeader/>
        </w:trPr>
        <w:tc>
          <w:tcPr>
            <w:tcW w:type="dxa" w:w="1551"/>
            <w:shd w:val="clear" w:color="auto" w:fill="F2F2F2"/>
            <w:vAlign w:val="center"/>
          </w:tcPr>
          <w:p>
            <w:pPr>
              <w:pStyle w:val="BPTable"/>
              <w:keepNext/>
              <w:jc w:val="center"/>
            </w:pPr>
            <w:r/>
            <w:r>
              <w:rPr>
                <w:b/>
              </w:rPr>
              <w:t>阶段</w:t>
            </w:r>
          </w:p>
        </w:tc>
        <w:tc>
          <w:tcPr>
            <w:tcW w:type="dxa" w:w="3964"/>
            <w:shd w:val="clear" w:color="auto" w:fill="F2F2F2"/>
            <w:vAlign w:val="center"/>
          </w:tcPr>
          <w:p>
            <w:pPr>
              <w:pStyle w:val="BPTable"/>
              <w:keepNext/>
              <w:jc w:val="center"/>
            </w:pPr>
            <w:r/>
            <w:r>
              <w:rPr>
                <w:b/>
              </w:rPr>
              <w:t>主要动作</w:t>
            </w:r>
          </w:p>
        </w:tc>
        <w:tc>
          <w:tcPr>
            <w:tcW w:type="dxa" w:w="3102"/>
            <w:shd w:val="clear" w:color="auto" w:fill="F2F2F2"/>
            <w:vAlign w:val="center"/>
          </w:tcPr>
          <w:p>
            <w:pPr>
              <w:pStyle w:val="BPTable"/>
              <w:keepNext/>
              <w:jc w:val="center"/>
            </w:pPr>
            <w:r/>
            <w:r>
              <w:rPr>
                <w:b/>
              </w:rPr>
              <w:t>进入下一阶段的条件</w:t>
            </w:r>
          </w:p>
        </w:tc>
      </w:tr>
      <w:tr>
        <w:trPr>
          <w:cantSplit/>
        </w:trPr>
        <w:tc>
          <w:tcPr>
            <w:tcW w:type="dxa" w:w="1551"/>
            <w:vAlign w:val="center"/>
          </w:tcPr>
          <w:p>
            <w:pPr>
              <w:pStyle w:val="BPTable"/>
              <w:keepNext/>
            </w:pPr>
            <w:r/>
            <w:r>
              <w:t>校内课程验证</w:t>
            </w:r>
          </w:p>
        </w:tc>
        <w:tc>
          <w:tcPr>
            <w:tcW w:type="dxa" w:w="3964"/>
            <w:vAlign w:val="center"/>
          </w:tcPr>
          <w:p>
            <w:pPr>
              <w:pStyle w:val="BPTable"/>
              <w:keepNext/>
            </w:pPr>
            <w:r/>
            <w:r>
              <w:t>1门C语言课、1名教师、5名学生受控试用</w:t>
            </w:r>
          </w:p>
        </w:tc>
        <w:tc>
          <w:tcPr>
            <w:tcW w:type="dxa" w:w="3102"/>
            <w:vAlign w:val="center"/>
          </w:tcPr>
          <w:p>
            <w:pPr>
              <w:pStyle w:val="BPTable"/>
              <w:keepNext/>
            </w:pPr>
            <w:r/>
            <w:r>
              <w:t>教师认可提示质量，流程可完整演示</w:t>
            </w:r>
          </w:p>
        </w:tc>
      </w:tr>
      <w:tr>
        <w:trPr>
          <w:cantSplit/>
        </w:trPr>
        <w:tc>
          <w:tcPr>
            <w:tcW w:type="dxa" w:w="1551"/>
            <w:vAlign w:val="center"/>
          </w:tcPr>
          <w:p>
            <w:pPr>
              <w:pStyle w:val="BPTable"/>
              <w:keepNext/>
            </w:pPr>
            <w:r/>
            <w:r>
              <w:t>课程服务包</w:t>
            </w:r>
          </w:p>
        </w:tc>
        <w:tc>
          <w:tcPr>
            <w:tcW w:type="dxa" w:w="3964"/>
            <w:vAlign w:val="center"/>
          </w:tcPr>
          <w:p>
            <w:pPr>
              <w:pStyle w:val="BPTable"/>
              <w:keepNext/>
            </w:pPr>
            <w:r/>
            <w:r>
              <w:t>固定人数、题目、支持与调用上限，形成验收清单</w:t>
            </w:r>
          </w:p>
        </w:tc>
        <w:tc>
          <w:tcPr>
            <w:tcW w:type="dxa" w:w="3102"/>
            <w:vAlign w:val="center"/>
          </w:tcPr>
          <w:p>
            <w:pPr>
              <w:pStyle w:val="BPTable"/>
              <w:keepNext/>
            </w:pPr>
            <w:r/>
            <w:r>
              <w:t>教师愿意在下一学期继续使用</w:t>
            </w:r>
          </w:p>
        </w:tc>
      </w:tr>
      <w:tr>
        <w:trPr>
          <w:cantSplit/>
        </w:trPr>
        <w:tc>
          <w:tcPr>
            <w:tcW w:type="dxa" w:w="1551"/>
            <w:vAlign w:val="center"/>
          </w:tcPr>
          <w:p>
            <w:pPr>
              <w:pStyle w:val="BPTable"/>
              <w:keepNext/>
            </w:pPr>
            <w:r/>
            <w:r>
              <w:t>院系部署</w:t>
            </w:r>
          </w:p>
        </w:tc>
        <w:tc>
          <w:tcPr>
            <w:tcW w:type="dxa" w:w="3964"/>
            <w:vAlign w:val="center"/>
          </w:tcPr>
          <w:p>
            <w:pPr>
              <w:pStyle w:val="BPTable"/>
              <w:keepNext/>
            </w:pPr>
            <w:r/>
            <w:r>
              <w:t>提供部署说明、账号与数据边界、维护响应</w:t>
            </w:r>
          </w:p>
        </w:tc>
        <w:tc>
          <w:tcPr>
            <w:tcW w:type="dxa" w:w="3102"/>
            <w:vAlign w:val="center"/>
          </w:tcPr>
          <w:p>
            <w:pPr>
              <w:pStyle w:val="BPTable"/>
              <w:keepNext/>
            </w:pPr>
            <w:r/>
            <w:r>
              <w:t>完成一次完整学期交付，支持成本可控</w:t>
            </w:r>
          </w:p>
        </w:tc>
      </w:tr>
      <w:tr>
        <w:trPr>
          <w:cantSplit/>
        </w:trPr>
        <w:tc>
          <w:tcPr>
            <w:tcW w:type="dxa" w:w="1551"/>
            <w:vAlign w:val="center"/>
          </w:tcPr>
          <w:p>
            <w:pPr>
              <w:pStyle w:val="BPTable"/>
              <w:keepNext/>
            </w:pPr>
            <w:r/>
            <w:r>
              <w:t>跨校推广</w:t>
            </w:r>
          </w:p>
        </w:tc>
        <w:tc>
          <w:tcPr>
            <w:tcW w:type="dxa" w:w="3964"/>
            <w:vAlign w:val="center"/>
          </w:tcPr>
          <w:p>
            <w:pPr>
              <w:pStyle w:val="BPTable"/>
              <w:keepNext/>
            </w:pPr>
            <w:r/>
            <w:r>
              <w:t>以获准公开的课程案例参加教师交流</w:t>
            </w:r>
          </w:p>
        </w:tc>
        <w:tc>
          <w:tcPr>
            <w:tcW w:type="dxa" w:w="3102"/>
            <w:vAlign w:val="center"/>
          </w:tcPr>
          <w:p>
            <w:pPr>
              <w:pStyle w:val="BPTable"/>
              <w:keepNext/>
            </w:pPr>
            <w:r/>
            <w:r>
              <w:t>案例可复核，交付可复制</w:t>
            </w:r>
          </w:p>
        </w:tc>
      </w:tr>
    </w:tbl>
    <w:p>
      <w:pPr>
        <w:pStyle w:val="BPSource"/>
      </w:pPr>
      <w:r>
        <w:t>注：阶段安排为计划，未签约客户、未产生收入；试用规模为验证安排。</w:t>
      </w:r>
    </w:p>
    <w:p>
      <w:pPr>
        <w:pStyle w:val="BPBody"/>
      </w:pPr>
      <w:r>
        <w:t>推广不使用未经确认的学校名称、学生人数或合作意向，初期不投放付费广告，获客依靠任课教师之间的课程交流与教研室试用。每次教师沟通记录课程、现有工具、需求与下一步，不把一次交流统计为客户。</w:t>
      </w:r>
    </w:p>
    <w:p>
      <w:pPr>
        <w:pStyle w:val="BPH1"/>
        <w:spacing w:before="320"/>
      </w:pPr>
      <w:r>
        <w:t>7 团队分工与实施计划</w:t>
      </w:r>
    </w:p>
    <w:p>
      <w:pPr>
        <w:pStyle w:val="BPBody"/>
      </w:pPr>
      <w:r>
        <w:t>ZERO团队由4名学生组成，负责人叶兴楠。近期分工按现有投入安排，优先保证一条完整流程可交付，不按四人同时独立承担前端、后端与模型工作的产能估算排期。本轮材料于2026年10月25日前提交指导教师审阅。</w:t>
      </w:r>
    </w:p>
    <w:p>
      <w:pPr>
        <w:pStyle w:val="BPCaption"/>
        <w:keepNext/>
        <w:jc w:val="center"/>
      </w:pPr>
      <w:r>
        <w:t>表7 团队近期分工</w:t>
      </w:r>
    </w:p>
    <w:tbl>
      <w:tblPr>
        <w:tblW w:type="dxa" w:w="8617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723"/>
        <w:gridCol w:w="3792"/>
        <w:gridCol w:w="3102"/>
      </w:tblGrid>
      <w:tr>
        <w:trPr>
          <w:cantSplit/>
          <w:tblHeader/>
        </w:trPr>
        <w:tc>
          <w:tcPr>
            <w:tcW w:type="dxa" w:w="1723"/>
            <w:shd w:val="clear" w:color="auto" w:fill="F2F2F2"/>
            <w:vAlign w:val="center"/>
          </w:tcPr>
          <w:p>
            <w:pPr>
              <w:pStyle w:val="BPTable"/>
              <w:keepNext/>
              <w:jc w:val="center"/>
            </w:pPr>
            <w:r/>
            <w:r>
              <w:rPr>
                <w:b/>
              </w:rPr>
              <w:t>成员</w:t>
            </w:r>
          </w:p>
        </w:tc>
        <w:tc>
          <w:tcPr>
            <w:tcW w:type="dxa" w:w="3792"/>
            <w:shd w:val="clear" w:color="auto" w:fill="F2F2F2"/>
            <w:vAlign w:val="center"/>
          </w:tcPr>
          <w:p>
            <w:pPr>
              <w:pStyle w:val="BPTable"/>
              <w:keepNext/>
              <w:jc w:val="center"/>
            </w:pPr>
            <w:r/>
            <w:r>
              <w:rPr>
                <w:b/>
              </w:rPr>
              <w:t>主要职责</w:t>
            </w:r>
          </w:p>
        </w:tc>
        <w:tc>
          <w:tcPr>
            <w:tcW w:type="dxa" w:w="3102"/>
            <w:shd w:val="clear" w:color="auto" w:fill="F2F2F2"/>
            <w:vAlign w:val="center"/>
          </w:tcPr>
          <w:p>
            <w:pPr>
              <w:pStyle w:val="BPTable"/>
              <w:keepNext/>
              <w:jc w:val="center"/>
            </w:pPr>
            <w:r/>
            <w:r>
              <w:rPr>
                <w:b/>
              </w:rPr>
              <w:t>当前交付</w:t>
            </w:r>
          </w:p>
        </w:tc>
      </w:tr>
      <w:tr>
        <w:trPr>
          <w:cantSplit/>
        </w:trPr>
        <w:tc>
          <w:tcPr>
            <w:tcW w:type="dxa" w:w="1723"/>
            <w:vAlign w:val="center"/>
          </w:tcPr>
          <w:p>
            <w:pPr>
              <w:pStyle w:val="BPTable"/>
              <w:keepNext/>
            </w:pPr>
            <w:r/>
            <w:r>
              <w:t>叶兴楠（负责人）</w:t>
            </w:r>
          </w:p>
        </w:tc>
        <w:tc>
          <w:tcPr>
            <w:tcW w:type="dxa" w:w="3792"/>
            <w:vAlign w:val="center"/>
          </w:tcPr>
          <w:p>
            <w:pPr>
              <w:pStyle w:val="BPTable"/>
              <w:keepNext/>
            </w:pPr>
            <w:r/>
            <w:r>
              <w:t>需求定义、版本规划、材料统筹、教师沟通、答辩</w:t>
            </w:r>
          </w:p>
        </w:tc>
        <w:tc>
          <w:tcPr>
            <w:tcW w:type="dxa" w:w="3102"/>
            <w:vAlign w:val="center"/>
          </w:tcPr>
          <w:p>
            <w:pPr>
              <w:pStyle w:val="BPTable"/>
              <w:keepNext/>
            </w:pPr>
            <w:r/>
            <w:r>
              <w:t>需求清单、里程碑、两份材料、沟通记录</w:t>
            </w:r>
          </w:p>
        </w:tc>
      </w:tr>
      <w:tr>
        <w:trPr>
          <w:cantSplit/>
        </w:trPr>
        <w:tc>
          <w:tcPr>
            <w:tcW w:type="dxa" w:w="1723"/>
            <w:vAlign w:val="center"/>
          </w:tcPr>
          <w:p>
            <w:pPr>
              <w:pStyle w:val="BPTable"/>
              <w:keepNext/>
            </w:pPr>
            <w:r/>
            <w:r>
              <w:t>林李想</w:t>
            </w:r>
          </w:p>
        </w:tc>
        <w:tc>
          <w:tcPr>
            <w:tcW w:type="dxa" w:w="3792"/>
            <w:vAlign w:val="center"/>
          </w:tcPr>
          <w:p>
            <w:pPr>
              <w:pStyle w:val="BPTable"/>
              <w:keepNext/>
            </w:pPr>
            <w:r/>
            <w:r>
              <w:t>前后端实现、接口集成、评测服务联调</w:t>
            </w:r>
          </w:p>
        </w:tc>
        <w:tc>
          <w:tcPr>
            <w:tcW w:type="dxa" w:w="3102"/>
            <w:vAlign w:val="center"/>
          </w:tcPr>
          <w:p>
            <w:pPr>
              <w:pStyle w:val="BPTable"/>
              <w:keepNext/>
            </w:pPr>
            <w:r/>
            <w:r>
              <w:t>可运行的单题闭环与接口说明</w:t>
            </w:r>
          </w:p>
        </w:tc>
      </w:tr>
      <w:tr>
        <w:trPr>
          <w:cantSplit/>
        </w:trPr>
        <w:tc>
          <w:tcPr>
            <w:tcW w:type="dxa" w:w="1723"/>
            <w:vAlign w:val="center"/>
          </w:tcPr>
          <w:p>
            <w:pPr>
              <w:pStyle w:val="BPTable"/>
              <w:keepNext/>
            </w:pPr>
            <w:r/>
            <w:r>
              <w:t>汪盛淇</w:t>
            </w:r>
          </w:p>
        </w:tc>
        <w:tc>
          <w:tcPr>
            <w:tcW w:type="dxa" w:w="3792"/>
            <w:vAlign w:val="center"/>
          </w:tcPr>
          <w:p>
            <w:pPr>
              <w:pStyle w:val="BPTable"/>
              <w:keepNext/>
            </w:pPr>
            <w:r/>
            <w:r>
              <w:t>材料整理、试用组织、验收记录</w:t>
            </w:r>
          </w:p>
        </w:tc>
        <w:tc>
          <w:tcPr>
            <w:tcW w:type="dxa" w:w="3102"/>
            <w:vAlign w:val="center"/>
          </w:tcPr>
          <w:p>
            <w:pPr>
              <w:pStyle w:val="BPTable"/>
              <w:keepNext/>
            </w:pPr>
            <w:r/>
            <w:r>
              <w:t>试用记录、验收清单、材料校核</w:t>
            </w:r>
          </w:p>
        </w:tc>
      </w:tr>
      <w:tr>
        <w:trPr>
          <w:cantSplit/>
        </w:trPr>
        <w:tc>
          <w:tcPr>
            <w:tcW w:type="dxa" w:w="1723"/>
            <w:vAlign w:val="center"/>
          </w:tcPr>
          <w:p>
            <w:pPr>
              <w:pStyle w:val="BPTable"/>
              <w:keepNext/>
            </w:pPr>
            <w:r/>
            <w:r>
              <w:t>黄显涛</w:t>
            </w:r>
          </w:p>
        </w:tc>
        <w:tc>
          <w:tcPr>
            <w:tcW w:type="dxa" w:w="3792"/>
            <w:vAlign w:val="center"/>
          </w:tcPr>
          <w:p>
            <w:pPr>
              <w:pStyle w:val="BPTable"/>
              <w:keepNext/>
            </w:pPr>
            <w:r/>
            <w:r>
              <w:t>团队成员，结合到岗情况参与题目与试用记录整理</w:t>
            </w:r>
          </w:p>
        </w:tc>
        <w:tc>
          <w:tcPr>
            <w:tcW w:type="dxa" w:w="3102"/>
            <w:vAlign w:val="center"/>
          </w:tcPr>
          <w:p>
            <w:pPr>
              <w:pStyle w:val="BPTable"/>
              <w:keepNext/>
            </w:pPr>
            <w:r/>
            <w:r>
              <w:t>不承担关键路径交付，任务由负责人协调</w:t>
            </w:r>
          </w:p>
        </w:tc>
      </w:tr>
    </w:tbl>
    <w:p>
      <w:pPr>
        <w:pStyle w:val="BPSource"/>
      </w:pPr>
      <w:r>
        <w:t>注：分工按负责人确认的近期投入安排；指导教师姓名与职称待确认。</w:t>
      </w:r>
    </w:p>
    <w:p>
      <w:pPr>
        <w:pStyle w:val="BPBody"/>
      </w:pPr>
      <w:r>
        <w:t>指导教师1—2名，姓名与职称待确认，指导重点为程序设计教学评价、评测安全与商业调研。团队按周设置任务与演示，接口与提示输出由不同成员交叉检查，需求变更由负责人登记。</w:t>
      </w:r>
    </w:p>
    <w:p>
      <w:pPr>
        <w:pStyle w:val="BPCaption"/>
        <w:keepNext/>
        <w:jc w:val="center"/>
      </w:pPr>
      <w:r>
        <w:t>表8 实施计划与当前进度</w:t>
      </w:r>
    </w:p>
    <w:tbl>
      <w:tblPr>
        <w:tblW w:type="dxa" w:w="8617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293"/>
        <w:gridCol w:w="2068"/>
        <w:gridCol w:w="3188"/>
        <w:gridCol w:w="2068"/>
      </w:tblGrid>
      <w:tr>
        <w:trPr>
          <w:cantSplit/>
          <w:tblHeader/>
        </w:trPr>
        <w:tc>
          <w:tcPr>
            <w:tcW w:type="dxa" w:w="1293"/>
            <w:shd w:val="clear" w:color="auto" w:fill="F2F2F2"/>
            <w:vAlign w:val="center"/>
          </w:tcPr>
          <w:p>
            <w:pPr>
              <w:pStyle w:val="BPTable"/>
              <w:keepNext/>
              <w:jc w:val="center"/>
            </w:pPr>
            <w:r/>
            <w:r>
              <w:rPr>
                <w:b/>
              </w:rPr>
              <w:t>阶段</w:t>
            </w:r>
          </w:p>
        </w:tc>
        <w:tc>
          <w:tcPr>
            <w:tcW w:type="dxa" w:w="2068"/>
            <w:shd w:val="clear" w:color="auto" w:fill="F2F2F2"/>
            <w:vAlign w:val="center"/>
          </w:tcPr>
          <w:p>
            <w:pPr>
              <w:pStyle w:val="BPTable"/>
              <w:keepNext/>
              <w:jc w:val="center"/>
            </w:pPr>
            <w:r/>
            <w:r>
              <w:rPr>
                <w:b/>
              </w:rPr>
              <w:t>时间</w:t>
            </w:r>
          </w:p>
        </w:tc>
        <w:tc>
          <w:tcPr>
            <w:tcW w:type="dxa" w:w="3188"/>
            <w:shd w:val="clear" w:color="auto" w:fill="F2F2F2"/>
            <w:vAlign w:val="center"/>
          </w:tcPr>
          <w:p>
            <w:pPr>
              <w:pStyle w:val="BPTable"/>
              <w:keepNext/>
              <w:jc w:val="center"/>
            </w:pPr>
            <w:r/>
            <w:r>
              <w:rPr>
                <w:b/>
              </w:rPr>
              <w:t>主要工作</w:t>
            </w:r>
          </w:p>
        </w:tc>
        <w:tc>
          <w:tcPr>
            <w:tcW w:type="dxa" w:w="2068"/>
            <w:shd w:val="clear" w:color="auto" w:fill="F2F2F2"/>
            <w:vAlign w:val="center"/>
          </w:tcPr>
          <w:p>
            <w:pPr>
              <w:pStyle w:val="BPTable"/>
              <w:keepNext/>
              <w:jc w:val="center"/>
            </w:pPr>
            <w:r/>
            <w:r>
              <w:rPr>
                <w:b/>
              </w:rPr>
              <w:t>状态与交付物</w:t>
            </w:r>
          </w:p>
        </w:tc>
      </w:tr>
      <w:tr>
        <w:trPr>
          <w:cantSplit/>
        </w:trPr>
        <w:tc>
          <w:tcPr>
            <w:tcW w:type="dxa" w:w="1293"/>
            <w:vAlign w:val="center"/>
          </w:tcPr>
          <w:p>
            <w:pPr>
              <w:pStyle w:val="BPTable"/>
              <w:keepNext/>
            </w:pPr>
            <w:r/>
            <w:r>
              <w:t>材料与方案</w:t>
            </w:r>
          </w:p>
        </w:tc>
        <w:tc>
          <w:tcPr>
            <w:tcW w:type="dxa" w:w="2068"/>
            <w:vAlign w:val="center"/>
          </w:tcPr>
          <w:p>
            <w:pPr>
              <w:pStyle w:val="BPTable"/>
              <w:keepNext/>
            </w:pPr>
            <w:r/>
            <w:r>
              <w:t>2026年10月23日—25日</w:t>
            </w:r>
          </w:p>
        </w:tc>
        <w:tc>
          <w:tcPr>
            <w:tcW w:type="dxa" w:w="3188"/>
            <w:vAlign w:val="center"/>
          </w:tcPr>
          <w:p>
            <w:pPr>
              <w:pStyle w:val="BPTable"/>
              <w:keepNext/>
            </w:pPr>
            <w:r/>
            <w:r>
              <w:t>需求与产品方案、商业计划、预算与测算</w:t>
            </w:r>
          </w:p>
        </w:tc>
        <w:tc>
          <w:tcPr>
            <w:tcW w:type="dxa" w:w="2068"/>
            <w:vAlign w:val="center"/>
          </w:tcPr>
          <w:p>
            <w:pPr>
              <w:pStyle w:val="BPTable"/>
              <w:keepNext/>
            </w:pPr>
            <w:r/>
            <w:r>
              <w:t>已完成本轮材料，提交指导教师审阅</w:t>
            </w:r>
          </w:p>
        </w:tc>
      </w:tr>
      <w:tr>
        <w:trPr>
          <w:cantSplit/>
        </w:trPr>
        <w:tc>
          <w:tcPr>
            <w:tcW w:type="dxa" w:w="1293"/>
            <w:vAlign w:val="center"/>
          </w:tcPr>
          <w:p>
            <w:pPr>
              <w:pStyle w:val="BPTable"/>
              <w:keepNext/>
            </w:pPr>
            <w:r/>
            <w:r>
              <w:t>第一阶段</w:t>
            </w:r>
          </w:p>
        </w:tc>
        <w:tc>
          <w:tcPr>
            <w:tcW w:type="dxa" w:w="2068"/>
            <w:vAlign w:val="center"/>
          </w:tcPr>
          <w:p>
            <w:pPr>
              <w:pStyle w:val="BPTable"/>
              <w:keepNext/>
            </w:pPr>
            <w:r/>
            <w:r>
              <w:t>审阅意见确认后第1—2周</w:t>
            </w:r>
          </w:p>
        </w:tc>
        <w:tc>
          <w:tcPr>
            <w:tcW w:type="dxa" w:w="3188"/>
            <w:vAlign w:val="center"/>
          </w:tcPr>
          <w:p>
            <w:pPr>
              <w:pStyle w:val="BPTable"/>
              <w:keepNext/>
            </w:pPr>
            <w:r/>
            <w:r>
              <w:t>单题闭环：提交、评测、证据、三层提示、记录</w:t>
            </w:r>
          </w:p>
        </w:tc>
        <w:tc>
          <w:tcPr>
            <w:tcW w:type="dxa" w:w="2068"/>
            <w:vAlign w:val="center"/>
          </w:tcPr>
          <w:p>
            <w:pPr>
              <w:pStyle w:val="BPTable"/>
              <w:keepNext/>
            </w:pPr>
            <w:r/>
            <w:r>
              <w:t>计划；可演示原型与接口说明</w:t>
            </w:r>
          </w:p>
        </w:tc>
      </w:tr>
      <w:tr>
        <w:trPr>
          <w:cantSplit/>
        </w:trPr>
        <w:tc>
          <w:tcPr>
            <w:tcW w:type="dxa" w:w="1293"/>
            <w:vAlign w:val="center"/>
          </w:tcPr>
          <w:p>
            <w:pPr>
              <w:pStyle w:val="BPTable"/>
              <w:keepNext/>
            </w:pPr>
            <w:r/>
            <w:r>
              <w:t>第二阶段</w:t>
            </w:r>
          </w:p>
        </w:tc>
        <w:tc>
          <w:tcPr>
            <w:tcW w:type="dxa" w:w="2068"/>
            <w:vAlign w:val="center"/>
          </w:tcPr>
          <w:p>
            <w:pPr>
              <w:pStyle w:val="BPTable"/>
              <w:keepNext/>
            </w:pPr>
            <w:r/>
            <w:r>
              <w:t>第3—4周</w:t>
            </w:r>
          </w:p>
        </w:tc>
        <w:tc>
          <w:tcPr>
            <w:tcW w:type="dxa" w:w="3188"/>
            <w:vAlign w:val="center"/>
          </w:tcPr>
          <w:p>
            <w:pPr>
              <w:pStyle w:val="BPTable"/>
              <w:keepNext/>
            </w:pPr>
            <w:r/>
            <w:r>
              <w:t>教师查看、基础题库、部署说明、安全复测</w:t>
            </w:r>
          </w:p>
        </w:tc>
        <w:tc>
          <w:tcPr>
            <w:tcW w:type="dxa" w:w="2068"/>
            <w:vAlign w:val="center"/>
          </w:tcPr>
          <w:p>
            <w:pPr>
              <w:pStyle w:val="BPTable"/>
              <w:keepNext/>
            </w:pPr>
            <w:r/>
            <w:r>
              <w:t>计划；验收清单与复测记录</w:t>
            </w:r>
          </w:p>
        </w:tc>
      </w:tr>
      <w:tr>
        <w:trPr>
          <w:cantSplit/>
        </w:trPr>
        <w:tc>
          <w:tcPr>
            <w:tcW w:type="dxa" w:w="1293"/>
            <w:vAlign w:val="center"/>
          </w:tcPr>
          <w:p>
            <w:pPr>
              <w:pStyle w:val="BPTable"/>
              <w:keepNext/>
            </w:pPr>
            <w:r/>
            <w:r>
              <w:t>第三阶段</w:t>
            </w:r>
          </w:p>
        </w:tc>
        <w:tc>
          <w:tcPr>
            <w:tcW w:type="dxa" w:w="2068"/>
            <w:vAlign w:val="center"/>
          </w:tcPr>
          <w:p>
            <w:pPr>
              <w:pStyle w:val="BPTable"/>
              <w:keepNext/>
            </w:pPr>
            <w:r/>
            <w:r>
              <w:t>第5—6周</w:t>
            </w:r>
          </w:p>
        </w:tc>
        <w:tc>
          <w:tcPr>
            <w:tcW w:type="dxa" w:w="3188"/>
            <w:vAlign w:val="center"/>
          </w:tcPr>
          <w:p>
            <w:pPr>
              <w:pStyle w:val="BPTable"/>
              <w:keepNext/>
            </w:pPr>
            <w:r/>
            <w:r>
              <w:t>1名教师、5名学生试用与修订</w:t>
            </w:r>
          </w:p>
        </w:tc>
        <w:tc>
          <w:tcPr>
            <w:tcW w:type="dxa" w:w="2068"/>
            <w:vAlign w:val="center"/>
          </w:tcPr>
          <w:p>
            <w:pPr>
              <w:pStyle w:val="BPTable"/>
              <w:keepNext/>
            </w:pPr>
            <w:r/>
            <w:r>
              <w:t>计划；试用记录与问题清单</w:t>
            </w:r>
          </w:p>
        </w:tc>
      </w:tr>
      <w:tr>
        <w:trPr>
          <w:cantSplit/>
        </w:trPr>
        <w:tc>
          <w:tcPr>
            <w:tcW w:type="dxa" w:w="1293"/>
            <w:vAlign w:val="center"/>
          </w:tcPr>
          <w:p>
            <w:pPr>
              <w:pStyle w:val="BPTable"/>
              <w:keepNext/>
            </w:pPr>
            <w:r/>
            <w:r>
              <w:t>第四阶段</w:t>
            </w:r>
          </w:p>
        </w:tc>
        <w:tc>
          <w:tcPr>
            <w:tcW w:type="dxa" w:w="2068"/>
            <w:vAlign w:val="center"/>
          </w:tcPr>
          <w:p>
            <w:pPr>
              <w:pStyle w:val="BPTable"/>
              <w:keepNext/>
            </w:pPr>
            <w:r/>
            <w:r>
              <w:t>第7—8周</w:t>
            </w:r>
          </w:p>
        </w:tc>
        <w:tc>
          <w:tcPr>
            <w:tcW w:type="dxa" w:w="3188"/>
            <w:vAlign w:val="center"/>
          </w:tcPr>
          <w:p>
            <w:pPr>
              <w:pStyle w:val="BPTable"/>
              <w:keepNext/>
            </w:pPr>
            <w:r/>
            <w:r>
              <w:t>复测、课程服务包草案、费用核算</w:t>
            </w:r>
          </w:p>
        </w:tc>
        <w:tc>
          <w:tcPr>
            <w:tcW w:type="dxa" w:w="2068"/>
            <w:vAlign w:val="center"/>
          </w:tcPr>
          <w:p>
            <w:pPr>
              <w:pStyle w:val="BPTable"/>
              <w:keepNext/>
            </w:pPr>
            <w:r/>
            <w:r>
              <w:t>计划；复测报告与成本表</w:t>
            </w:r>
          </w:p>
        </w:tc>
      </w:tr>
    </w:tbl>
    <w:p>
      <w:pPr>
        <w:pStyle w:val="BPSource"/>
      </w:pPr>
      <w:r>
        <w:t>注：时间为计划安排，已完成项限本轮材料；研发进度以可运行版本与测试记录为准。</w:t>
      </w:r>
    </w:p>
    <w:p>
      <w:pPr>
        <w:pStyle w:val="BPBody"/>
      </w:pPr>
      <w:r>
        <w:t>本轮材料未附源码与测试记录，功能与架构按实施方案表述，不将设计目标写成已完成成果。进度受阻时，先压缩题目数量与页面细节，保留评测安全、过程记录与教师查看。</w:t>
      </w:r>
    </w:p>
    <w:p>
      <w:pPr>
        <w:pStyle w:val="BPBody"/>
      </w:pPr>
      <w:r>
        <w:t>质量保证以可复现为准：每次演示保留版本号、测试题目、预期与实际结果；接口变更同步更新说明；提示输出由另一名成员按证据逐条核对，教师确认后再进入试用。</w:t>
      </w:r>
    </w:p>
    <w:p>
      <w:pPr>
        <w:pStyle w:val="BPH1"/>
        <w:spacing w:before="320"/>
      </w:pPr>
      <w:r>
        <w:t>8 首期预算、课程服务成本与财务测算</w:t>
      </w:r>
    </w:p>
    <w:p>
      <w:pPr>
        <w:pStyle w:val="BPH2"/>
      </w:pPr>
      <w:r>
        <w:t>8.1 原型期现金预算</w:t>
      </w:r>
    </w:p>
    <w:p>
      <w:pPr>
        <w:pStyle w:val="BPBody"/>
      </w:pPr>
      <w:r>
        <w:t>原型期按审阅意见确认后约两个月安排，复用现有电脑，团队自主开发，受控低并发，不采购专用硬件。以下为新增现金预算，与课程服务成本分列，不合并为一项总成本。</w:t>
      </w:r>
    </w:p>
    <w:p>
      <w:pPr>
        <w:pStyle w:val="BPCaption"/>
        <w:keepNext/>
        <w:jc w:val="center"/>
      </w:pPr>
      <w:r>
        <w:t>表9 原型期新增现金预算（预算，单位：元）</w:t>
      </w:r>
    </w:p>
    <w:tbl>
      <w:tblPr>
        <w:tblW w:type="dxa" w:w="8617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3447"/>
        <w:gridCol w:w="1551"/>
        <w:gridCol w:w="1034"/>
        <w:gridCol w:w="2585"/>
      </w:tblGrid>
      <w:tr>
        <w:trPr>
          <w:cantSplit/>
          <w:tblHeader/>
        </w:trPr>
        <w:tc>
          <w:tcPr>
            <w:tcW w:type="dxa" w:w="3447"/>
            <w:shd w:val="clear" w:color="auto" w:fill="F2F2F2"/>
            <w:vAlign w:val="center"/>
          </w:tcPr>
          <w:p>
            <w:pPr>
              <w:pStyle w:val="BPTable"/>
              <w:keepNext/>
              <w:jc w:val="center"/>
            </w:pPr>
            <w:r/>
            <w:r>
              <w:rPr>
                <w:b/>
              </w:rPr>
              <w:t>用途</w:t>
            </w:r>
          </w:p>
        </w:tc>
        <w:tc>
          <w:tcPr>
            <w:tcW w:type="dxa" w:w="1551"/>
            <w:shd w:val="clear" w:color="auto" w:fill="F2F2F2"/>
            <w:vAlign w:val="center"/>
          </w:tcPr>
          <w:p>
            <w:pPr>
              <w:pStyle w:val="BPTable"/>
              <w:keepNext/>
              <w:jc w:val="center"/>
            </w:pPr>
            <w:r/>
            <w:r>
              <w:rPr>
                <w:b/>
              </w:rPr>
              <w:t>数量或时长</w:t>
            </w:r>
          </w:p>
        </w:tc>
        <w:tc>
          <w:tcPr>
            <w:tcW w:type="dxa" w:w="1034"/>
            <w:shd w:val="clear" w:color="auto" w:fill="F2F2F2"/>
            <w:vAlign w:val="center"/>
          </w:tcPr>
          <w:p>
            <w:pPr>
              <w:pStyle w:val="BPTable"/>
              <w:keepNext/>
              <w:jc w:val="center"/>
            </w:pPr>
            <w:r/>
            <w:r>
              <w:rPr>
                <w:b/>
              </w:rPr>
              <w:t>金额</w:t>
            </w:r>
          </w:p>
        </w:tc>
        <w:tc>
          <w:tcPr>
            <w:tcW w:type="dxa" w:w="2585"/>
            <w:shd w:val="clear" w:color="auto" w:fill="F2F2F2"/>
            <w:vAlign w:val="center"/>
          </w:tcPr>
          <w:p>
            <w:pPr>
              <w:pStyle w:val="BPTable"/>
              <w:keepNext/>
              <w:jc w:val="center"/>
            </w:pPr>
            <w:r/>
            <w:r>
              <w:rPr>
                <w:b/>
              </w:rPr>
              <w:t>测算依据</w:t>
            </w:r>
          </w:p>
        </w:tc>
      </w:tr>
      <w:tr>
        <w:trPr>
          <w:cantSplit/>
        </w:trPr>
        <w:tc>
          <w:tcPr>
            <w:tcW w:type="dxa" w:w="3447"/>
            <w:vAlign w:val="center"/>
          </w:tcPr>
          <w:p>
            <w:pPr>
              <w:pStyle w:val="BPTable"/>
              <w:keepNext/>
            </w:pPr>
            <w:r/>
            <w:r>
              <w:t>模型API调试与提示测试</w:t>
            </w:r>
          </w:p>
        </w:tc>
        <w:tc>
          <w:tcPr>
            <w:tcW w:type="dxa" w:w="1551"/>
            <w:vAlign w:val="center"/>
          </w:tcPr>
          <w:p>
            <w:pPr>
              <w:pStyle w:val="BPTable"/>
              <w:keepNext/>
            </w:pPr>
            <w:r/>
            <w:r>
              <w:t>2个月</w:t>
            </w:r>
          </w:p>
        </w:tc>
        <w:tc>
          <w:tcPr>
            <w:tcW w:type="dxa" w:w="1034"/>
            <w:vAlign w:val="center"/>
          </w:tcPr>
          <w:p>
            <w:pPr>
              <w:pStyle w:val="BPTable"/>
              <w:keepNext/>
            </w:pPr>
            <w:r/>
            <w:r>
              <w:t>400</w:t>
            </w:r>
          </w:p>
        </w:tc>
        <w:tc>
          <w:tcPr>
            <w:tcW w:type="dxa" w:w="2585"/>
            <w:vAlign w:val="center"/>
          </w:tcPr>
          <w:p>
            <w:pPr>
              <w:pStyle w:val="BPTable"/>
              <w:keepNext/>
            </w:pPr>
            <w:r/>
            <w:r>
              <w:t>每月200元，含必要重试</w:t>
            </w:r>
          </w:p>
        </w:tc>
      </w:tr>
      <w:tr>
        <w:trPr>
          <w:cantSplit/>
        </w:trPr>
        <w:tc>
          <w:tcPr>
            <w:tcW w:type="dxa" w:w="3447"/>
            <w:vAlign w:val="center"/>
          </w:tcPr>
          <w:p>
            <w:pPr>
              <w:pStyle w:val="BPTable"/>
              <w:keepNext/>
            </w:pPr>
            <w:r/>
            <w:r>
              <w:t>演示与评测计算资源</w:t>
            </w:r>
          </w:p>
        </w:tc>
        <w:tc>
          <w:tcPr>
            <w:tcW w:type="dxa" w:w="1551"/>
            <w:vAlign w:val="center"/>
          </w:tcPr>
          <w:p>
            <w:pPr>
              <w:pStyle w:val="BPTable"/>
              <w:keepNext/>
            </w:pPr>
            <w:r/>
            <w:r>
              <w:t>2个月</w:t>
            </w:r>
          </w:p>
        </w:tc>
        <w:tc>
          <w:tcPr>
            <w:tcW w:type="dxa" w:w="1034"/>
            <w:vAlign w:val="center"/>
          </w:tcPr>
          <w:p>
            <w:pPr>
              <w:pStyle w:val="BPTable"/>
              <w:keepNext/>
            </w:pPr>
            <w:r/>
            <w:r>
              <w:t>500</w:t>
            </w:r>
          </w:p>
        </w:tc>
        <w:tc>
          <w:tcPr>
            <w:tcW w:type="dxa" w:w="2585"/>
            <w:vAlign w:val="center"/>
          </w:tcPr>
          <w:p>
            <w:pPr>
              <w:pStyle w:val="BPTable"/>
              <w:keepNext/>
            </w:pPr>
            <w:r/>
            <w:r>
              <w:t>每月250元，含MySQL与评测</w:t>
            </w:r>
          </w:p>
        </w:tc>
      </w:tr>
      <w:tr>
        <w:trPr>
          <w:cantSplit/>
        </w:trPr>
        <w:tc>
          <w:tcPr>
            <w:tcW w:type="dxa" w:w="3447"/>
            <w:vAlign w:val="center"/>
          </w:tcPr>
          <w:p>
            <w:pPr>
              <w:pStyle w:val="BPTable"/>
              <w:keepNext/>
            </w:pPr>
            <w:r/>
            <w:r>
              <w:t>备份与日志存储</w:t>
            </w:r>
          </w:p>
        </w:tc>
        <w:tc>
          <w:tcPr>
            <w:tcW w:type="dxa" w:w="1551"/>
            <w:vAlign w:val="center"/>
          </w:tcPr>
          <w:p>
            <w:pPr>
              <w:pStyle w:val="BPTable"/>
              <w:keepNext/>
            </w:pPr>
            <w:r/>
            <w:r>
              <w:t>2个月</w:t>
            </w:r>
          </w:p>
        </w:tc>
        <w:tc>
          <w:tcPr>
            <w:tcW w:type="dxa" w:w="1034"/>
            <w:vAlign w:val="center"/>
          </w:tcPr>
          <w:p>
            <w:pPr>
              <w:pStyle w:val="BPTable"/>
              <w:keepNext/>
            </w:pPr>
            <w:r/>
            <w:r>
              <w:t>100</w:t>
            </w:r>
          </w:p>
        </w:tc>
        <w:tc>
          <w:tcPr>
            <w:tcW w:type="dxa" w:w="2585"/>
            <w:vAlign w:val="center"/>
          </w:tcPr>
          <w:p>
            <w:pPr>
              <w:pStyle w:val="BPTable"/>
              <w:keepNext/>
            </w:pPr>
            <w:r/>
            <w:r>
              <w:t>每月50元</w:t>
            </w:r>
          </w:p>
        </w:tc>
      </w:tr>
      <w:tr>
        <w:trPr>
          <w:cantSplit/>
        </w:trPr>
        <w:tc>
          <w:tcPr>
            <w:tcW w:type="dxa" w:w="3447"/>
            <w:vAlign w:val="center"/>
          </w:tcPr>
          <w:p>
            <w:pPr>
              <w:pStyle w:val="BPTable"/>
              <w:keepNext/>
            </w:pPr>
            <w:r/>
            <w:r>
              <w:t>网络与用电增量</w:t>
            </w:r>
          </w:p>
        </w:tc>
        <w:tc>
          <w:tcPr>
            <w:tcW w:type="dxa" w:w="1551"/>
            <w:vAlign w:val="center"/>
          </w:tcPr>
          <w:p>
            <w:pPr>
              <w:pStyle w:val="BPTable"/>
              <w:keepNext/>
            </w:pPr>
            <w:r/>
            <w:r>
              <w:t>2个月</w:t>
            </w:r>
          </w:p>
        </w:tc>
        <w:tc>
          <w:tcPr>
            <w:tcW w:type="dxa" w:w="1034"/>
            <w:vAlign w:val="center"/>
          </w:tcPr>
          <w:p>
            <w:pPr>
              <w:pStyle w:val="BPTable"/>
              <w:keepNext/>
            </w:pPr>
            <w:r/>
            <w:r>
              <w:t>100</w:t>
            </w:r>
          </w:p>
        </w:tc>
        <w:tc>
          <w:tcPr>
            <w:tcW w:type="dxa" w:w="2585"/>
            <w:vAlign w:val="center"/>
          </w:tcPr>
          <w:p>
            <w:pPr>
              <w:pStyle w:val="BPTable"/>
              <w:keepNext/>
            </w:pPr>
            <w:r/>
            <w:r>
              <w:t>每月50元</w:t>
            </w:r>
          </w:p>
        </w:tc>
      </w:tr>
      <w:tr>
        <w:trPr>
          <w:cantSplit/>
        </w:trPr>
        <w:tc>
          <w:tcPr>
            <w:tcW w:type="dxa" w:w="3447"/>
            <w:vAlign w:val="center"/>
          </w:tcPr>
          <w:p>
            <w:pPr>
              <w:pStyle w:val="BPTable"/>
              <w:keepNext/>
            </w:pPr>
            <w:r/>
            <w:r>
              <w:t>访谈、复测材料与交通</w:t>
            </w:r>
          </w:p>
        </w:tc>
        <w:tc>
          <w:tcPr>
            <w:tcW w:type="dxa" w:w="1551"/>
            <w:vAlign w:val="center"/>
          </w:tcPr>
          <w:p>
            <w:pPr>
              <w:pStyle w:val="BPTable"/>
              <w:keepNext/>
            </w:pPr>
            <w:r/>
            <w:r>
              <w:t>2轮</w:t>
            </w:r>
          </w:p>
        </w:tc>
        <w:tc>
          <w:tcPr>
            <w:tcW w:type="dxa" w:w="1034"/>
            <w:vAlign w:val="center"/>
          </w:tcPr>
          <w:p>
            <w:pPr>
              <w:pStyle w:val="BPTable"/>
              <w:keepNext/>
            </w:pPr>
            <w:r/>
            <w:r>
              <w:t>200</w:t>
            </w:r>
          </w:p>
        </w:tc>
        <w:tc>
          <w:tcPr>
            <w:tcW w:type="dxa" w:w="2585"/>
            <w:vAlign w:val="center"/>
          </w:tcPr>
          <w:p>
            <w:pPr>
              <w:pStyle w:val="BPTable"/>
              <w:keepNext/>
            </w:pPr>
            <w:r/>
            <w:r>
              <w:t>每轮100元，按实际记录</w:t>
            </w:r>
          </w:p>
        </w:tc>
      </w:tr>
      <w:tr>
        <w:trPr>
          <w:cantSplit/>
        </w:trPr>
        <w:tc>
          <w:tcPr>
            <w:tcW w:type="dxa" w:w="3447"/>
            <w:vAlign w:val="center"/>
          </w:tcPr>
          <w:p>
            <w:pPr>
              <w:pStyle w:val="BPTable"/>
              <w:keepNext/>
            </w:pPr>
            <w:r/>
            <w:r>
              <w:t>异常复测与资源预留</w:t>
            </w:r>
          </w:p>
        </w:tc>
        <w:tc>
          <w:tcPr>
            <w:tcW w:type="dxa" w:w="1551"/>
            <w:vAlign w:val="center"/>
          </w:tcPr>
          <w:p>
            <w:pPr>
              <w:pStyle w:val="BPTable"/>
              <w:keepNext/>
            </w:pPr>
            <w:r/>
            <w:r>
              <w:t>1项</w:t>
            </w:r>
          </w:p>
        </w:tc>
        <w:tc>
          <w:tcPr>
            <w:tcW w:type="dxa" w:w="1034"/>
            <w:vAlign w:val="center"/>
          </w:tcPr>
          <w:p>
            <w:pPr>
              <w:pStyle w:val="BPTable"/>
              <w:keepNext/>
            </w:pPr>
            <w:r/>
            <w:r>
              <w:t>500</w:t>
            </w:r>
          </w:p>
        </w:tc>
        <w:tc>
          <w:tcPr>
            <w:tcW w:type="dxa" w:w="2585"/>
            <w:vAlign w:val="center"/>
          </w:tcPr>
          <w:p>
            <w:pPr>
              <w:pStyle w:val="BPTable"/>
              <w:keepNext/>
            </w:pPr>
            <w:r/>
            <w:r>
              <w:t>调用、计算或存储超出基础额度</w:t>
            </w:r>
          </w:p>
        </w:tc>
      </w:tr>
      <w:tr>
        <w:trPr>
          <w:cantSplit/>
        </w:trPr>
        <w:tc>
          <w:tcPr>
            <w:tcW w:type="dxa" w:w="3447"/>
            <w:vAlign w:val="center"/>
          </w:tcPr>
          <w:p>
            <w:pPr>
              <w:pStyle w:val="BPTable"/>
              <w:keepNext/>
            </w:pPr>
            <w:r/>
            <w:r>
              <w:t>合计</w:t>
            </w:r>
          </w:p>
        </w:tc>
        <w:tc>
          <w:tcPr>
            <w:tcW w:type="dxa" w:w="1551"/>
            <w:vAlign w:val="center"/>
          </w:tcPr>
          <w:p>
            <w:pPr>
              <w:pStyle w:val="BPTable"/>
              <w:keepNext/>
            </w:pPr>
            <w:r/>
            <w:r>
              <w:t>—</w:t>
            </w:r>
          </w:p>
        </w:tc>
        <w:tc>
          <w:tcPr>
            <w:tcW w:type="dxa" w:w="1034"/>
            <w:vAlign w:val="center"/>
          </w:tcPr>
          <w:p>
            <w:pPr>
              <w:pStyle w:val="BPTable"/>
              <w:keepNext/>
            </w:pPr>
            <w:r/>
            <w:r>
              <w:t>1800</w:t>
            </w:r>
          </w:p>
        </w:tc>
        <w:tc>
          <w:tcPr>
            <w:tcW w:type="dxa" w:w="2585"/>
            <w:vAlign w:val="center"/>
          </w:tcPr>
          <w:p>
            <w:pPr>
              <w:pStyle w:val="BPTable"/>
              <w:keepNext/>
            </w:pPr>
            <w:r/>
            <w:r>
              <w:t>400+500+100+100+200+500，上限2000</w:t>
            </w:r>
          </w:p>
        </w:tc>
      </w:tr>
    </w:tbl>
    <w:p>
      <w:pPr>
        <w:pStyle w:val="BPSource"/>
      </w:pPr>
      <w:r>
        <w:t>注：预算额度，非实际支出、厂商报价或课程服务成本。</w:t>
      </w:r>
    </w:p>
    <w:p>
      <w:pPr>
        <w:pStyle w:val="BPBody"/>
      </w:pPr>
      <w:r>
        <w:t>团队开发、题目适配与试用支持属于非现金投入，单独登记工时与设备占用，不视为零成本。该预算是一次性原型投入，下文533元是每交付一个课程包发生的服务成本，两者口径不同。</w:t>
      </w:r>
    </w:p>
    <w:p>
      <w:pPr>
        <w:pStyle w:val="BPH2"/>
      </w:pPr>
      <w:r>
        <w:t>8.2 课程服务成本</w:t>
      </w:r>
    </w:p>
    <w:p>
      <w:pPr>
        <w:pStyle w:val="BPBody"/>
      </w:pPr>
      <w:r>
        <w:t>课程服务成本按一个课程包测算：100名学生、每人10道题、每题平均3次提交，共3000次评测；其中40%的提交触发一次模型解释，共1200次调用。单次调用按0.02元、单次评测按0.003元计。</w:t>
      </w:r>
    </w:p>
    <w:p>
      <w:pPr>
        <w:pStyle w:val="BPCaption"/>
        <w:keepNext/>
        <w:jc w:val="center"/>
      </w:pPr>
      <w:r>
        <w:t>表10 单课程包交付成本（情景测算，元/课程包/学期）</w:t>
      </w:r>
    </w:p>
    <w:tbl>
      <w:tblPr>
        <w:tblW w:type="dxa" w:w="8617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3619"/>
        <w:gridCol w:w="3447"/>
        <w:gridCol w:w="1551"/>
      </w:tblGrid>
      <w:tr>
        <w:trPr>
          <w:cantSplit/>
          <w:tblHeader/>
        </w:trPr>
        <w:tc>
          <w:tcPr>
            <w:tcW w:type="dxa" w:w="3619"/>
            <w:shd w:val="clear" w:color="auto" w:fill="F2F2F2"/>
            <w:vAlign w:val="center"/>
          </w:tcPr>
          <w:p>
            <w:pPr>
              <w:pStyle w:val="BPTable"/>
              <w:keepNext/>
              <w:jc w:val="center"/>
            </w:pPr>
            <w:r/>
            <w:r>
              <w:rPr>
                <w:b/>
              </w:rPr>
              <w:t>成本项</w:t>
            </w:r>
          </w:p>
        </w:tc>
        <w:tc>
          <w:tcPr>
            <w:tcW w:type="dxa" w:w="3447"/>
            <w:shd w:val="clear" w:color="auto" w:fill="F2F2F2"/>
            <w:vAlign w:val="center"/>
          </w:tcPr>
          <w:p>
            <w:pPr>
              <w:pStyle w:val="BPTable"/>
              <w:keepNext/>
              <w:jc w:val="center"/>
            </w:pPr>
            <w:r/>
            <w:r>
              <w:rPr>
                <w:b/>
              </w:rPr>
              <w:t>计算方式</w:t>
            </w:r>
          </w:p>
        </w:tc>
        <w:tc>
          <w:tcPr>
            <w:tcW w:type="dxa" w:w="1551"/>
            <w:shd w:val="clear" w:color="auto" w:fill="F2F2F2"/>
            <w:vAlign w:val="center"/>
          </w:tcPr>
          <w:p>
            <w:pPr>
              <w:pStyle w:val="BPTable"/>
              <w:keepNext/>
              <w:jc w:val="center"/>
            </w:pPr>
            <w:r/>
            <w:r>
              <w:rPr>
                <w:b/>
              </w:rPr>
              <w:t>金额</w:t>
            </w:r>
          </w:p>
        </w:tc>
      </w:tr>
      <w:tr>
        <w:trPr>
          <w:cantSplit/>
        </w:trPr>
        <w:tc>
          <w:tcPr>
            <w:tcW w:type="dxa" w:w="3619"/>
            <w:vAlign w:val="center"/>
          </w:tcPr>
          <w:p>
            <w:pPr>
              <w:pStyle w:val="BPTable"/>
              <w:keepNext/>
            </w:pPr>
            <w:r/>
            <w:r>
              <w:t>模型调用</w:t>
            </w:r>
          </w:p>
        </w:tc>
        <w:tc>
          <w:tcPr>
            <w:tcW w:type="dxa" w:w="3447"/>
            <w:vAlign w:val="center"/>
          </w:tcPr>
          <w:p>
            <w:pPr>
              <w:pStyle w:val="BPTable"/>
              <w:keepNext/>
            </w:pPr>
            <w:r/>
            <w:r>
              <w:t>1200次×0.02元</w:t>
            </w:r>
          </w:p>
        </w:tc>
        <w:tc>
          <w:tcPr>
            <w:tcW w:type="dxa" w:w="1551"/>
            <w:vAlign w:val="center"/>
          </w:tcPr>
          <w:p>
            <w:pPr>
              <w:pStyle w:val="BPTable"/>
              <w:keepNext/>
            </w:pPr>
            <w:r/>
            <w:r>
              <w:t>24</w:t>
            </w:r>
          </w:p>
        </w:tc>
      </w:tr>
      <w:tr>
        <w:trPr>
          <w:cantSplit/>
        </w:trPr>
        <w:tc>
          <w:tcPr>
            <w:tcW w:type="dxa" w:w="3619"/>
            <w:vAlign w:val="center"/>
          </w:tcPr>
          <w:p>
            <w:pPr>
              <w:pStyle w:val="BPTable"/>
              <w:keepNext/>
            </w:pPr>
            <w:r/>
            <w:r>
              <w:t>评测计算</w:t>
            </w:r>
          </w:p>
        </w:tc>
        <w:tc>
          <w:tcPr>
            <w:tcW w:type="dxa" w:w="3447"/>
            <w:vAlign w:val="center"/>
          </w:tcPr>
          <w:p>
            <w:pPr>
              <w:pStyle w:val="BPTable"/>
              <w:keepNext/>
            </w:pPr>
            <w:r/>
            <w:r>
              <w:t>3000次×0.003元</w:t>
            </w:r>
          </w:p>
        </w:tc>
        <w:tc>
          <w:tcPr>
            <w:tcW w:type="dxa" w:w="1551"/>
            <w:vAlign w:val="center"/>
          </w:tcPr>
          <w:p>
            <w:pPr>
              <w:pStyle w:val="BPTable"/>
              <w:keepNext/>
            </w:pPr>
            <w:r/>
            <w:r>
              <w:t>9</w:t>
            </w:r>
          </w:p>
        </w:tc>
      </w:tr>
      <w:tr>
        <w:trPr>
          <w:cantSplit/>
        </w:trPr>
        <w:tc>
          <w:tcPr>
            <w:tcW w:type="dxa" w:w="3619"/>
            <w:vAlign w:val="center"/>
          </w:tcPr>
          <w:p>
            <w:pPr>
              <w:pStyle w:val="BPTable"/>
              <w:keepNext/>
            </w:pPr>
            <w:r/>
            <w:r>
              <w:t>服务器分摊</w:t>
            </w:r>
          </w:p>
        </w:tc>
        <w:tc>
          <w:tcPr>
            <w:tcW w:type="dxa" w:w="3447"/>
            <w:vAlign w:val="center"/>
          </w:tcPr>
          <w:p>
            <w:pPr>
              <w:pStyle w:val="BPTable"/>
              <w:keepNext/>
            </w:pPr>
            <w:r/>
            <w:r>
              <w:t>每学期分摊</w:t>
            </w:r>
          </w:p>
        </w:tc>
        <w:tc>
          <w:tcPr>
            <w:tcW w:type="dxa" w:w="1551"/>
            <w:vAlign w:val="center"/>
          </w:tcPr>
          <w:p>
            <w:pPr>
              <w:pStyle w:val="BPTable"/>
              <w:keepNext/>
            </w:pPr>
            <w:r/>
            <w:r>
              <w:t>120</w:t>
            </w:r>
          </w:p>
        </w:tc>
      </w:tr>
      <w:tr>
        <w:trPr>
          <w:cantSplit/>
        </w:trPr>
        <w:tc>
          <w:tcPr>
            <w:tcW w:type="dxa" w:w="3619"/>
            <w:vAlign w:val="center"/>
          </w:tcPr>
          <w:p>
            <w:pPr>
              <w:pStyle w:val="BPTable"/>
              <w:keepNext/>
            </w:pPr>
            <w:r/>
            <w:r>
              <w:t>存储与备份</w:t>
            </w:r>
          </w:p>
        </w:tc>
        <w:tc>
          <w:tcPr>
            <w:tcW w:type="dxa" w:w="3447"/>
            <w:vAlign w:val="center"/>
          </w:tcPr>
          <w:p>
            <w:pPr>
              <w:pStyle w:val="BPTable"/>
              <w:keepNext/>
            </w:pPr>
            <w:r/>
            <w:r>
              <w:t>每学期分摊</w:t>
            </w:r>
          </w:p>
        </w:tc>
        <w:tc>
          <w:tcPr>
            <w:tcW w:type="dxa" w:w="1551"/>
            <w:vAlign w:val="center"/>
          </w:tcPr>
          <w:p>
            <w:pPr>
              <w:pStyle w:val="BPTable"/>
              <w:keepNext/>
            </w:pPr>
            <w:r/>
            <w:r>
              <w:t>20</w:t>
            </w:r>
          </w:p>
        </w:tc>
      </w:tr>
      <w:tr>
        <w:trPr>
          <w:cantSplit/>
        </w:trPr>
        <w:tc>
          <w:tcPr>
            <w:tcW w:type="dxa" w:w="3619"/>
            <w:vAlign w:val="center"/>
          </w:tcPr>
          <w:p>
            <w:pPr>
              <w:pStyle w:val="BPTable"/>
              <w:keepNext/>
            </w:pPr>
            <w:r/>
            <w:r>
              <w:t>运维</w:t>
            </w:r>
          </w:p>
        </w:tc>
        <w:tc>
          <w:tcPr>
            <w:tcW w:type="dxa" w:w="3447"/>
            <w:vAlign w:val="center"/>
          </w:tcPr>
          <w:p>
            <w:pPr>
              <w:pStyle w:val="BPTable"/>
              <w:keepNext/>
            </w:pPr>
            <w:r/>
            <w:r>
              <w:t>2小时×40元</w:t>
            </w:r>
          </w:p>
        </w:tc>
        <w:tc>
          <w:tcPr>
            <w:tcW w:type="dxa" w:w="1551"/>
            <w:vAlign w:val="center"/>
          </w:tcPr>
          <w:p>
            <w:pPr>
              <w:pStyle w:val="BPTable"/>
              <w:keepNext/>
            </w:pPr>
            <w:r/>
            <w:r>
              <w:t>80</w:t>
            </w:r>
          </w:p>
        </w:tc>
      </w:tr>
      <w:tr>
        <w:trPr>
          <w:cantSplit/>
        </w:trPr>
        <w:tc>
          <w:tcPr>
            <w:tcW w:type="dxa" w:w="3619"/>
            <w:vAlign w:val="center"/>
          </w:tcPr>
          <w:p>
            <w:pPr>
              <w:pStyle w:val="BPTable"/>
              <w:keepNext/>
            </w:pPr>
            <w:r/>
            <w:r>
              <w:t>教师支持</w:t>
            </w:r>
          </w:p>
        </w:tc>
        <w:tc>
          <w:tcPr>
            <w:tcW w:type="dxa" w:w="3447"/>
            <w:vAlign w:val="center"/>
          </w:tcPr>
          <w:p>
            <w:pPr>
              <w:pStyle w:val="BPTable"/>
              <w:keepNext/>
            </w:pPr>
            <w:r/>
            <w:r>
              <w:t>3小时×40元</w:t>
            </w:r>
          </w:p>
        </w:tc>
        <w:tc>
          <w:tcPr>
            <w:tcW w:type="dxa" w:w="1551"/>
            <w:vAlign w:val="center"/>
          </w:tcPr>
          <w:p>
            <w:pPr>
              <w:pStyle w:val="BPTable"/>
              <w:keepNext/>
            </w:pPr>
            <w:r/>
            <w:r>
              <w:t>120</w:t>
            </w:r>
          </w:p>
        </w:tc>
      </w:tr>
      <w:tr>
        <w:trPr>
          <w:cantSplit/>
        </w:trPr>
        <w:tc>
          <w:tcPr>
            <w:tcW w:type="dxa" w:w="3619"/>
            <w:vAlign w:val="center"/>
          </w:tcPr>
          <w:p>
            <w:pPr>
              <w:pStyle w:val="BPTable"/>
              <w:keepNext/>
            </w:pPr>
            <w:r/>
            <w:r>
              <w:t>课程适配</w:t>
            </w:r>
          </w:p>
        </w:tc>
        <w:tc>
          <w:tcPr>
            <w:tcW w:type="dxa" w:w="3447"/>
            <w:vAlign w:val="center"/>
          </w:tcPr>
          <w:p>
            <w:pPr>
              <w:pStyle w:val="BPTable"/>
              <w:keepNext/>
            </w:pPr>
            <w:r/>
            <w:r>
              <w:t>4小时×40元</w:t>
            </w:r>
          </w:p>
        </w:tc>
        <w:tc>
          <w:tcPr>
            <w:tcW w:type="dxa" w:w="1551"/>
            <w:vAlign w:val="center"/>
          </w:tcPr>
          <w:p>
            <w:pPr>
              <w:pStyle w:val="BPTable"/>
              <w:keepNext/>
            </w:pPr>
            <w:r/>
            <w:r>
              <w:t>160</w:t>
            </w:r>
          </w:p>
        </w:tc>
      </w:tr>
      <w:tr>
        <w:trPr>
          <w:cantSplit/>
        </w:trPr>
        <w:tc>
          <w:tcPr>
            <w:tcW w:type="dxa" w:w="3619"/>
            <w:vAlign w:val="center"/>
          </w:tcPr>
          <w:p>
            <w:pPr>
              <w:pStyle w:val="BPTable"/>
              <w:keepNext/>
            </w:pPr>
            <w:r/>
            <w:r>
              <w:t>合计</w:t>
            </w:r>
          </w:p>
        </w:tc>
        <w:tc>
          <w:tcPr>
            <w:tcW w:type="dxa" w:w="3447"/>
            <w:vAlign w:val="center"/>
          </w:tcPr>
          <w:p>
            <w:pPr>
              <w:pStyle w:val="BPTable"/>
              <w:keepNext/>
            </w:pPr>
            <w:r/>
            <w:r>
              <w:t>24+9+120+20+80+120+160</w:t>
            </w:r>
          </w:p>
        </w:tc>
        <w:tc>
          <w:tcPr>
            <w:tcW w:type="dxa" w:w="1551"/>
            <w:vAlign w:val="center"/>
          </w:tcPr>
          <w:p>
            <w:pPr>
              <w:pStyle w:val="BPTable"/>
              <w:keepNext/>
            </w:pPr>
            <w:r/>
            <w:r>
              <w:t>533</w:t>
            </w:r>
          </w:p>
        </w:tc>
      </w:tr>
    </w:tbl>
    <w:p>
      <w:pPr>
        <w:pStyle w:val="BPSource"/>
      </w:pPr>
      <w:r>
        <w:t>注：情景测算，人数、题量、调用比例与单价均为项目自设假设，非实际成本。</w:t>
      </w:r>
    </w:p>
    <w:p>
      <w:pPr>
        <w:pStyle w:val="BPBody"/>
      </w:pPr>
      <w:r>
        <w:t>假设收费1500元/课程包，单包贡献为1500−533=967元，贡献率64.5%。贡献用于覆盖一次性研发与未分摊费用，不等同于净利润；测算未计入税费、差旅、获客与管理费用。</w:t>
      </w:r>
    </w:p>
    <w:p>
      <w:pPr>
        <w:pStyle w:val="BPH2"/>
      </w:pPr>
      <w:r>
        <w:t>8.3 收入情景与敏感性</w:t>
      </w:r>
    </w:p>
    <w:p>
      <w:pPr>
        <w:pStyle w:val="BPCaption"/>
        <w:keepNext/>
        <w:jc w:val="center"/>
      </w:pPr>
      <w:r>
        <w:t>表11 少量课程包的收入情景（情景测算，非订单）</w:t>
      </w:r>
    </w:p>
    <w:tbl>
      <w:tblPr>
        <w:tblW w:type="dxa" w:w="8617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</w:tblGrid>
      <w:tr>
        <w:trPr>
          <w:cantSplit/>
          <w:tblHeader/>
        </w:trPr>
        <w:tc>
          <w:tcPr>
            <w:tcW w:type="dxa" w:w="2154"/>
            <w:shd w:val="clear" w:color="auto" w:fill="F2F2F2"/>
            <w:vAlign w:val="center"/>
          </w:tcPr>
          <w:p>
            <w:pPr>
              <w:pStyle w:val="BPTable"/>
              <w:keepNext/>
              <w:jc w:val="center"/>
            </w:pPr>
            <w:r/>
            <w:r>
              <w:rPr>
                <w:b/>
              </w:rPr>
              <w:t>课程包数量</w:t>
            </w:r>
          </w:p>
        </w:tc>
        <w:tc>
          <w:tcPr>
            <w:tcW w:type="dxa" w:w="2154"/>
            <w:shd w:val="clear" w:color="auto" w:fill="F2F2F2"/>
            <w:vAlign w:val="center"/>
          </w:tcPr>
          <w:p>
            <w:pPr>
              <w:pStyle w:val="BPTable"/>
              <w:keepNext/>
              <w:jc w:val="center"/>
            </w:pPr>
            <w:r/>
            <w:r>
              <w:rPr>
                <w:b/>
              </w:rPr>
              <w:t>收费（元）</w:t>
            </w:r>
          </w:p>
        </w:tc>
        <w:tc>
          <w:tcPr>
            <w:tcW w:type="dxa" w:w="2154"/>
            <w:shd w:val="clear" w:color="auto" w:fill="F2F2F2"/>
            <w:vAlign w:val="center"/>
          </w:tcPr>
          <w:p>
            <w:pPr>
              <w:pStyle w:val="BPTable"/>
              <w:keepNext/>
              <w:jc w:val="center"/>
            </w:pPr>
            <w:r/>
            <w:r>
              <w:rPr>
                <w:b/>
              </w:rPr>
              <w:t>成本（元）</w:t>
            </w:r>
          </w:p>
        </w:tc>
        <w:tc>
          <w:tcPr>
            <w:tcW w:type="dxa" w:w="2154"/>
            <w:shd w:val="clear" w:color="auto" w:fill="F2F2F2"/>
            <w:vAlign w:val="center"/>
          </w:tcPr>
          <w:p>
            <w:pPr>
              <w:pStyle w:val="BPTable"/>
              <w:keepNext/>
              <w:jc w:val="center"/>
            </w:pPr>
            <w:r/>
            <w:r>
              <w:rPr>
                <w:b/>
              </w:rPr>
              <w:t>贡献（元）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pStyle w:val="BPTable"/>
              <w:keepNext/>
            </w:pPr>
            <w:r/>
            <w:r>
              <w:t>1</w:t>
            </w:r>
          </w:p>
        </w:tc>
        <w:tc>
          <w:tcPr>
            <w:tcW w:type="dxa" w:w="2154"/>
            <w:vAlign w:val="center"/>
          </w:tcPr>
          <w:p>
            <w:pPr>
              <w:pStyle w:val="BPTable"/>
              <w:keepNext/>
            </w:pPr>
            <w:r/>
            <w:r>
              <w:t>1500</w:t>
            </w:r>
          </w:p>
        </w:tc>
        <w:tc>
          <w:tcPr>
            <w:tcW w:type="dxa" w:w="2154"/>
            <w:vAlign w:val="center"/>
          </w:tcPr>
          <w:p>
            <w:pPr>
              <w:pStyle w:val="BPTable"/>
              <w:keepNext/>
            </w:pPr>
            <w:r/>
            <w:r>
              <w:t>533</w:t>
            </w:r>
          </w:p>
        </w:tc>
        <w:tc>
          <w:tcPr>
            <w:tcW w:type="dxa" w:w="2154"/>
            <w:vAlign w:val="center"/>
          </w:tcPr>
          <w:p>
            <w:pPr>
              <w:pStyle w:val="BPTable"/>
              <w:keepNext/>
            </w:pPr>
            <w:r/>
            <w:r>
              <w:t>967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pStyle w:val="BPTable"/>
              <w:keepNext/>
            </w:pPr>
            <w:r/>
            <w:r>
              <w:t>3</w:t>
            </w:r>
          </w:p>
        </w:tc>
        <w:tc>
          <w:tcPr>
            <w:tcW w:type="dxa" w:w="2154"/>
            <w:vAlign w:val="center"/>
          </w:tcPr>
          <w:p>
            <w:pPr>
              <w:pStyle w:val="BPTable"/>
              <w:keepNext/>
            </w:pPr>
            <w:r/>
            <w:r>
              <w:t>4500</w:t>
            </w:r>
          </w:p>
        </w:tc>
        <w:tc>
          <w:tcPr>
            <w:tcW w:type="dxa" w:w="2154"/>
            <w:vAlign w:val="center"/>
          </w:tcPr>
          <w:p>
            <w:pPr>
              <w:pStyle w:val="BPTable"/>
              <w:keepNext/>
            </w:pPr>
            <w:r/>
            <w:r>
              <w:t>1599</w:t>
            </w:r>
          </w:p>
        </w:tc>
        <w:tc>
          <w:tcPr>
            <w:tcW w:type="dxa" w:w="2154"/>
            <w:vAlign w:val="center"/>
          </w:tcPr>
          <w:p>
            <w:pPr>
              <w:pStyle w:val="BPTable"/>
              <w:keepNext/>
            </w:pPr>
            <w:r/>
            <w:r>
              <w:t>2901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pStyle w:val="BPTable"/>
              <w:keepNext/>
            </w:pPr>
            <w:r/>
            <w:r>
              <w:t>5</w:t>
            </w:r>
          </w:p>
        </w:tc>
        <w:tc>
          <w:tcPr>
            <w:tcW w:type="dxa" w:w="2154"/>
            <w:vAlign w:val="center"/>
          </w:tcPr>
          <w:p>
            <w:pPr>
              <w:pStyle w:val="BPTable"/>
              <w:keepNext/>
            </w:pPr>
            <w:r/>
            <w:r>
              <w:t>7500</w:t>
            </w:r>
          </w:p>
        </w:tc>
        <w:tc>
          <w:tcPr>
            <w:tcW w:type="dxa" w:w="2154"/>
            <w:vAlign w:val="center"/>
          </w:tcPr>
          <w:p>
            <w:pPr>
              <w:pStyle w:val="BPTable"/>
              <w:keepNext/>
            </w:pPr>
            <w:r/>
            <w:r>
              <w:t>2665</w:t>
            </w:r>
          </w:p>
        </w:tc>
        <w:tc>
          <w:tcPr>
            <w:tcW w:type="dxa" w:w="2154"/>
            <w:vAlign w:val="center"/>
          </w:tcPr>
          <w:p>
            <w:pPr>
              <w:pStyle w:val="BPTable"/>
              <w:keepNext/>
            </w:pPr>
            <w:r/>
            <w:r>
              <w:t>4835</w:t>
            </w:r>
          </w:p>
        </w:tc>
      </w:tr>
    </w:tbl>
    <w:p>
      <w:pPr>
        <w:pStyle w:val="BPSource"/>
      </w:pPr>
      <w:r>
        <w:t>注：数量为测算单位，不代表已有订单、收入或盈利；单价为假设收费。</w:t>
      </w:r>
    </w:p>
    <w:p>
      <w:pPr>
        <w:pStyle w:val="BPBody"/>
      </w:pPr>
      <w:r>
        <w:t>敏感性方面：价格减半时单包贡献217元、贡献率28.9%；提交与调用翻倍时成本566元、贡献率62.3%；服务工时翻倍至18小时时成本893元、贡献率40.5%。工时是最敏感的变量，题目能否复用、教师培训是否清晰，直接决定服务能否持续。</w:t>
      </w:r>
    </w:p>
    <w:p>
      <w:pPr>
        <w:pStyle w:val="BPH2"/>
      </w:pPr>
      <w:r>
        <w:t>8.4 核算方式</w:t>
      </w:r>
    </w:p>
    <w:p>
      <w:pPr>
        <w:pStyle w:val="BPBody"/>
      </w:pPr>
      <w:r>
        <w:t>试点期间逐项登记模型账单、调用量、评测资源用量、故障重试与支持工时；发生超时或重试也可能产生费用。按实际人数、作业量与服务范围重算每包成本后，再讨论是否报价。533元不是最低售价，1500元亦未取得客户确认。</w:t>
      </w:r>
    </w:p>
    <w:p>
      <w:pPr>
        <w:pStyle w:val="BPH1"/>
        <w:spacing w:before="320"/>
      </w:pPr>
      <w:r>
        <w:t>9 教育价值与风险应对</w:t>
      </w:r>
    </w:p>
    <w:p>
      <w:pPr>
        <w:pStyle w:val="BPH2"/>
      </w:pPr>
      <w:r>
        <w:t>9.1 教育价值</w:t>
      </w:r>
    </w:p>
    <w:p>
      <w:pPr>
        <w:pStyle w:val="BPBody"/>
      </w:pPr>
      <w:r>
        <w:t>学生侧的价值是把报错转化为可解释的学习任务：看到失败依据，按层级获得提示，修改后说明理由。评价不只看单次通过率，更看学生能否解释修改原因、能否在相近题目中迁移。教师侧的价值是把课堂辅导建立在记录上：哪些知识点反复失败、哪些学生连续多次未通过、哪些提示被反复请求。</w:t>
      </w:r>
    </w:p>
    <w:p>
      <w:pPr>
        <w:pStyle w:val="BPBody"/>
      </w:pPr>
      <w:r>
        <w:t>对职业院校而言，该流程可复制到其他程序设计课程：题目、测试用例与提示模板可沉淀为课程资产，新教师接手时能直接使用。项目当前不提供教学成效数据；试点按基线、题目难度、样本量与退出情况记录，小样本结果只作探索性结论。</w:t>
      </w:r>
    </w:p>
    <w:p>
      <w:pPr>
        <w:pStyle w:val="BPBody"/>
      </w:pPr>
      <w:r>
        <w:t>课程建设与团队培养是两项直接收益：一套题目与提示模板可在同类课程间复用，减少重复备课；纠错记录可作为课程改进依据。团队在开发、试用与材料整理中积累需求分析、评测安全与课程服务的实践经验，可迁移到后续课程与项目。</w:t>
      </w:r>
    </w:p>
    <w:p>
      <w:pPr>
        <w:pStyle w:val="BPH2"/>
      </w:pPr>
      <w:r>
        <w:t>9.2 风险应对</w:t>
      </w:r>
    </w:p>
    <w:p>
      <w:pPr>
        <w:pStyle w:val="BPCaption"/>
        <w:keepNext/>
        <w:jc w:val="center"/>
      </w:pPr>
      <w:r>
        <w:t>表12 主要风险与应对</w:t>
      </w:r>
    </w:p>
    <w:tbl>
      <w:tblPr>
        <w:tblW w:type="dxa" w:w="8617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723"/>
        <w:gridCol w:w="2585"/>
        <w:gridCol w:w="4309"/>
      </w:tblGrid>
      <w:tr>
        <w:trPr>
          <w:cantSplit/>
          <w:tblHeader/>
        </w:trPr>
        <w:tc>
          <w:tcPr>
            <w:tcW w:type="dxa" w:w="1723"/>
            <w:shd w:val="clear" w:color="auto" w:fill="F2F2F2"/>
            <w:vAlign w:val="center"/>
          </w:tcPr>
          <w:p>
            <w:pPr>
              <w:pStyle w:val="BPTable"/>
              <w:keepNext/>
              <w:jc w:val="center"/>
            </w:pPr>
            <w:r/>
            <w:r>
              <w:rPr>
                <w:b/>
              </w:rPr>
              <w:t>风险</w:t>
            </w:r>
          </w:p>
        </w:tc>
        <w:tc>
          <w:tcPr>
            <w:tcW w:type="dxa" w:w="2585"/>
            <w:shd w:val="clear" w:color="auto" w:fill="F2F2F2"/>
            <w:vAlign w:val="center"/>
          </w:tcPr>
          <w:p>
            <w:pPr>
              <w:pStyle w:val="BPTable"/>
              <w:keepNext/>
              <w:jc w:val="center"/>
            </w:pPr>
            <w:r/>
            <w:r>
              <w:rPr>
                <w:b/>
              </w:rPr>
              <w:t>影响</w:t>
            </w:r>
          </w:p>
        </w:tc>
        <w:tc>
          <w:tcPr>
            <w:tcW w:type="dxa" w:w="4309"/>
            <w:shd w:val="clear" w:color="auto" w:fill="F2F2F2"/>
            <w:vAlign w:val="center"/>
          </w:tcPr>
          <w:p>
            <w:pPr>
              <w:pStyle w:val="BPTable"/>
              <w:keepNext/>
              <w:jc w:val="center"/>
            </w:pPr>
            <w:r/>
            <w:r>
              <w:rPr>
                <w:b/>
              </w:rPr>
              <w:t>应对</w:t>
            </w:r>
          </w:p>
        </w:tc>
      </w:tr>
      <w:tr>
        <w:trPr>
          <w:cantSplit/>
        </w:trPr>
        <w:tc>
          <w:tcPr>
            <w:tcW w:type="dxa" w:w="1723"/>
            <w:vAlign w:val="center"/>
          </w:tcPr>
          <w:p>
            <w:pPr>
              <w:pStyle w:val="BPTable"/>
              <w:keepNext/>
            </w:pPr>
            <w:r/>
            <w:r>
              <w:t>需求与付费不足</w:t>
            </w:r>
          </w:p>
        </w:tc>
        <w:tc>
          <w:tcPr>
            <w:tcW w:type="dxa" w:w="2585"/>
            <w:vAlign w:val="center"/>
          </w:tcPr>
          <w:p>
            <w:pPr>
              <w:pStyle w:val="BPTable"/>
              <w:keepNext/>
            </w:pPr>
            <w:r/>
            <w:r>
              <w:t>教师试用后不持续使用</w:t>
            </w:r>
          </w:p>
        </w:tc>
        <w:tc>
          <w:tcPr>
            <w:tcW w:type="dxa" w:w="4309"/>
            <w:vAlign w:val="center"/>
          </w:tcPr>
          <w:p>
            <w:pPr>
              <w:pStyle w:val="BPTable"/>
              <w:keepNext/>
            </w:pPr>
            <w:r/>
            <w:r>
              <w:t>先验证教师是否提供题目并复核提示；未达成不扩大开发</w:t>
            </w:r>
          </w:p>
        </w:tc>
      </w:tr>
      <w:tr>
        <w:trPr>
          <w:cantSplit/>
        </w:trPr>
        <w:tc>
          <w:tcPr>
            <w:tcW w:type="dxa" w:w="1723"/>
            <w:vAlign w:val="center"/>
          </w:tcPr>
          <w:p>
            <w:pPr>
              <w:pStyle w:val="BPTable"/>
              <w:keepNext/>
            </w:pPr>
            <w:r/>
            <w:r>
              <w:t>模型误诊或泄露答案</w:t>
            </w:r>
          </w:p>
        </w:tc>
        <w:tc>
          <w:tcPr>
            <w:tcW w:type="dxa" w:w="2585"/>
            <w:vAlign w:val="center"/>
          </w:tcPr>
          <w:p>
            <w:pPr>
              <w:pStyle w:val="BPTable"/>
              <w:keepNext/>
            </w:pPr>
            <w:r/>
            <w:r>
              <w:t>误导学生，削弱练习价值</w:t>
            </w:r>
          </w:p>
        </w:tc>
        <w:tc>
          <w:tcPr>
            <w:tcW w:type="dxa" w:w="4309"/>
            <w:vAlign w:val="center"/>
          </w:tcPr>
          <w:p>
            <w:pPr>
              <w:pStyle w:val="BPTable"/>
              <w:keepNext/>
            </w:pPr>
            <w:r/>
            <w:r>
              <w:t>事实与推测分栏、证据不足标未知、默认不给整题答案、教师复核</w:t>
            </w:r>
          </w:p>
        </w:tc>
      </w:tr>
      <w:tr>
        <w:trPr>
          <w:cantSplit/>
        </w:trPr>
        <w:tc>
          <w:tcPr>
            <w:tcW w:type="dxa" w:w="1723"/>
            <w:vAlign w:val="center"/>
          </w:tcPr>
          <w:p>
            <w:pPr>
              <w:pStyle w:val="BPTable"/>
              <w:keepNext/>
            </w:pPr>
            <w:r/>
            <w:r>
              <w:t>评测隔离失效</w:t>
            </w:r>
          </w:p>
        </w:tc>
        <w:tc>
          <w:tcPr>
            <w:tcW w:type="dxa" w:w="2585"/>
            <w:vAlign w:val="center"/>
          </w:tcPr>
          <w:p>
            <w:pPr>
              <w:pStyle w:val="BPTable"/>
              <w:keepNext/>
            </w:pPr>
            <w:r/>
            <w:r>
              <w:t>不可信代码影响服务与数据</w:t>
            </w:r>
          </w:p>
        </w:tc>
        <w:tc>
          <w:tcPr>
            <w:tcW w:type="dxa" w:w="4309"/>
            <w:vAlign w:val="center"/>
          </w:tcPr>
          <w:p>
            <w:pPr>
              <w:pStyle w:val="BPTable"/>
              <w:keepNext/>
            </w:pPr>
            <w:r/>
            <w:r>
              <w:t>独立工作器、断网、资源限制、安全复测；未通过不开放提交</w:t>
            </w:r>
          </w:p>
        </w:tc>
      </w:tr>
      <w:tr>
        <w:trPr>
          <w:cantSplit/>
        </w:trPr>
        <w:tc>
          <w:tcPr>
            <w:tcW w:type="dxa" w:w="1723"/>
            <w:vAlign w:val="center"/>
          </w:tcPr>
          <w:p>
            <w:pPr>
              <w:pStyle w:val="BPTable"/>
              <w:keepNext/>
            </w:pPr>
            <w:r/>
            <w:r>
              <w:t>数据与授权边界</w:t>
            </w:r>
          </w:p>
        </w:tc>
        <w:tc>
          <w:tcPr>
            <w:tcW w:type="dxa" w:w="2585"/>
            <w:vAlign w:val="center"/>
          </w:tcPr>
          <w:p>
            <w:pPr>
              <w:pStyle w:val="BPTable"/>
              <w:keepNext/>
            </w:pPr>
            <w:r/>
            <w:r>
              <w:t>代码与过程数据被不当使用</w:t>
            </w:r>
          </w:p>
        </w:tc>
        <w:tc>
          <w:tcPr>
            <w:tcW w:type="dxa" w:w="4309"/>
            <w:vAlign w:val="center"/>
          </w:tcPr>
          <w:p>
            <w:pPr>
              <w:pStyle w:val="BPTable"/>
              <w:keepNext/>
            </w:pPr>
            <w:r/>
            <w:r>
              <w:t>课程授权、最少数据、角色访问、去标识化；仅发送必要内容</w:t>
            </w:r>
          </w:p>
        </w:tc>
      </w:tr>
      <w:tr>
        <w:trPr>
          <w:cantSplit/>
        </w:trPr>
        <w:tc>
          <w:tcPr>
            <w:tcW w:type="dxa" w:w="1723"/>
            <w:vAlign w:val="center"/>
          </w:tcPr>
          <w:p>
            <w:pPr>
              <w:pStyle w:val="BPTable"/>
              <w:keepNext/>
            </w:pPr>
            <w:r/>
            <w:r>
              <w:t>成本被低估</w:t>
            </w:r>
          </w:p>
        </w:tc>
        <w:tc>
          <w:tcPr>
            <w:tcW w:type="dxa" w:w="2585"/>
            <w:vAlign w:val="center"/>
          </w:tcPr>
          <w:p>
            <w:pPr>
              <w:pStyle w:val="BPTable"/>
              <w:keepNext/>
            </w:pPr>
            <w:r/>
            <w:r>
              <w:t>支持工时侵蚀贡献</w:t>
            </w:r>
          </w:p>
        </w:tc>
        <w:tc>
          <w:tcPr>
            <w:tcW w:type="dxa" w:w="4309"/>
            <w:vAlign w:val="center"/>
          </w:tcPr>
          <w:p>
            <w:pPr>
              <w:pStyle w:val="BPTable"/>
              <w:keepNext/>
            </w:pPr>
            <w:r/>
            <w:r>
              <w:t>记录工时与调用量、设置服务上限、超量重估</w:t>
            </w:r>
          </w:p>
        </w:tc>
      </w:tr>
      <w:tr>
        <w:trPr>
          <w:cantSplit/>
        </w:trPr>
        <w:tc>
          <w:tcPr>
            <w:tcW w:type="dxa" w:w="1723"/>
            <w:vAlign w:val="center"/>
          </w:tcPr>
          <w:p>
            <w:pPr>
              <w:pStyle w:val="BPTable"/>
              <w:keepNext/>
            </w:pPr>
            <w:r/>
            <w:r>
              <w:t>团队与资源不足</w:t>
            </w:r>
          </w:p>
        </w:tc>
        <w:tc>
          <w:tcPr>
            <w:tcW w:type="dxa" w:w="2585"/>
            <w:vAlign w:val="center"/>
          </w:tcPr>
          <w:p>
            <w:pPr>
              <w:pStyle w:val="BPTable"/>
              <w:keepNext/>
            </w:pPr>
            <w:r/>
            <w:r>
              <w:t>里程碑延期</w:t>
            </w:r>
          </w:p>
        </w:tc>
        <w:tc>
          <w:tcPr>
            <w:tcW w:type="dxa" w:w="4309"/>
            <w:vAlign w:val="center"/>
          </w:tcPr>
          <w:p>
            <w:pPr>
              <w:pStyle w:val="BPTable"/>
              <w:keepNext/>
            </w:pPr>
            <w:r/>
            <w:r>
              <w:t>关键路径集中于两人，任务可拆分；指导教师与资源先行确认</w:t>
            </w:r>
          </w:p>
        </w:tc>
      </w:tr>
    </w:tbl>
    <w:p>
      <w:pPr>
        <w:pStyle w:val="BPSource"/>
      </w:pPr>
      <w:r>
        <w:t>注：风险应对为项目设计安排，需在试点中检验。</w:t>
      </w:r>
    </w:p>
    <w:p>
      <w:pPr>
        <w:pStyle w:val="BPH2"/>
      </w:pPr>
      <w:r>
        <w:t>9.3 下一步</w:t>
      </w:r>
    </w:p>
    <w:p>
      <w:pPr>
        <w:pStyle w:val="BPBody"/>
      </w:pPr>
      <w:r>
        <w:t>近期三项工作：完成指导教师审阅后的方案修订；用一道题跑通闭环并留存测试记录；落实1名教师、5名学生的试用安排。三项完成后，再讨论课程服务包的价格与范围。项目以“让每一次编程错误都成为一次有效的学习”为目标，交付标准是可复核的课程证据。</w:t>
      </w:r>
    </w:p>
    <w:sectPr w:rsidR="00FC693F" w:rsidRPr="0006063C" w:rsidSect="00034616">
      <w:footerReference w:type="default" r:id="rId11"/>
      <w:headerReference w:type="default" r:id="rId12"/>
      <w:pgSz w:w="11906" w:h="16838"/>
      <w:pgMar w:top="1361" w:right="1531" w:bottom="1247" w:left="1531" w:header="680" w:footer="68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>
      <w:r>
        <w:rPr>
          <w:sz w:val="18"/>
        </w:rPr>
        <w:t>1</w:t>
      </w:r>
    </w:fldSimple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sz w:val="18"/>
      </w:rPr>
      <w:t>CodePilot Edu 商业计划书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hAnsi="Times New Roman" w:eastAsia="宋体"/>
      <w:b w:val="0"/>
      <w:sz w:val="22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PBody">
    <w:name w:val="BP Body"/>
    <w:basedOn w:val="Normal"/>
    <w:pPr>
      <w:widowControl/>
      <w:spacing w:line="360" w:lineRule="auto" w:before="0" w:after="60"/>
      <w:ind w:firstLine="420"/>
      <w:jc w:val="both"/>
    </w:pPr>
    <w:rPr>
      <w:rFonts w:ascii="Times New Roman" w:hAnsi="Times New Roman" w:eastAsia="宋体"/>
      <w:b w:val="0"/>
      <w:sz w:val="22"/>
      <w:color w:val="000000"/>
    </w:rPr>
  </w:style>
  <w:style w:type="paragraph" w:customStyle="1" w:styleId="BPH1">
    <w:name w:val="BP H1"/>
    <w:basedOn w:val="Normal"/>
    <w:pPr>
      <w:keepNext/>
      <w:widowControl/>
      <w:spacing w:line="324" w:lineRule="auto" w:before="0" w:after="200"/>
      <w:jc w:val="left"/>
      <w:outlineLvl w:val="0"/>
    </w:pPr>
    <w:rPr>
      <w:rFonts w:ascii="Times New Roman" w:hAnsi="Times New Roman" w:eastAsia="黑体"/>
      <w:b/>
      <w:sz w:val="30"/>
      <w:color w:val="000000"/>
    </w:rPr>
  </w:style>
  <w:style w:type="paragraph" w:customStyle="1" w:styleId="BPH2">
    <w:name w:val="BP H2"/>
    <w:basedOn w:val="Normal"/>
    <w:pPr>
      <w:keepNext/>
      <w:widowControl/>
      <w:spacing w:line="336" w:lineRule="auto" w:before="200" w:after="80"/>
      <w:outlineLvl w:val="1"/>
    </w:pPr>
    <w:rPr>
      <w:rFonts w:ascii="Times New Roman" w:hAnsi="Times New Roman" w:eastAsia="黑体"/>
      <w:b/>
      <w:sz w:val="24"/>
      <w:color w:val="000000"/>
    </w:rPr>
  </w:style>
  <w:style w:type="paragraph" w:customStyle="1" w:styleId="BPTable">
    <w:name w:val="BP Table"/>
    <w:basedOn w:val="Normal"/>
    <w:pPr>
      <w:widowControl/>
      <w:spacing w:line="276" w:lineRule="auto" w:before="40" w:after="40"/>
    </w:pPr>
    <w:rPr>
      <w:rFonts w:ascii="Times New Roman" w:hAnsi="Times New Roman" w:eastAsia="宋体"/>
      <w:b w:val="0"/>
      <w:sz w:val="19"/>
      <w:color w:val="000000"/>
    </w:rPr>
  </w:style>
  <w:style w:type="paragraph" w:customStyle="1" w:styleId="BPCaption">
    <w:name w:val="BP Caption"/>
    <w:basedOn w:val="Normal"/>
    <w:pPr>
      <w:keepNext/>
      <w:widowControl/>
      <w:spacing w:line="288" w:lineRule="auto" w:before="120" w:after="60"/>
    </w:pPr>
    <w:rPr>
      <w:rFonts w:ascii="Times New Roman" w:hAnsi="Times New Roman" w:eastAsia="黑体"/>
      <w:b/>
      <w:sz w:val="20"/>
      <w:color w:val="000000"/>
    </w:rPr>
  </w:style>
  <w:style w:type="paragraph" w:customStyle="1" w:styleId="BPSource">
    <w:name w:val="BP Source"/>
    <w:basedOn w:val="Normal"/>
    <w:pPr>
      <w:widowControl/>
      <w:spacing w:line="288" w:lineRule="auto" w:before="40" w:after="200"/>
    </w:pPr>
    <w:rPr>
      <w:rFonts w:ascii="Times New Roman" w:hAnsi="Times New Roman" w:eastAsia="宋体"/>
      <w:b w:val="0"/>
      <w:sz w:val="18"/>
      <w:color w:val="000000"/>
    </w:rPr>
  </w:style>
  <w:style w:type="paragraph" w:customStyle="1" w:styleId="BPMeta">
    <w:name w:val="BP Meta"/>
    <w:basedOn w:val="Normal"/>
    <w:pPr>
      <w:widowControl/>
      <w:spacing w:line="360" w:lineRule="auto" w:before="0" w:after="120"/>
    </w:pPr>
    <w:rPr>
      <w:rFonts w:ascii="Times New Roman" w:hAnsi="Times New Roman" w:eastAsia="宋体"/>
      <w:b w:val="0"/>
      <w:sz w:val="24"/>
      <w:color w:val="000000"/>
    </w:rPr>
  </w:style>
  <w:style w:type="paragraph" w:customStyle="1" w:styleId="BPTOC">
    <w:name w:val="BP TOC"/>
    <w:basedOn w:val="Normal"/>
    <w:pPr>
      <w:widowControl/>
      <w:spacing w:line="360" w:lineRule="auto" w:before="0" w:after="120"/>
    </w:pPr>
    <w:rPr>
      <w:rFonts w:ascii="Times New Roman" w:hAnsi="Times New Roman" w:eastAsia="宋体"/>
      <w:b w:val="0"/>
      <w:sz w:val="22"/>
      <w:color w:val="00000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CodePilot Edu 商业计划书</dc:title>
  <dc:subject>基于AI错因诊断与学习行为分析的程序设计智能实训平台</dc:subject>
  <dc:creator>ZERO团队</dc:creator>
  <cp:keywords/>
  <dc:description>指导教师审阅稿 V1.2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