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4C4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2</w:t>
      </w:r>
      <w:bookmarkStart w:id="0" w:name="_GoBack"/>
      <w:bookmarkEnd w:id="0"/>
    </w:p>
    <w:p w14:paraId="13CD0D20">
      <w:pPr>
        <w:spacing w:before="0" w:beforeLines="0" w:line="540" w:lineRule="exact"/>
        <w:jc w:val="center"/>
        <w:rPr>
          <w:rFonts w:hint="eastAsia" w:ascii="方正小标宋简体" w:hAnsi="仿宋" w:eastAsia="方正小标宋简体" w:cs="仿宋"/>
          <w:bCs/>
          <w:color w:val="auto"/>
          <w:sz w:val="44"/>
          <w:szCs w:val="44"/>
          <w:lang w:eastAsia="zh-CN"/>
        </w:rPr>
      </w:pPr>
    </w:p>
    <w:tbl>
      <w:tblPr>
        <w:tblStyle w:val="9"/>
        <w:tblpPr w:leftFromText="180" w:rightFromText="180" w:vertAnchor="text" w:horzAnchor="page" w:tblpX="2036" w:tblpY="1051"/>
        <w:tblOverlap w:val="never"/>
        <w:tblW w:w="13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8893"/>
        <w:gridCol w:w="960"/>
        <w:gridCol w:w="1000"/>
        <w:gridCol w:w="1340"/>
      </w:tblGrid>
      <w:tr w14:paraId="54A24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1087" w:type="dxa"/>
            <w:noWrap w:val="0"/>
            <w:vAlign w:val="center"/>
          </w:tcPr>
          <w:p w14:paraId="0EA72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黑体" w:hAnsi="黑体" w:eastAsia="黑体" w:cs="仿宋"/>
                <w:color w:val="auto"/>
                <w:kern w:val="0"/>
                <w:szCs w:val="21"/>
              </w:rPr>
            </w:pPr>
            <w:r>
              <w:rPr>
                <w:rFonts w:hint="eastAsia" w:ascii="黑体" w:hAnsi="黑体" w:eastAsia="黑体" w:cs="仿宋"/>
                <w:color w:val="auto"/>
                <w:kern w:val="0"/>
                <w:szCs w:val="21"/>
              </w:rPr>
              <w:t>评审要点</w:t>
            </w:r>
          </w:p>
        </w:tc>
        <w:tc>
          <w:tcPr>
            <w:tcW w:w="8893" w:type="dxa"/>
            <w:noWrap w:val="0"/>
            <w:vAlign w:val="center"/>
          </w:tcPr>
          <w:p w14:paraId="4D5EC1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黑体" w:hAnsi="黑体" w:eastAsia="黑体" w:cs="仿宋"/>
                <w:color w:val="auto"/>
                <w:kern w:val="0"/>
                <w:szCs w:val="21"/>
              </w:rPr>
            </w:pPr>
            <w:r>
              <w:rPr>
                <w:rFonts w:hint="eastAsia" w:ascii="黑体" w:hAnsi="黑体" w:eastAsia="黑体" w:cs="仿宋"/>
                <w:color w:val="auto"/>
                <w:kern w:val="0"/>
                <w:szCs w:val="21"/>
              </w:rPr>
              <w:t>评审内容</w:t>
            </w:r>
          </w:p>
        </w:tc>
        <w:tc>
          <w:tcPr>
            <w:tcW w:w="960" w:type="dxa"/>
            <w:noWrap w:val="0"/>
            <w:vAlign w:val="center"/>
          </w:tcPr>
          <w:p w14:paraId="67847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黑体" w:hAnsi="黑体" w:eastAsia="黑体" w:cs="仿宋"/>
                <w:color w:val="auto"/>
                <w:kern w:val="0"/>
                <w:szCs w:val="21"/>
              </w:rPr>
            </w:pPr>
            <w:r>
              <w:rPr>
                <w:rFonts w:hint="eastAsia" w:ascii="黑体" w:hAnsi="黑体" w:eastAsia="黑体" w:cs="仿宋"/>
                <w:color w:val="auto"/>
                <w:kern w:val="0"/>
                <w:szCs w:val="21"/>
              </w:rPr>
              <w:t>中职组</w:t>
            </w:r>
          </w:p>
          <w:p w14:paraId="4BD95B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黑体" w:hAnsi="黑体" w:eastAsia="黑体" w:cs="仿宋"/>
                <w:color w:val="auto"/>
                <w:kern w:val="0"/>
                <w:szCs w:val="21"/>
              </w:rPr>
            </w:pPr>
            <w:r>
              <w:rPr>
                <w:rFonts w:hint="eastAsia" w:ascii="黑体" w:hAnsi="黑体" w:eastAsia="黑体" w:cs="仿宋"/>
                <w:color w:val="auto"/>
                <w:kern w:val="0"/>
                <w:szCs w:val="21"/>
              </w:rPr>
              <w:t>分值</w:t>
            </w:r>
          </w:p>
        </w:tc>
        <w:tc>
          <w:tcPr>
            <w:tcW w:w="1000" w:type="dxa"/>
            <w:noWrap w:val="0"/>
            <w:vAlign w:val="center"/>
          </w:tcPr>
          <w:p w14:paraId="6A3ED2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黑体" w:hAnsi="黑体" w:eastAsia="黑体" w:cs="仿宋"/>
                <w:color w:val="auto"/>
                <w:kern w:val="0"/>
                <w:szCs w:val="21"/>
              </w:rPr>
            </w:pPr>
            <w:r>
              <w:rPr>
                <w:rFonts w:hint="eastAsia" w:ascii="黑体" w:hAnsi="黑体" w:eastAsia="黑体" w:cs="仿宋"/>
                <w:color w:val="auto"/>
                <w:kern w:val="0"/>
                <w:szCs w:val="21"/>
              </w:rPr>
              <w:t>高职组</w:t>
            </w:r>
          </w:p>
          <w:p w14:paraId="72517B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黑体" w:hAnsi="黑体" w:eastAsia="黑体" w:cs="仿宋"/>
                <w:color w:val="auto"/>
                <w:kern w:val="0"/>
                <w:szCs w:val="21"/>
              </w:rPr>
            </w:pPr>
            <w:r>
              <w:rPr>
                <w:rFonts w:hint="eastAsia" w:ascii="黑体" w:hAnsi="黑体" w:eastAsia="黑体" w:cs="仿宋"/>
                <w:color w:val="auto"/>
                <w:kern w:val="0"/>
                <w:szCs w:val="21"/>
              </w:rPr>
              <w:t>分值</w:t>
            </w:r>
          </w:p>
        </w:tc>
        <w:tc>
          <w:tcPr>
            <w:tcW w:w="1340" w:type="dxa"/>
            <w:noWrap w:val="0"/>
            <w:vAlign w:val="center"/>
          </w:tcPr>
          <w:p w14:paraId="331ED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黑体" w:hAnsi="黑体" w:eastAsia="黑体" w:cs="仿宋"/>
                <w:color w:val="auto"/>
                <w:kern w:val="0"/>
                <w:szCs w:val="21"/>
              </w:rPr>
            </w:pPr>
            <w:r>
              <w:rPr>
                <w:rFonts w:hint="eastAsia" w:ascii="黑体" w:hAnsi="黑体" w:eastAsia="黑体" w:cs="仿宋"/>
                <w:color w:val="auto"/>
                <w:kern w:val="0"/>
                <w:szCs w:val="21"/>
              </w:rPr>
              <w:t>本科组分值</w:t>
            </w:r>
          </w:p>
        </w:tc>
      </w:tr>
      <w:tr w14:paraId="5CC0C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0" w:hRule="atLeast"/>
        </w:trPr>
        <w:tc>
          <w:tcPr>
            <w:tcW w:w="1087" w:type="dxa"/>
            <w:noWrap w:val="0"/>
            <w:vAlign w:val="center"/>
          </w:tcPr>
          <w:p w14:paraId="1E7E3E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创新性</w:t>
            </w:r>
          </w:p>
        </w:tc>
        <w:tc>
          <w:tcPr>
            <w:tcW w:w="8893" w:type="dxa"/>
            <w:noWrap w:val="0"/>
            <w:vAlign w:val="top"/>
          </w:tcPr>
          <w:p w14:paraId="39B048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1.突出原始创意和创新。</w:t>
            </w:r>
          </w:p>
          <w:p w14:paraId="1BB78C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2.鼓励面向职业和岗位创新，侧重于加工工艺创新、实用技术创新、产品或技术改良等。</w:t>
            </w:r>
          </w:p>
          <w:p w14:paraId="5155EC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3.鼓励组织模式创新和服务创新。</w:t>
            </w:r>
          </w:p>
          <w:p w14:paraId="285B2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4.项目体现产教融合、工学结合、校企合作模式创新。</w:t>
            </w:r>
          </w:p>
        </w:tc>
        <w:tc>
          <w:tcPr>
            <w:tcW w:w="960" w:type="dxa"/>
            <w:noWrap w:val="0"/>
            <w:vAlign w:val="center"/>
          </w:tcPr>
          <w:p w14:paraId="3F2651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30</w:t>
            </w:r>
          </w:p>
        </w:tc>
        <w:tc>
          <w:tcPr>
            <w:tcW w:w="1000" w:type="dxa"/>
            <w:noWrap w:val="0"/>
            <w:vAlign w:val="center"/>
          </w:tcPr>
          <w:p w14:paraId="73FBC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30</w:t>
            </w:r>
          </w:p>
        </w:tc>
        <w:tc>
          <w:tcPr>
            <w:tcW w:w="1340" w:type="dxa"/>
            <w:noWrap w:val="0"/>
            <w:vAlign w:val="center"/>
          </w:tcPr>
          <w:p w14:paraId="39E35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25</w:t>
            </w:r>
          </w:p>
        </w:tc>
      </w:tr>
      <w:tr w14:paraId="74D94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7" w:type="dxa"/>
            <w:noWrap w:val="0"/>
            <w:vAlign w:val="center"/>
          </w:tcPr>
          <w:p w14:paraId="25F6AE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商业性</w:t>
            </w:r>
          </w:p>
        </w:tc>
        <w:tc>
          <w:tcPr>
            <w:tcW w:w="8893" w:type="dxa"/>
            <w:noWrap w:val="0"/>
            <w:vAlign w:val="top"/>
          </w:tcPr>
          <w:p w14:paraId="2CC170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1.项目与区域经济发展、产业转型升级相结合。</w:t>
            </w:r>
          </w:p>
          <w:p w14:paraId="47B01F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2.项目调研详实、数据分析充分，强调实地调查和实践检验。</w:t>
            </w:r>
          </w:p>
          <w:p w14:paraId="15979B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3.商业模式设计完整、可行，项目已具备盈利能力或具有较好的盈利潜力。</w:t>
            </w:r>
          </w:p>
          <w:p w14:paraId="16260C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4.项目在创新研发、生产销售、资源整合、资金配套等方面具有实践基础或已经落地执行。</w:t>
            </w:r>
          </w:p>
        </w:tc>
        <w:tc>
          <w:tcPr>
            <w:tcW w:w="960" w:type="dxa"/>
            <w:noWrap w:val="0"/>
            <w:vAlign w:val="center"/>
          </w:tcPr>
          <w:p w14:paraId="1FD8BE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25</w:t>
            </w:r>
          </w:p>
        </w:tc>
        <w:tc>
          <w:tcPr>
            <w:tcW w:w="1000" w:type="dxa"/>
            <w:noWrap w:val="0"/>
            <w:vAlign w:val="center"/>
          </w:tcPr>
          <w:p w14:paraId="0516D3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30</w:t>
            </w:r>
          </w:p>
        </w:tc>
        <w:tc>
          <w:tcPr>
            <w:tcW w:w="1340" w:type="dxa"/>
            <w:noWrap w:val="0"/>
            <w:vAlign w:val="center"/>
          </w:tcPr>
          <w:p w14:paraId="74029D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35</w:t>
            </w:r>
          </w:p>
        </w:tc>
      </w:tr>
      <w:tr w14:paraId="148F3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</w:trPr>
        <w:tc>
          <w:tcPr>
            <w:tcW w:w="1087" w:type="dxa"/>
            <w:noWrap w:val="0"/>
            <w:vAlign w:val="center"/>
          </w:tcPr>
          <w:p w14:paraId="64769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团队情况</w:t>
            </w:r>
          </w:p>
        </w:tc>
        <w:tc>
          <w:tcPr>
            <w:tcW w:w="8893" w:type="dxa"/>
            <w:noWrap w:val="0"/>
            <w:vAlign w:val="top"/>
          </w:tcPr>
          <w:p w14:paraId="50435B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1.团队成员的专业背景、实践经历、创新能力和价值观与项目需求相匹配。</w:t>
            </w:r>
          </w:p>
          <w:p w14:paraId="4A4A72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2.团队的组织构架、股权结构、人员设置、能力互补、分工协作以及激励制度规划合理。</w:t>
            </w:r>
          </w:p>
          <w:p w14:paraId="1AF52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3.指导教师和外部资源的使用与项目的关系清晰、合理。</w:t>
            </w:r>
          </w:p>
        </w:tc>
        <w:tc>
          <w:tcPr>
            <w:tcW w:w="960" w:type="dxa"/>
            <w:noWrap w:val="0"/>
            <w:vAlign w:val="center"/>
          </w:tcPr>
          <w:p w14:paraId="0CE922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25</w:t>
            </w:r>
          </w:p>
        </w:tc>
        <w:tc>
          <w:tcPr>
            <w:tcW w:w="1000" w:type="dxa"/>
            <w:noWrap w:val="0"/>
            <w:vAlign w:val="center"/>
          </w:tcPr>
          <w:p w14:paraId="6B0E30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20</w:t>
            </w:r>
          </w:p>
        </w:tc>
        <w:tc>
          <w:tcPr>
            <w:tcW w:w="1340" w:type="dxa"/>
            <w:noWrap w:val="0"/>
            <w:vAlign w:val="center"/>
          </w:tcPr>
          <w:p w14:paraId="00C17C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20</w:t>
            </w:r>
          </w:p>
        </w:tc>
      </w:tr>
      <w:tr w14:paraId="27723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6" w:hRule="atLeast"/>
        </w:trPr>
        <w:tc>
          <w:tcPr>
            <w:tcW w:w="1087" w:type="dxa"/>
            <w:noWrap w:val="0"/>
            <w:vAlign w:val="center"/>
          </w:tcPr>
          <w:p w14:paraId="0B4929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引领教育</w:t>
            </w:r>
          </w:p>
        </w:tc>
        <w:tc>
          <w:tcPr>
            <w:tcW w:w="8893" w:type="dxa"/>
            <w:noWrap w:val="0"/>
            <w:vAlign w:val="top"/>
          </w:tcPr>
          <w:p w14:paraId="58663F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1.突出大赛的育人本质，充分体现项目成长对团队成员创新精神、创业意识、创造能力的锻炼和提升作用。</w:t>
            </w:r>
          </w:p>
          <w:p w14:paraId="727D74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2.项目直接或间接带动就业，具有较好的正向带动作用。</w:t>
            </w:r>
          </w:p>
          <w:p w14:paraId="743FAF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3.项目具有示范作用，可复制、可推广。</w:t>
            </w:r>
          </w:p>
        </w:tc>
        <w:tc>
          <w:tcPr>
            <w:tcW w:w="960" w:type="dxa"/>
            <w:noWrap w:val="0"/>
            <w:vAlign w:val="center"/>
          </w:tcPr>
          <w:p w14:paraId="412B97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20</w:t>
            </w:r>
          </w:p>
        </w:tc>
        <w:tc>
          <w:tcPr>
            <w:tcW w:w="1000" w:type="dxa"/>
            <w:noWrap w:val="0"/>
            <w:vAlign w:val="center"/>
          </w:tcPr>
          <w:p w14:paraId="105D13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20</w:t>
            </w:r>
          </w:p>
        </w:tc>
        <w:tc>
          <w:tcPr>
            <w:tcW w:w="1340" w:type="dxa"/>
            <w:noWrap w:val="0"/>
            <w:vAlign w:val="center"/>
          </w:tcPr>
          <w:p w14:paraId="1F4C5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20</w:t>
            </w:r>
          </w:p>
        </w:tc>
      </w:tr>
      <w:tr w14:paraId="54236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980" w:type="dxa"/>
            <w:gridSpan w:val="2"/>
            <w:noWrap w:val="0"/>
            <w:vAlign w:val="top"/>
          </w:tcPr>
          <w:p w14:paraId="20F217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合计</w:t>
            </w:r>
          </w:p>
        </w:tc>
        <w:tc>
          <w:tcPr>
            <w:tcW w:w="960" w:type="dxa"/>
            <w:noWrap w:val="0"/>
            <w:vAlign w:val="center"/>
          </w:tcPr>
          <w:p w14:paraId="79C89C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100</w:t>
            </w:r>
          </w:p>
        </w:tc>
        <w:tc>
          <w:tcPr>
            <w:tcW w:w="1000" w:type="dxa"/>
            <w:noWrap w:val="0"/>
            <w:vAlign w:val="center"/>
          </w:tcPr>
          <w:p w14:paraId="7EFAC9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100</w:t>
            </w:r>
          </w:p>
        </w:tc>
        <w:tc>
          <w:tcPr>
            <w:tcW w:w="1340" w:type="dxa"/>
            <w:noWrap w:val="0"/>
            <w:vAlign w:val="center"/>
          </w:tcPr>
          <w:p w14:paraId="3F6A74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21"/>
              </w:rPr>
              <w:t>100</w:t>
            </w:r>
          </w:p>
        </w:tc>
      </w:tr>
    </w:tbl>
    <w:p w14:paraId="26631B1A">
      <w:pPr>
        <w:spacing w:before="0" w:beforeLines="0" w:line="540" w:lineRule="exact"/>
        <w:jc w:val="center"/>
        <w:rPr>
          <w:rFonts w:hint="eastAsia" w:ascii="方正小标宋简体" w:hAnsi="仿宋" w:eastAsia="方正小标宋简体" w:cs="仿宋"/>
          <w:bCs/>
          <w:color w:val="auto"/>
          <w:sz w:val="44"/>
          <w:szCs w:val="44"/>
          <w:lang w:eastAsia="zh-CN"/>
        </w:rPr>
      </w:pPr>
      <w:r>
        <w:rPr>
          <w:rFonts w:hint="eastAsia" w:ascii="方正小标宋简体" w:hAnsi="仿宋" w:eastAsia="方正小标宋简体" w:cs="仿宋"/>
          <w:bCs/>
          <w:color w:val="auto"/>
          <w:sz w:val="44"/>
          <w:szCs w:val="44"/>
          <w:lang w:eastAsia="zh-CN"/>
        </w:rPr>
        <w:t>第</w:t>
      </w:r>
      <w:r>
        <w:rPr>
          <w:rFonts w:hint="eastAsia" w:ascii="方正小标宋简体" w:hAnsi="仿宋" w:eastAsia="方正小标宋简体" w:cs="仿宋"/>
          <w:bCs/>
          <w:color w:val="auto"/>
          <w:sz w:val="44"/>
          <w:szCs w:val="44"/>
          <w:lang w:val="en-US" w:eastAsia="zh-CN"/>
        </w:rPr>
        <w:t>十</w:t>
      </w:r>
      <w:r>
        <w:rPr>
          <w:rFonts w:hint="eastAsia" w:ascii="方正小标宋简体" w:hAnsi="仿宋" w:eastAsia="方正小标宋简体" w:cs="仿宋"/>
          <w:bCs/>
          <w:color w:val="auto"/>
          <w:sz w:val="44"/>
          <w:szCs w:val="44"/>
          <w:lang w:eastAsia="zh-CN"/>
        </w:rPr>
        <w:t>届</w:t>
      </w:r>
      <w:r>
        <w:rPr>
          <w:rFonts w:hint="eastAsia" w:ascii="方正小标宋简体" w:hAnsi="仿宋" w:eastAsia="方正小标宋简体" w:cs="仿宋"/>
          <w:bCs/>
          <w:color w:val="auto"/>
          <w:sz w:val="44"/>
          <w:szCs w:val="44"/>
        </w:rPr>
        <w:t>中华职业教育创新创业大赛</w:t>
      </w:r>
      <w:r>
        <w:rPr>
          <w:rFonts w:hint="eastAsia" w:ascii="方正小标宋简体" w:hAnsi="仿宋" w:eastAsia="方正小标宋简体" w:cs="仿宋"/>
          <w:bCs/>
          <w:color w:val="auto"/>
          <w:sz w:val="44"/>
          <w:szCs w:val="44"/>
          <w:lang w:eastAsia="zh-CN"/>
        </w:rPr>
        <w:t>广西区赛学生赛道评审规则</w:t>
      </w:r>
    </w:p>
    <w:p w14:paraId="1E2D8948"/>
    <w:sectPr>
      <w:headerReference r:id="rId3" w:type="default"/>
      <w:footerReference r:id="rId4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258B1B6-3074-4BFC-8741-87DB81A9D1A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DC69FB25-46D3-4B83-84E6-4522A00F775C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E376C13B-E23B-44B0-8BB9-EB755D95BD19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4" w:fontKey="{5898C3E4-CCF0-4FF0-B954-C78E2AFAD767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C50EF7">
    <w:pPr>
      <w:wordWrap w:val="0"/>
      <w:autoSpaceDE w:val="0"/>
      <w:autoSpaceDN w:val="0"/>
      <w:spacing w:before="0" w:after="0" w:line="239" w:lineRule="auto"/>
      <w:ind w:right="420" w:firstLine="0"/>
      <w:jc w:val="right"/>
      <w:rPr>
        <w:sz w:val="27"/>
      </w:rPr>
    </w:pPr>
    <w:r>
      <w:rPr>
        <w:sz w:val="27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217EB8">
                          <w:pPr>
                            <w:pStyle w:val="5"/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>26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F+UJskBAACZAwAADgAAAGRycy9lMm9Eb2MueG1srVPNjtMwEL4j8Q6W&#10;79TZaoW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DUX5Qm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E217EB8">
                    <w:pPr>
                      <w:pStyle w:val="5"/>
                    </w:pP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>26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  <w:r>
      <w:rPr>
        <w:sz w:val="27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9475D2"/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DSS+kn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19475D2"/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9D1EC"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3AD201"/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G+QoMkBAACZAwAADgAAAGRycy9lMm9Eb2MueG1srVPNjtMwEL4j8Q6W&#10;79TZroS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Eb5Cg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93AD201"/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1E2275"/>
    <w:rsid w:val="2B50098E"/>
    <w:rsid w:val="6C1E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3">
    <w:name w:val="Body Text First Indent"/>
    <w:basedOn w:val="2"/>
    <w:next w:val="1"/>
    <w:qFormat/>
    <w:uiPriority w:val="0"/>
    <w:rPr>
      <w:rFonts w:ascii="Calibri" w:hAnsi="Calibri"/>
    </w:rPr>
  </w:style>
  <w:style w:type="paragraph" w:styleId="4">
    <w:name w:val="Body Text Indent"/>
    <w:basedOn w:val="1"/>
    <w:next w:val="1"/>
    <w:qFormat/>
    <w:uiPriority w:val="0"/>
    <w:pPr>
      <w:spacing w:after="120"/>
      <w:ind w:left="420" w:leftChars="20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Body Text First Indent 2"/>
    <w:basedOn w:val="4"/>
    <w:next w:val="3"/>
    <w:qFormat/>
    <w:uiPriority w:val="0"/>
    <w:pPr>
      <w:ind w:firstLine="200" w:firstLineChars="200"/>
    </w:p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481</Words>
  <Characters>513</Characters>
  <Lines>0</Lines>
  <Paragraphs>0</Paragraphs>
  <TotalTime>0</TotalTime>
  <ScaleCrop>false</ScaleCrop>
  <LinksUpToDate>false</LinksUpToDate>
  <CharactersWithSpaces>513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2026-10-21T07:53:00Z</dcterms:created>
  <dc:creator>窦天歌</dc:creator>
  <cp:lastModifiedBy>窦天歌</cp:lastModifiedBy>
  <dcterms:modified xsi:type="dcterms:W3CDTF">2026-10-21T08:08:09Z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9F0C0EC8488D4EE7B0126C862961A1E3_11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