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76250"/>
                    </a:xfrm>
                    <a:prstGeom prst="rect">
                      <a:avLst/>
                    </a:prstGeom>
                  </pic:spPr>
                </pic:pic>
              </a:graphicData>
            </a:graphic>
          </wp:inline>
        </w:drawing>
      </w:r>
    </w:p>
    <w:p>
      <w:pPr>
        <w:pBdr>
          <w:bottom w:val="single" w:color="1F4E79" w:sz="30" w:space="0"/>
        </w:pBdr>
        <w:spacing w:before="0" w:after="240"/>
      </w:pPr>
      <w:r>
        <w:t xml:space="preserve"/>
      </w:r>
    </w:p>
    <w:p>
      <w:pPr>
        <w:spacing w:before="0" w:after="120"/>
      </w:pPr>
      <w:r>
        <w:rPr>
          <w:rFonts w:ascii="Arial" w:cs="Arial" w:eastAsia="Arial" w:hAnsi="Arial"/>
          <w:b/>
          <w:bCs/>
          <w:caps/>
          <w:color w:val="595959"/>
          <w:sz w:val="20"/>
          <w:szCs w:val="20"/>
        </w:rPr>
        <w:t xml:space="preserve">FINAL REPORT</w:t>
      </w:r>
    </w:p>
    <w:p>
      <w:pPr>
        <w:spacing w:before="0" w:after="480"/>
      </w:pPr>
      <w:r>
        <w:rPr>
          <w:rFonts w:ascii="Arial" w:cs="Arial" w:eastAsia="Arial" w:hAnsi="Arial"/>
          <w:b/>
          <w:bCs/>
          <w:color w:val="1F4E79"/>
          <w:sz w:val="36"/>
          <w:szCs w:val="36"/>
        </w:rPr>
        <w:t xml:space="preserve">Network Hardening — Hybrid Azure / AWS Infrastructure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19"/>
                <w:szCs w:val="19"/>
              </w:rPr>
              <w:t xml:space="preserve">Module</w:t>
            </w:r>
          </w:p>
        </w:tc>
        <w:tc>
          <w:tcPr>
            <w:tcW w:type="dxa" w:w="53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19"/>
                <w:szCs w:val="19"/>
              </w:rPr>
              <w:t xml:space="preserve">Network Hardening — 4th Year Engineering</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19"/>
                <w:szCs w:val="19"/>
              </w:rPr>
              <w:t xml:space="preserve">Group / Author</w:t>
            </w:r>
          </w:p>
        </w:tc>
        <w:tc>
          <w:tcPr>
            <w:tcW w:type="dxa" w:w="53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19"/>
                <w:szCs w:val="19"/>
              </w:rPr>
              <w:t xml:space="preserve">G1 / YFA</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19"/>
                <w:szCs w:val="19"/>
              </w:rPr>
              <w:t xml:space="preserve">Period</w:t>
            </w:r>
          </w:p>
        </w:tc>
        <w:tc>
          <w:tcPr>
            <w:tcW w:type="dxa" w:w="53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19"/>
                <w:szCs w:val="19"/>
              </w:rPr>
              <w:t xml:space="preserve">4 March 2026 (TD1) → 15 March 2026 (TD6)</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19"/>
                <w:szCs w:val="19"/>
              </w:rPr>
              <w:t xml:space="preserve">Infrastructure</w:t>
            </w:r>
          </w:p>
        </w:tc>
        <w:tc>
          <w:tcPr>
            <w:tcW w:type="dxa" w:w="53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19"/>
                <w:szCs w:val="19"/>
              </w:rPr>
              <w:t xml:space="preserve">Microsoft Azure (West Europe) + AWS eu-west-3</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19"/>
                <w:szCs w:val="19"/>
              </w:rPr>
              <w:t xml:space="preserve">Normative references</w:t>
            </w:r>
          </w:p>
        </w:tc>
        <w:tc>
          <w:tcPr>
            <w:tcW w:type="dxa" w:w="53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19"/>
                <w:szCs w:val="19"/>
              </w:rPr>
              <w:t xml:space="preserve">NIST SP 800-41, 800-52 Rev.2, 800-53, 800-77, 800-94</w:t>
            </w:r>
          </w:p>
        </w:tc>
      </w:tr>
    </w:tbl>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1. Executive Summary</w:t>
      </w:r>
    </w:p>
    <w:p>
      <w:pPr>
        <w:spacing w:before="80" w:after="100"/>
        <w:jc w:val="both"/>
      </w:pPr>
      <w:r>
        <w:rPr>
          <w:rFonts w:ascii="Arial" w:cs="Arial" w:eastAsia="Arial" w:hAnsi="Arial"/>
          <w:color w:val="222222"/>
          <w:sz w:val="20"/>
          <w:szCs w:val="20"/>
        </w:rPr>
        <w:t xml:space="preserve">This document consolidates the work carried out across TD1 to TD6 on a hybrid Azure/AWS infrastructure. The project objective was to start from an infrastructure with no security controls in place — open gateway, cleartext traffic, unrestricted SSH access — and bring it to a measurable, reproducible hardening level, using an evidence-driven approach throughout.</w:t>
      </w:r>
    </w:p>
    <w:p>
      <w:pPr>
        <w:spacing w:before="80" w:after="100"/>
        <w:jc w:val="both"/>
      </w:pPr>
      <w:r>
        <w:rPr>
          <w:rFonts w:ascii="Arial" w:cs="Arial" w:eastAsia="Arial" w:hAnsi="Arial"/>
          <w:color w:val="222222"/>
          <w:sz w:val="20"/>
          <w:szCs w:val="20"/>
        </w:rPr>
        <w:t xml:space="preserve">The chosen platform deliberately diverges from the VirtualBox model described in the lab specification: four virtual machines are distributed across two cloud providers (Azure West Europe for site A, AWS eu-west-3 for site B). This choice introduces real technical constraints documented throughout this report — in particular, the inability to use promiscuous mode on Azure virtual NICs, the systematic presence of source NAT (SNAT) on each WAN interface, and the need for custom routing to prevent asymmetric routing. All of these constraints were resolved, and their resolutions constitute a significant part of the technical contribution of this project.</w:t>
      </w:r>
    </w:p>
    <w:p>
      <w:pPr>
        <w:spacing w:before="0" w:after="80"/>
      </w:pPr>
      <w:r>
        <w:t xml:space="preserve"/>
      </w:r>
    </w:p>
    <w:p>
      <w:pPr>
        <w:pStyle w:val="Heading2"/>
        <w:spacing w:before="280" w:after="100"/>
      </w:pPr>
      <w:r>
        <w:rPr>
          <w:rFonts w:ascii="Arial" w:cs="Arial" w:eastAsia="Arial" w:hAnsi="Arial"/>
          <w:b/>
          <w:bCs/>
          <w:color w:val="1F4E79"/>
          <w:sz w:val="24"/>
          <w:szCs w:val="24"/>
        </w:rPr>
        <w:t xml:space="preserve">1.1 Identified and Addressed Threats</w:t>
      </w:r>
    </w:p>
    <w:p>
      <w:pPr>
        <w:spacing w:before="80" w:after="100"/>
        <w:jc w:val="both"/>
      </w:pPr>
      <w:r>
        <w:rPr>
          <w:rFonts w:ascii="Arial" w:cs="Arial" w:eastAsia="Arial" w:hAnsi="Arial"/>
          <w:color w:val="222222"/>
          <w:sz w:val="20"/>
          <w:szCs w:val="20"/>
        </w:rPr>
        <w:t xml:space="preserve">Three primary threats were identified during the baseline phase (TD1) and drove the entire hardening effort:</w:t>
      </w:r>
    </w:p>
    <w:p>
      <w:pPr>
        <w:spacing w:before="0" w:after="80"/>
      </w:pPr>
      <w:r>
        <w:t xml:space="preserve"/>
      </w:r>
    </w:p>
    <w:p>
      <w:pPr>
        <w:spacing w:before="200" w:after="80"/>
      </w:pPr>
      <w:r>
        <w:rPr>
          <w:rFonts w:ascii="Arial" w:cs="Arial" w:eastAsia="Arial" w:hAnsi="Arial"/>
          <w:b/>
          <w:bCs/>
          <w:color w:val="595959"/>
          <w:sz w:val="21"/>
          <w:szCs w:val="21"/>
        </w:rPr>
        <w:t xml:space="preserve">Unencrypted inter-site traffic over the public internet</w:t>
      </w:r>
    </w:p>
    <w:p>
      <w:pPr>
        <w:spacing w:before="80" w:after="100"/>
        <w:jc w:val="both"/>
      </w:pPr>
      <w:r>
        <w:rPr>
          <w:rFonts w:ascii="Arial" w:cs="Arial" w:eastAsia="Arial" w:hAnsi="Arial"/>
          <w:color w:val="222222"/>
          <w:sz w:val="20"/>
          <w:szCs w:val="20"/>
        </w:rPr>
        <w:t xml:space="preserve">Prior to any intervention, all exchanges between site A (Azure) and site B (AWS) transited the public internet without encryption. Any network observer on the path could read or modify data in transit. Deploying an IKEv2 IPsec tunnel between the two gateways (strongSwan, AES-256-CBC / HMAC-SHA2-256 / MODP-2048) fully eliminates this exposure. The technical proof is a tcpdump capture on the WAN interface: only ESP packets encapsulated in UDP/4500 are visible; no cleartext payload is present.</w:t>
      </w:r>
    </w:p>
    <w:p>
      <w:pPr>
        <w:spacing w:before="200" w:after="80"/>
      </w:pPr>
      <w:r>
        <w:rPr>
          <w:rFonts w:ascii="Arial" w:cs="Arial" w:eastAsia="Arial" w:hAnsi="Arial"/>
          <w:b/>
          <w:bCs/>
          <w:color w:val="595959"/>
          <w:sz w:val="21"/>
          <w:szCs w:val="21"/>
        </w:rPr>
        <w:t xml:space="preserve">Unrestricted SSH access on the gateway and the target server</w:t>
      </w:r>
    </w:p>
    <w:p>
      <w:pPr>
        <w:spacing w:before="80" w:after="100"/>
        <w:jc w:val="both"/>
      </w:pPr>
      <w:r>
        <w:rPr>
          <w:rFonts w:ascii="Arial" w:cs="Arial" w:eastAsia="Arial" w:hAnsi="Arial"/>
          <w:color w:val="222222"/>
          <w:sz w:val="20"/>
          <w:szCs w:val="20"/>
        </w:rPr>
        <w:t xml:space="preserve">In the initial configuration, TCP port 22 on gateway gw-fw was accessible from any IP address. The auth.log of siteB-srv, collected throughout the project, shows automated authentication attempts from IP addresses belonging to public cloud operators (DigitalOcean, AS14061) and listed in Spamhaus DROP and DShield blocklists. These attempts exclusively targeted the root account. Two complementary controls were deployed: an nftables INPUT filter on gw-fw restricting port 22 to whitelisted administrator addresses, and an sshd hardening configuration on siteB-srv disabling password authentication, blocking root login, and scoping allowed users to awsuser.</w:t>
      </w:r>
    </w:p>
    <w:p>
      <w:pPr>
        <w:spacing w:before="200" w:after="80"/>
      </w:pPr>
      <w:r>
        <w:rPr>
          <w:rFonts w:ascii="Arial" w:cs="Arial" w:eastAsia="Arial" w:hAnsi="Arial"/>
          <w:b/>
          <w:bCs/>
          <w:color w:val="595959"/>
          <w:sz w:val="21"/>
          <w:szCs w:val="21"/>
        </w:rPr>
        <w:t xml:space="preserve">Insufficient transport encryption on the web service</w:t>
      </w:r>
    </w:p>
    <w:p>
      <w:pPr>
        <w:spacing w:before="80" w:after="100"/>
        <w:jc w:val="both"/>
      </w:pPr>
      <w:r>
        <w:rPr>
          <w:rFonts w:ascii="Arial" w:cs="Arial" w:eastAsia="Arial" w:hAnsi="Arial"/>
          <w:color w:val="222222"/>
          <w:sz w:val="20"/>
          <w:szCs w:val="20"/>
        </w:rPr>
        <w:t xml:space="preserve">The nginx server hosted in the DMZ accepted cipher suites without forward secrecy (non-ECDHE) in its original configuration, and did not offer TLS 1.3. A compromised private key would have allowed retroactive decryption of all recorded past sessions. TLS hardening (TD4) reduced the cipher catalogue to six ECDHE-only entries — verified by sslscan — and enabled TLS 1.3. The HSTS header is now emitted on all HTTPS responses, preventing any protocol downgrade on the client side.</w:t>
      </w:r>
    </w:p>
    <w:p>
      <w:pPr>
        <w:spacing w:before="0" w:after="80"/>
      </w:pPr>
      <w:r>
        <w:t xml:space="preserve"/>
      </w:r>
    </w:p>
    <w:p>
      <w:pPr>
        <w:pStyle w:val="Heading2"/>
        <w:spacing w:before="280" w:after="100"/>
      </w:pPr>
      <w:r>
        <w:rPr>
          <w:rFonts w:ascii="Arial" w:cs="Arial" w:eastAsia="Arial" w:hAnsi="Arial"/>
          <w:b/>
          <w:bCs/>
          <w:color w:val="1F4E79"/>
          <w:sz w:val="24"/>
          <w:szCs w:val="24"/>
        </w:rPr>
        <w:t xml:space="preserve">1.2 Deployed Controls</w:t>
      </w:r>
    </w:p>
    <w:p>
      <w:pPr>
        <w:spacing w:before="80" w:after="100"/>
        <w:jc w:val="both"/>
      </w:pPr>
      <w:r>
        <w:rPr>
          <w:rFonts w:ascii="Arial" w:cs="Arial" w:eastAsia="Arial" w:hAnsi="Arial"/>
          <w:color w:val="222222"/>
          <w:sz w:val="20"/>
          <w:szCs w:val="20"/>
        </w:rPr>
        <w:t xml:space="preserve">Five technical controls were implemented and validated through reproducible regression tests. Each control maps to a distinct lab session and is backed by concrete proof artefacts — network captures, log excerpts, and audit tool outputs.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26"/>
        <w:gridCol w:w="20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Control</w:t>
            </w:r>
          </w:p>
        </w:tc>
        <w:tc>
          <w:tcPr>
            <w:tcW w:type="dxa" w:w="4426"/>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Technical scope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Primary evidence</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Default-deny firewall</w:t>
            </w:r>
          </w:p>
        </w:tc>
        <w:tc>
          <w:tcPr>
            <w:tcW w:type="dxa" w:w="44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nftables on gw-fw: FORWARD and INPUT chains in drop policy, 5 explicitly allowed flows, denials logged with NFT_FWD_DENY and NFT_IN_DENY prefixes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deny_logs.txt — 6 negative test cases confirmed</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TD3</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UTM Intrusion Detection</w:t>
            </w:r>
          </w:p>
        </w:tc>
        <w:tc>
          <w:tcPr>
            <w:tcW w:type="dxa" w:w="44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Suricata 6.0.4 in af-packet mode on gw-fw eth0+eth1, ET Open ruleset (48,795 signatures), custom SID 9000001 for /admin</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alerts_excerpt.txt — SID 2024364 on Nmap scan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TLS hardening and application-layer filtering</w:t>
            </w:r>
          </w:p>
        </w:tc>
        <w:tc>
          <w:tcPr>
            <w:tcW w:type="dxa" w:w="44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nginx: TLS 1.2/1.3 only, 6 ECDHE-AEAD suites, HSTS, rate limiting on /api/, SQLi and scanner blocking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sslscan_after.txt — 0 non-ECDHE suites</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SSH hardening</w:t>
            </w:r>
          </w:p>
        </w:tc>
        <w:tc>
          <w:tcPr>
            <w:tcW w:type="dxa" w:w="44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sshd on siteB-srv: key-only authentication, PermitRootLogin no, AllowUsers awsuser, MaxAuthTries 3</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authlog_excerpt.txt — root login attempts rejected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Site-to-site IPsec VPN</w:t>
            </w:r>
          </w:p>
        </w:tc>
        <w:tc>
          <w:tcPr>
            <w:tcW w:type="dxa" w:w="44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strongSwan IKEv2 Azure↔AWS, AES-256/SHA-256/MODP-2048, automatic NAT-T (ESP-in-UDP/4500)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esp_capture.txt — bidirectional ESP, 0 cleartext ICMP</w:t>
            </w:r>
          </w:p>
        </w:tc>
      </w:tr>
    </w:tbl>
    <w:p>
      <w:pPr>
        <w:spacing w:before="0" w:after="80"/>
      </w:pPr>
      <w:r>
        <w:t xml:space="preserve"/>
      </w:r>
    </w:p>
    <w:p>
      <w:pPr>
        <w:pStyle w:val="Heading2"/>
        <w:spacing w:before="280" w:after="100"/>
      </w:pPr>
      <w:r>
        <w:rPr>
          <w:rFonts w:ascii="Arial" w:cs="Arial" w:eastAsia="Arial" w:hAnsi="Arial"/>
          <w:b/>
          <w:bCs/>
          <w:color w:val="1F4E79"/>
          <w:sz w:val="24"/>
          <w:szCs w:val="24"/>
        </w:rPr>
        <w:t xml:space="preserve">1.3 Residual Risks</w:t>
      </w:r>
    </w:p>
    <w:p>
      <w:pPr>
        <w:spacing w:before="80" w:after="100"/>
        <w:jc w:val="both"/>
      </w:pPr>
      <w:r>
        <w:rPr>
          <w:rFonts w:ascii="Arial" w:cs="Arial" w:eastAsia="Arial" w:hAnsi="Arial"/>
          <w:color w:val="222222"/>
          <w:sz w:val="20"/>
          <w:szCs w:val="20"/>
        </w:rPr>
        <w:t xml:space="preserve">Four risks were not resolved within the project scope and are addressed by a 90-day action plan. The self-signed TLS certificate on srv-web expires on 18 March 2026 and no automated renewal mechanism is in place. nginx session tickets are enabled by default, which may undermine forward secrecy in certain configurations. Rate limiting only covers the /api/ path; all other HTTP endpoints are unprotected. Finally, IPsec authentication relies on a pre-shared key: migration to X.509 certificate-based authentication is planned at the 90-day horizon.</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2. Architecture and Deployment Constraints</w:t>
      </w:r>
    </w:p>
    <w:p>
      <w:pPr>
        <w:spacing w:before="80" w:after="100"/>
        <w:jc w:val="both"/>
      </w:pPr>
      <w:r>
        <w:rPr>
          <w:rFonts w:ascii="Arial" w:cs="Arial" w:eastAsia="Arial" w:hAnsi="Arial"/>
          <w:color w:val="222222"/>
          <w:sz w:val="20"/>
          <w:szCs w:val="20"/>
        </w:rPr>
        <w:t xml:space="preserve">The project infrastructure consists of four virtual machines distributed across two independent cloud sites. Site A runs on Azure West Europe and includes three VMs: gw-fw, which acts as the routing gateway and concentrates the firewall, intrusion detection, and VPN termination functions; srv-web, hosted in the DMZ and exposing an nginx service; and the kali client workstation, used for audit and traffic generation. Site B is deployed on AWS eu-west-3 and comprises two VMs: siteB-gw, the secondary gateway with IPsec termination, and siteB-srv, the target server for SSH testing.</w:t>
      </w:r>
    </w:p>
    <w:p>
      <w:pPr>
        <w:spacing w:before="80" w:after="100"/>
        <w:jc w:val="both"/>
      </w:pPr>
      <w:r>
        <w:rPr>
          <w:rFonts w:ascii="Arial" w:cs="Arial" w:eastAsia="Arial" w:hAnsi="Arial"/>
          <w:color w:val="222222"/>
          <w:sz w:val="20"/>
          <w:szCs w:val="20"/>
        </w:rPr>
        <w:t xml:space="preserve">The topology enforces a three-zone trust model. The LAN zone (10.10.10.0/24) hosts administrative workstations; the DMZ zone (10.10.20.0/24) hosts published services; the WAN zone (10.10.99.0/24) provides inter-site connectivity. All traffic between LAN and DMZ must transit through gw-fw in order to be subject to nftables and Suricata controls.</w:t>
      </w:r>
    </w:p>
    <w:p>
      <w:pPr>
        <w:spacing w:before="0" w:after="80"/>
      </w:pPr>
      <w:r>
        <w:t xml:space="preserve"/>
      </w:r>
    </w:p>
    <w:p>
      <w:pPr>
        <w:pStyle w:val="Heading2"/>
        <w:spacing w:before="280" w:after="100"/>
      </w:pPr>
      <w:r>
        <w:rPr>
          <w:rFonts w:ascii="Arial" w:cs="Arial" w:eastAsia="Arial" w:hAnsi="Arial"/>
          <w:b/>
          <w:bCs/>
          <w:color w:val="1F4E79"/>
          <w:sz w:val="24"/>
          <w:szCs w:val="24"/>
        </w:rPr>
        <w:t xml:space="preserve">2.1 Cloud-Specific Constraints</w:t>
      </w:r>
    </w:p>
    <w:p>
      <w:pPr>
        <w:spacing w:before="80" w:after="100"/>
        <w:jc w:val="both"/>
      </w:pPr>
      <w:r>
        <w:rPr>
          <w:rFonts w:ascii="Arial" w:cs="Arial" w:eastAsia="Arial" w:hAnsi="Arial"/>
          <w:color w:val="222222"/>
          <w:sz w:val="20"/>
          <w:szCs w:val="20"/>
        </w:rPr>
        <w:t xml:space="preserve">Two major constraints required adaptations from the VirtualBox lab specification. First, Azure routes intra-VNet traffic at the hypervisor fabric level by default, bypassing gw-fw entirely. Installing User Defined Routes (UDR) on both the LAN and DMZ subnets was necessary to force traffic through the gateway. Correct operation is confirmed by the TTL=63 observed on ping replies from srv-web, which proves that one additional hop — gw-fw — is traversed (Linux initial TTL = 64, decremented by 1 per hop).</w:t>
      </w:r>
    </w:p>
    <w:p>
      <w:pPr>
        <w:spacing w:before="80" w:after="100"/>
        <w:jc w:val="both"/>
      </w:pPr>
      <w:r>
        <w:rPr>
          <w:rFonts w:ascii="Arial" w:cs="Arial" w:eastAsia="Arial" w:hAnsi="Arial"/>
          <w:color w:val="222222"/>
          <w:sz w:val="20"/>
          <w:szCs w:val="20"/>
        </w:rPr>
        <w:t xml:space="preserve">Second, Azure does not support promiscuous mode on virtual network interfaces: the hypervisor vSwitch filters at the MAC level and delivers to each VM only the frames addressed to it. This constraint makes it impossible to deploy a dedicated IDS sensor in the DMZ. The UTM architecture was adopted as a consequence: Suricata is deployed directly on gw-fw, which natively sees all LAN↔DMZ traffic because it routes every packet between the two interfaces.</w:t>
      </w:r>
    </w:p>
    <w:p>
      <w:pPr>
        <w:spacing w:before="80" w:after="100"/>
        <w:jc w:val="both"/>
      </w:pPr>
      <w:r>
        <w:rPr>
          <w:rFonts w:ascii="Arial" w:cs="Arial" w:eastAsia="Arial" w:hAnsi="Arial"/>
          <w:color w:val="222222"/>
          <w:sz w:val="20"/>
          <w:szCs w:val="20"/>
        </w:rPr>
        <w:t xml:space="preserve">Third, Azure SNAT on the WAN interface of gw-fw introduced asymmetric routing: inbound SYN packets arrived on eth1, but replies left via eth0 through the default route. The solution is a dedicated Linux routing table (table 101), activated by an ip rule matching source address 10.10.99.5, ensuring that all traffic originating from the WAN interface consistently exits through eth1.</w:t>
      </w:r>
    </w:p>
    <w:p>
      <w:pPr>
        <w:spacing w:before="80" w:after="100"/>
        <w:jc w:val="both"/>
      </w:pPr>
      <w:r>
        <w:rPr>
          <w:rFonts w:ascii="Arial" w:cs="Arial" w:eastAsia="Arial" w:hAnsi="Arial"/>
          <w:color w:val="222222"/>
          <w:sz w:val="20"/>
          <w:szCs w:val="20"/>
        </w:rPr>
        <w:t xml:space="preserve">On the AWS side, double NAT (Azure SNAT + AWS EIP) created an IKE identity mismatch: strongSwan, without explicit configuration, uses the private IP address as the local identity during IKEv2 negotiation. However, the remote peer receives IKE packets sourced from the public IP. The mismatch between the presented identity and the packet source triggers a NO_PROPOSAL_CHOSEN rejection. The resolution is to explicitly set leftid and rightid to the respective public IP addresses in the strongSwan configuration on both sites.</w:t>
      </w:r>
    </w:p>
    <w:p>
      <w:pPr>
        <w:spacing w:before="0" w:after="80"/>
      </w:pPr>
      <w:r>
        <w:t xml:space="preserve"/>
      </w:r>
    </w:p>
    <w:p>
      <w:pPr>
        <w:pStyle w:val="Heading2"/>
        <w:spacing w:before="280" w:after="100"/>
      </w:pPr>
      <w:r>
        <w:rPr>
          <w:rFonts w:ascii="Arial" w:cs="Arial" w:eastAsia="Arial" w:hAnsi="Arial"/>
          <w:b/>
          <w:bCs/>
          <w:color w:val="1F4E79"/>
          <w:sz w:val="24"/>
          <w:szCs w:val="24"/>
        </w:rPr>
        <w:t xml:space="preserve">2.2 Authorised Flow Matrix</w:t>
      </w:r>
    </w:p>
    <w:p>
      <w:pPr>
        <w:spacing w:before="80" w:after="100"/>
        <w:jc w:val="both"/>
      </w:pPr>
      <w:r>
        <w:rPr>
          <w:rFonts w:ascii="Arial" w:cs="Arial" w:eastAsia="Arial" w:hAnsi="Arial"/>
          <w:color w:val="222222"/>
          <w:sz w:val="20"/>
          <w:szCs w:val="20"/>
        </w:rPr>
        <w:t xml:space="preserve">The matrix below formalises all network flows permitted in the hardened configuration. Any flow not listed is rejected by the nftables default-deny policy and logged.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900"/>
        <w:gridCol w:w="800"/>
        <w:gridCol w:w="2626"/>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Destination</w:t>
            </w:r>
          </w:p>
        </w:tc>
        <w:tc>
          <w:tcPr>
            <w:tcW w:type="dxa" w:w="9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Proto</w:t>
            </w:r>
          </w:p>
        </w:tc>
        <w:tc>
          <w:tcPr>
            <w:tcW w:type="dxa" w:w="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Port</w:t>
            </w:r>
          </w:p>
        </w:tc>
        <w:tc>
          <w:tcPr>
            <w:tcW w:type="dxa" w:w="2626"/>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Justification</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TCP/UDP</w:t>
            </w:r>
          </w:p>
        </w:tc>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established</w:t>
            </w:r>
          </w:p>
        </w:tc>
        <w:tc>
          <w:tcPr>
            <w:tcW w:type="dxa" w:w="26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Return traffic — stateful connection tracking</w:t>
            </w:r>
          </w:p>
        </w:tc>
      </w:tr>
      <w:tr>
        <w:tc>
          <w:tcPr>
            <w:tcW w:type="dxa" w:w="7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F01</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LAN 10.10.10.0/24</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srv-web 10.10.20.10</w:t>
            </w:r>
          </w:p>
        </w:tc>
        <w:tc>
          <w:tcPr>
            <w:tcW w:type="dxa" w:w="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TCP</w:t>
            </w:r>
          </w:p>
        </w:tc>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80</w:t>
            </w:r>
          </w:p>
        </w:tc>
        <w:tc>
          <w:tcPr>
            <w:tcW w:type="dxa" w:w="26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HTTP to the web service</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LAN 10.10.10.0/24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srv-web 10.10.20.10</w:t>
            </w:r>
          </w:p>
        </w:tc>
        <w:tc>
          <w:tcPr>
            <w:tcW w:type="dxa" w:w="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TCP</w:t>
            </w:r>
          </w:p>
        </w:tc>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22</w:t>
            </w:r>
          </w:p>
        </w:tc>
        <w:tc>
          <w:tcPr>
            <w:tcW w:type="dxa" w:w="26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Administrative SSH (from LAN only)</w:t>
            </w:r>
          </w:p>
        </w:tc>
      </w:tr>
      <w:tr>
        <w:tc>
          <w:tcPr>
            <w:tcW w:type="dxa" w:w="7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F03</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LAN 10.10.10.0/24</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NH-DMZ</w:t>
            </w:r>
          </w:p>
        </w:tc>
        <w:tc>
          <w:tcPr>
            <w:tcW w:type="dxa" w:w="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ICMP</w:t>
            </w:r>
          </w:p>
        </w:tc>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echo ≤5/s</w:t>
            </w:r>
          </w:p>
        </w:tc>
        <w:tc>
          <w:tcPr>
            <w:tcW w:type="dxa" w:w="26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Diagnostic ping, rate-limited</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LAN 10.10.10.0/24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srv-web 10.10.20.10</w:t>
            </w:r>
          </w:p>
        </w:tc>
        <w:tc>
          <w:tcPr>
            <w:tcW w:type="dxa" w:w="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TCP</w:t>
            </w:r>
          </w:p>
        </w:tc>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443</w:t>
            </w:r>
          </w:p>
        </w:tc>
        <w:tc>
          <w:tcPr>
            <w:tcW w:type="dxa" w:w="26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HTTPS — TLS hardened (TD4)</w:t>
            </w:r>
          </w:p>
        </w:tc>
      </w:tr>
      <w:tr>
        <w:tc>
          <w:tcPr>
            <w:tcW w:type="dxa" w:w="7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M01</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LAN 10.10.10.0/24</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gw-fw 10.10.10.4</w:t>
            </w:r>
          </w:p>
        </w:tc>
        <w:tc>
          <w:tcPr>
            <w:tcW w:type="dxa" w:w="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TCP</w:t>
            </w:r>
          </w:p>
        </w:tc>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22</w:t>
            </w:r>
          </w:p>
        </w:tc>
        <w:tc>
          <w:tcPr>
            <w:tcW w:type="dxa" w:w="26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SSH administration of the gateway from LAN</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M02/M03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89.30.39.100 / 92.184.117.191</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gw-fw</w:t>
            </w:r>
          </w:p>
        </w:tc>
        <w:tc>
          <w:tcPr>
            <w:tcW w:type="dxa" w:w="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TCP</w:t>
            </w:r>
          </w:p>
        </w:tc>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22</w:t>
            </w:r>
          </w:p>
        </w:tc>
        <w:tc>
          <w:tcPr>
            <w:tcW w:type="dxa" w:w="26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Remote administration (whitelisted admin IPs)</w:t>
            </w:r>
          </w:p>
        </w:tc>
      </w:tr>
      <w:tr>
        <w:tc>
          <w:tcPr>
            <w:tcW w:type="dxa" w:w="7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V01/V02</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98.66.160.46 ↔ 35.181.66.138</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Pair IPsec</w:t>
            </w:r>
          </w:p>
        </w:tc>
        <w:tc>
          <w:tcPr>
            <w:tcW w:type="dxa" w:w="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UDP</w:t>
            </w:r>
          </w:p>
        </w:tc>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500 / 4500</w:t>
            </w:r>
          </w:p>
        </w:tc>
        <w:tc>
          <w:tcPr>
            <w:tcW w:type="dxa" w:w="26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IKE negotiation and NAT-T for the IPsec tunnel</w:t>
            </w:r>
          </w:p>
        </w:tc>
      </w:tr>
      <w:tr>
        <w:tc>
          <w:tcPr>
            <w:tcW w:type="dxa" w:w="7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V03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10.10.10.0/24</w:t>
            </w:r>
          </w:p>
        </w:tc>
        <w:tc>
          <w:tcPr>
            <w:tcW w:type="dxa" w:w="20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10.10.20.0/24</w:t>
            </w:r>
          </w:p>
        </w:tc>
        <w:tc>
          <w:tcPr>
            <w:tcW w:type="dxa" w:w="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ESP</w:t>
            </w:r>
          </w:p>
        </w:tc>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tunnel</w:t>
            </w:r>
          </w:p>
        </w:tc>
        <w:tc>
          <w:tcPr>
            <w:tcW w:type="dxa" w:w="26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Encrypted inter-site traffic through the IPsec tunnel</w:t>
            </w:r>
          </w:p>
        </w:tc>
      </w:tr>
      <w:tr>
        <w:tc>
          <w:tcPr>
            <w:tcW w:type="dxa" w:w="7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F08</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20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Tout</w:t>
            </w:r>
          </w:p>
        </w:tc>
        <w:tc>
          <w:tcPr>
            <w:tcW w:type="dxa" w:w="26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Default reject — logged (NFT_FWD_DENY / NFT_IN_DENY)</w:t>
            </w:r>
          </w:p>
        </w:tc>
      </w:tr>
    </w:tbl>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3. nftables Firewall (TD2)</w:t>
      </w:r>
    </w:p>
    <w:p>
      <w:pPr>
        <w:spacing w:before="80" w:after="100"/>
        <w:jc w:val="both"/>
      </w:pPr>
      <w:r>
        <w:rPr>
          <w:rFonts w:ascii="Arial" w:cs="Arial" w:eastAsia="Arial" w:hAnsi="Arial"/>
          <w:color w:val="222222"/>
          <w:sz w:val="20"/>
          <w:szCs w:val="20"/>
        </w:rPr>
        <w:t xml:space="preserve">The firewall is implemented using nftables on gw-fw, with a default-deny policy on both the FORWARD and INPUT chains. This design guarantees that no unanticipated flow can traverse or reach the gateway, even in the event of a later misconfiguration or unplanned service addition.</w:t>
      </w:r>
    </w:p>
    <w:p>
      <w:pPr>
        <w:pStyle w:val="Heading2"/>
        <w:spacing w:before="280" w:after="100"/>
      </w:pPr>
      <w:r>
        <w:rPr>
          <w:rFonts w:ascii="Arial" w:cs="Arial" w:eastAsia="Arial" w:hAnsi="Arial"/>
          <w:b/>
          <w:bCs/>
          <w:color w:val="1F4E79"/>
          <w:sz w:val="24"/>
          <w:szCs w:val="24"/>
        </w:rPr>
        <w:t xml:space="preserve">3.1 Policy Design</w:t>
      </w:r>
    </w:p>
    <w:p>
      <w:pPr>
        <w:spacing w:before="80" w:after="100"/>
        <w:jc w:val="both"/>
      </w:pPr>
      <w:r>
        <w:rPr>
          <w:rFonts w:ascii="Arial" w:cs="Arial" w:eastAsia="Arial" w:hAnsi="Arial"/>
          <w:color w:val="222222"/>
          <w:sz w:val="20"/>
          <w:szCs w:val="20"/>
        </w:rPr>
        <w:t xml:space="preserve">The FORWARD chain controls all packets transiting between the LAN and DMZ zones. Connection tracking (established, related) is placed at the head of the chain to avoid penalising already-established sessions. Four application flows are then explicitly permitted: HTTP (TCP/80), SSH to srv-web (TCP/22), diagnostic ICMP rate-limited to 5 packets per second, and HTTPS (TCP/443). The HTTPS rule was inserted before the deny log counter using nft insert rule, to prevent valid HTTPS traffic from incrementing the NFT_FWD_DENY counter.</w:t>
      </w:r>
    </w:p>
    <w:p>
      <w:pPr>
        <w:spacing w:before="80" w:after="100"/>
        <w:jc w:val="both"/>
      </w:pPr>
      <w:r>
        <w:rPr>
          <w:rFonts w:ascii="Arial" w:cs="Arial" w:eastAsia="Arial" w:hAnsi="Arial"/>
          <w:color w:val="222222"/>
          <w:sz w:val="20"/>
          <w:szCs w:val="20"/>
        </w:rPr>
        <w:t xml:space="preserve">The INPUT chain protects gw-fw itself. Loopback is permitted first. SSH access is restricted to three sources: the LAN subnet (10.10.10.0/24), a primary administration address (89.30.39.100), and a secondary address (92.184.117.191). UDP/500, UDP/4500 and the ESP protocol are permitted for IPsec termination, added during TD5.</w:t>
      </w:r>
    </w:p>
    <w:p>
      <w:pPr>
        <w:pStyle w:val="Heading2"/>
        <w:spacing w:before="280" w:after="100"/>
      </w:pPr>
      <w:r>
        <w:rPr>
          <w:rFonts w:ascii="Arial" w:cs="Arial" w:eastAsia="Arial" w:hAnsi="Arial"/>
          <w:b/>
          <w:bCs/>
          <w:color w:val="1F4E79"/>
          <w:sz w:val="24"/>
          <w:szCs w:val="24"/>
        </w:rPr>
        <w:t xml:space="preserve">3.2 Validation Results</w:t>
      </w:r>
    </w:p>
    <w:p>
      <w:pPr>
        <w:spacing w:before="80" w:after="100"/>
        <w:jc w:val="both"/>
      </w:pPr>
      <w:r>
        <w:rPr>
          <w:rFonts w:ascii="Arial" w:cs="Arial" w:eastAsia="Arial" w:hAnsi="Arial"/>
          <w:color w:val="222222"/>
          <w:sz w:val="20"/>
          <w:szCs w:val="20"/>
        </w:rPr>
        <w:t xml:space="preserve">Twelve tests were executed — six positive (flows that should be allowed) and six negative (flows that should be blocked). The negative tests cover: a random high port (TCP/12345), MySQL (TCP/3306), Telnet (TCP/23), DNS/UDP (UDP/53), a flow initiated from the DMZ toward the LAN (reverse direction blocked), and an SSH access attempt from srv-web toward gw-fw (hits the INPUT chain, not FORWARD). Kernel logs confirm NFT_FWD_DENY and NFT_IN_DENY entries for each case. SSH access attempts from the internet (193.163.125.63, 143.244.190.213, 154.144.243.138) are also visible in the logs, all blocked by the INPUT default-deny policy.</w:t>
      </w:r>
    </w:p>
    <w:p>
      <w:pPr>
        <w:pStyle w:val="Heading2"/>
        <w:spacing w:before="280" w:after="100"/>
      </w:pPr>
      <w:r>
        <w:rPr>
          <w:rFonts w:ascii="Arial" w:cs="Arial" w:eastAsia="Arial" w:hAnsi="Arial"/>
          <w:b/>
          <w:bCs/>
          <w:color w:val="1F4E79"/>
          <w:sz w:val="24"/>
          <w:szCs w:val="24"/>
        </w:rPr>
        <w:t xml:space="preserve">3.3 Azure Prerequisites</w:t>
      </w:r>
    </w:p>
    <w:p>
      <w:pPr>
        <w:spacing w:before="80" w:after="100"/>
        <w:jc w:val="both"/>
      </w:pPr>
      <w:r>
        <w:rPr>
          <w:rFonts w:ascii="Arial" w:cs="Arial" w:eastAsia="Arial" w:hAnsi="Arial"/>
          <w:color w:val="222222"/>
          <w:sz w:val="20"/>
          <w:szCs w:val="20"/>
        </w:rPr>
        <w:t xml:space="preserve">Two Azure-level actions were required to complement the nftables configuration. User Defined Routes (rt-nh-lan and rt-nh-dmz) were created to force LAN↔DMZ traffic through gw-fw. IP Forwarding was enabled at the Azure NIC level (enableIPForwarding: true) in addition to the OS-level sysctl parameter — the two are independent and must both be configured.</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4. Intrusion Detection — Suricata UTM (TD3)</w:t>
      </w:r>
    </w:p>
    <w:p>
      <w:pPr>
        <w:spacing w:before="80" w:after="100"/>
        <w:jc w:val="both"/>
      </w:pPr>
      <w:r>
        <w:rPr>
          <w:rFonts w:ascii="Arial" w:cs="Arial" w:eastAsia="Arial" w:hAnsi="Arial"/>
          <w:color w:val="222222"/>
          <w:sz w:val="20"/>
          <w:szCs w:val="20"/>
        </w:rPr>
        <w:t xml:space="preserve">Suricata 6.0.4 is deployed on gw-fw in UTM (Unified Threat Management) mode. It captures traffic on both interfaces eth0 (LAN) and eth1 (DMZ) in af-packet mode with cluster_flow and defragmentation enabled. This mode allows Suricata to reconstruct complete application flows traversing the gateway, without requiring a promiscuous interface.</w:t>
      </w:r>
    </w:p>
    <w:p>
      <w:pPr>
        <w:pStyle w:val="Heading2"/>
        <w:spacing w:before="280" w:after="100"/>
      </w:pPr>
      <w:r>
        <w:rPr>
          <w:rFonts w:ascii="Arial" w:cs="Arial" w:eastAsia="Arial" w:hAnsi="Arial"/>
          <w:b/>
          <w:bCs/>
          <w:color w:val="1F4E79"/>
          <w:sz w:val="24"/>
          <w:szCs w:val="24"/>
        </w:rPr>
        <w:t xml:space="preserve">4.1 Architectural Rationale</w:t>
      </w:r>
    </w:p>
    <w:p>
      <w:pPr>
        <w:spacing w:before="80" w:after="100"/>
        <w:jc w:val="both"/>
      </w:pPr>
      <w:r>
        <w:rPr>
          <w:rFonts w:ascii="Arial" w:cs="Arial" w:eastAsia="Arial" w:hAnsi="Arial"/>
          <w:color w:val="222222"/>
          <w:sz w:val="20"/>
          <w:szCs w:val="20"/>
        </w:rPr>
        <w:t xml:space="preserve">The decision not to deploy a dedicated IDS sensor in the DMZ is constrained by the Azure infrastructure. The Azure vSwitch operates at the hypervisor fabric level and delivers to each VM only the unicast frames addressed to its interface — enabling promiscuous mode at the OS level has no effect. The proof is given by TTL=63 observed on reply packets from srv-web, confirming that gw-fw is on the data path (TTL decremented from 64 to 63 in one hop).</w:t>
      </w:r>
    </w:p>
    <w:p>
      <w:pPr>
        <w:pStyle w:val="Heading2"/>
        <w:spacing w:before="280" w:after="100"/>
      </w:pPr>
      <w:r>
        <w:rPr>
          <w:rFonts w:ascii="Arial" w:cs="Arial" w:eastAsia="Arial" w:hAnsi="Arial"/>
          <w:b/>
          <w:bCs/>
          <w:color w:val="1F4E79"/>
          <w:sz w:val="24"/>
          <w:szCs w:val="24"/>
        </w:rPr>
        <w:t xml:space="preserve">4.2 Rules and Tuning</w:t>
      </w:r>
    </w:p>
    <w:p>
      <w:pPr>
        <w:spacing w:before="80" w:after="100"/>
        <w:jc w:val="both"/>
      </w:pPr>
      <w:r>
        <w:rPr>
          <w:rFonts w:ascii="Arial" w:cs="Arial" w:eastAsia="Arial" w:hAnsi="Arial"/>
          <w:color w:val="222222"/>
          <w:sz w:val="20"/>
          <w:szCs w:val="20"/>
        </w:rPr>
        <w:t xml:space="preserve">The ET Open ruleset was loaded via suricata-update, representing 48,795 signatures at the date of TD3. The configuration required several corrections: the default-rule-path directive pointed to an incorrect path; the threshold.conf file was commented out; local.rules was not placed in the expected directory. All three issues were resolved and documented in the incident log (failure_modes.md).</w:t>
      </w:r>
    </w:p>
    <w:p>
      <w:pPr>
        <w:spacing w:before="80" w:after="100"/>
        <w:jc w:val="both"/>
      </w:pPr>
      <w:r>
        <w:rPr>
          <w:rFonts w:ascii="Arial" w:cs="Arial" w:eastAsia="Arial" w:hAnsi="Arial"/>
          <w:color w:val="222222"/>
          <w:sz w:val="20"/>
          <w:szCs w:val="20"/>
        </w:rPr>
        <w:t xml:space="preserve">A custom rule was created to detect GET requests to the /admin path:</w:t>
      </w:r>
    </w:p>
    <w:p>
      <w:pPr>
        <w:shd w:fill="F0F4F8" w:val="clear"/>
        <w:spacing w:before="40" w:after="40"/>
        <w:ind w:left="720"/>
      </w:pPr>
      <w:r>
        <w:rPr>
          <w:rFonts w:ascii="Courier New" w:cs="Courier New" w:eastAsia="Courier New" w:hAnsi="Courier New"/>
          <w:color w:val="1F4E79"/>
          <w:sz w:val="18"/>
          <w:szCs w:val="18"/>
        </w:rPr>
        <w:t xml:space="preserve">alert http any any -&gt; $HTTP_SERVERS any (msg:"LOCAL Unauthorized access attempt to /admin"; http.uri; content:"/admin"; sid:9000001; rev:1;)</w:t>
      </w:r>
    </w:p>
    <w:p>
      <w:pPr>
        <w:spacing w:before="80" w:after="100"/>
        <w:jc w:val="both"/>
      </w:pPr>
      <w:r>
        <w:rPr>
          <w:rFonts w:ascii="Arial" w:cs="Arial" w:eastAsia="Arial" w:hAnsi="Arial"/>
          <w:color w:val="222222"/>
          <w:sz w:val="20"/>
          <w:szCs w:val="20"/>
        </w:rPr>
        <w:t xml:space="preserve">This rule was validated by a positive test (curl http://10.10.20.10/admin → SID 9000001 alert in fast.log) and a negative test (curl http://10.10.20.10/ → no alert). The Nmap NSE scan test triggers SID 2024364 (ET SCAN Possible Nmap User-Agent Observed) 28 times within the capture window.</w:t>
      </w:r>
    </w:p>
    <w:p>
      <w:pPr>
        <w:pStyle w:val="Heading2"/>
        <w:spacing w:before="280" w:after="100"/>
      </w:pPr>
      <w:r>
        <w:rPr>
          <w:rFonts w:ascii="Arial" w:cs="Arial" w:eastAsia="Arial" w:hAnsi="Arial"/>
          <w:b/>
          <w:bCs/>
          <w:color w:val="1F4E79"/>
          <w:sz w:val="24"/>
          <w:szCs w:val="24"/>
        </w:rPr>
        <w:t xml:space="preserve">4.3 Alerts Observed Under Real Conditions</w:t>
      </w:r>
    </w:p>
    <w:p>
      <w:pPr>
        <w:spacing w:before="80" w:after="100"/>
        <w:jc w:val="both"/>
      </w:pPr>
      <w:r>
        <w:rPr>
          <w:rFonts w:ascii="Arial" w:cs="Arial" w:eastAsia="Arial" w:hAnsi="Arial"/>
          <w:color w:val="222222"/>
          <w:sz w:val="20"/>
          <w:szCs w:val="20"/>
        </w:rPr>
        <w:t xml:space="preserve">Beyond controlled tests, Suricata logs recorded alerts from unsolicited traffic throughout the project: SID 2400009 (Spamhaus DROP Listed Traffic, group 10) on 80.94.92.186 attempting to reach gw-fw SSH port, and SID 2402000 (DShield Block Listed Source) on 147.185.132.21. These alerts confirm that the sensor genuinely sees incoming WAN traffic and that the ET Open ruleset produces relevant results on a live, exposed environment.</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5. TLS Hardening and Application-Layer Controls (TD4)</w:t>
      </w:r>
    </w:p>
    <w:p>
      <w:pPr>
        <w:spacing w:before="80" w:after="100"/>
        <w:jc w:val="both"/>
      </w:pPr>
      <w:r>
        <w:rPr>
          <w:rFonts w:ascii="Arial" w:cs="Arial" w:eastAsia="Arial" w:hAnsi="Arial"/>
          <w:color w:val="222222"/>
          <w:sz w:val="20"/>
          <w:szCs w:val="20"/>
        </w:rPr>
        <w:t xml:space="preserve">TD4 focuses on the nginx server on srv-web. An audit of the initial configuration using sslscan 2.1.5 revealed two major weaknesses: TLS 1.3 was disabled, limiting negotiation to TLS 1.2 only, and 16 of the 27 accepted cipher suites lacked the ECDHE prefix, meaning they do not provide forward secrecy. A compromised server private key would allow retroactive decryption of all recorded past sessions.</w:t>
      </w:r>
    </w:p>
    <w:p>
      <w:pPr>
        <w:pStyle w:val="Heading2"/>
        <w:spacing w:before="280" w:after="100"/>
      </w:pPr>
      <w:r>
        <w:rPr>
          <w:rFonts w:ascii="Arial" w:cs="Arial" w:eastAsia="Arial" w:hAnsi="Arial"/>
          <w:b/>
          <w:bCs/>
          <w:color w:val="1F4E79"/>
          <w:sz w:val="24"/>
          <w:szCs w:val="24"/>
        </w:rPr>
        <w:t xml:space="preserve">5.1 Target TLS Profile</w:t>
      </w:r>
    </w:p>
    <w:p>
      <w:pPr>
        <w:spacing w:before="80" w:after="100"/>
        <w:jc w:val="both"/>
      </w:pPr>
      <w:r>
        <w:rPr>
          <w:rFonts w:ascii="Arial" w:cs="Arial" w:eastAsia="Arial" w:hAnsi="Arial"/>
          <w:color w:val="222222"/>
          <w:sz w:val="20"/>
          <w:szCs w:val="20"/>
        </w:rPr>
        <w:t xml:space="preserve">The target profile is derived from NIST SP 800-52 Rev.2 §3.3 and RFC 8446. TLS 1.0 and 1.1 are explicitly disabled per §3.3.1. TLS 1.3 is enabled as the preferred version. The TLS 1.2 cipher catalogue is restricted to six ECDHE+AEAD entries:</w:t>
      </w:r>
    </w:p>
    <w:p>
      <w:pPr>
        <w:shd w:fill="F0F4F8" w:val="clear"/>
        <w:spacing w:before="40" w:after="40"/>
        <w:ind w:left="720"/>
      </w:pPr>
      <w:r>
        <w:rPr>
          <w:rFonts w:ascii="Courier New" w:cs="Courier New" w:eastAsia="Courier New" w:hAnsi="Courier New"/>
          <w:color w:val="1F4E79"/>
          <w:sz w:val="18"/>
          <w:szCs w:val="18"/>
        </w:rPr>
        <w:t xml:space="preserve">ECDHE-RSA-AES256-GCM-SHA384, ECDHE-RSA-CHACHA20-POLY1305, ECDHE-RSA-AES128-GCM-SHA256</w:t>
      </w:r>
    </w:p>
    <w:p>
      <w:pPr>
        <w:shd w:fill="F0F4F8" w:val="clear"/>
        <w:spacing w:before="40" w:after="40"/>
        <w:ind w:left="720"/>
      </w:pPr>
      <w:r>
        <w:rPr>
          <w:rFonts w:ascii="Courier New" w:cs="Courier New" w:eastAsia="Courier New" w:hAnsi="Courier New"/>
          <w:color w:val="1F4E79"/>
          <w:sz w:val="18"/>
          <w:szCs w:val="18"/>
        </w:rPr>
        <w:t xml:space="preserve">ECDHE-ECDSA-AES256-GCM-SHA384, ECDHE-ECDSA-CHACHA20-POLY1305, ECDHE-ECDSA-AES128-GCM-SHA256</w:t>
      </w:r>
    </w:p>
    <w:p>
      <w:pPr>
        <w:spacing w:before="80" w:after="100"/>
        <w:jc w:val="both"/>
      </w:pPr>
      <w:r>
        <w:rPr>
          <w:rFonts w:ascii="Arial" w:cs="Arial" w:eastAsia="Arial" w:hAnsi="Arial"/>
          <w:color w:val="222222"/>
          <w:sz w:val="20"/>
          <w:szCs w:val="20"/>
        </w:rPr>
        <w:t xml:space="preserve">The three TLS 1.3 suites (TLS_AES_256_GCM_SHA384, TLS_CHACHA20_POLY1305_SHA256, TLS_AES_128_GCM_SHA256) are inherited from the RFC 8446 specification without explicit configuration.</w:t>
      </w:r>
    </w:p>
    <w:p>
      <w:pPr>
        <w:pStyle w:val="Heading2"/>
        <w:spacing w:before="280" w:after="100"/>
      </w:pPr>
      <w:r>
        <w:rPr>
          <w:rFonts w:ascii="Arial" w:cs="Arial" w:eastAsia="Arial" w:hAnsi="Arial"/>
          <w:b/>
          <w:bCs/>
          <w:color w:val="1F4E79"/>
          <w:sz w:val="24"/>
          <w:szCs w:val="24"/>
        </w:rPr>
        <w:t xml:space="preserve">5.2 Before / After Comparison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Criterion</w:t>
            </w:r>
          </w:p>
        </w:tc>
        <w:tc>
          <w:tcPr>
            <w:tcW w:type="dxa" w:w="3113"/>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Initial configuration</w:t>
            </w:r>
          </w:p>
        </w:tc>
        <w:tc>
          <w:tcPr>
            <w:tcW w:type="dxa" w:w="3113"/>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Hardened configuration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Accepted TLS versions</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TLS 1.2 only (TLS 1.3 disabled)</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TLS 1.2 + TLS 1.3</w:t>
            </w:r>
          </w:p>
        </w:tc>
      </w:tr>
      <w:tr>
        <w:tc>
          <w:tcPr>
            <w:tcW w:type="dxa" w:w="2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Number of cipher suites</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27 suites</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6 suites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Suites without forward secrecy</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16 non-ECDHE suites accepted</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0 — all suites ECDHE</w:t>
            </w:r>
          </w:p>
        </w:tc>
      </w:tr>
      <w:tr>
        <w:tc>
          <w:tcPr>
            <w:tcW w:type="dxa" w:w="2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CBC-mode suites</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Present</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Absent</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HSTS header</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Absent</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max-age=300 (always)</w:t>
            </w:r>
          </w:p>
        </w:tc>
      </w:tr>
      <w:tr>
        <w:tc>
          <w:tcPr>
            <w:tcW w:type="dxa" w:w="2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Rate limiting on /api/</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Absent</w:t>
            </w:r>
          </w:p>
        </w:tc>
        <w:tc>
          <w:tcPr>
            <w:tcW w:type="dxa" w:w="3113"/>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1 req/s, burst=2, nodelay</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Certificate</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RSA 2048 / SHA-256, self-signed</w:t>
            </w:r>
          </w:p>
        </w:tc>
        <w:tc>
          <w:tcPr>
            <w:tcW w:type="dxa" w:w="3113"/>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Unchanged (out of TD4 scope)</w:t>
            </w:r>
          </w:p>
        </w:tc>
      </w:tr>
    </w:tbl>
    <w:p>
      <w:pPr>
        <w:spacing w:before="0" w:after="80"/>
      </w:pPr>
      <w:r>
        <w:t xml:space="preserve"/>
      </w:r>
    </w:p>
    <w:p>
      <w:pPr>
        <w:pStyle w:val="Heading2"/>
        <w:spacing w:before="280" w:after="100"/>
      </w:pPr>
      <w:r>
        <w:rPr>
          <w:rFonts w:ascii="Arial" w:cs="Arial" w:eastAsia="Arial" w:hAnsi="Arial"/>
          <w:b/>
          <w:bCs/>
          <w:color w:val="1F4E79"/>
          <w:sz w:val="24"/>
          <w:szCs w:val="24"/>
        </w:rPr>
        <w:t xml:space="preserve">5.3 Application-Layer Controls at the HTTP Gateway</w:t>
      </w:r>
    </w:p>
    <w:p>
      <w:pPr>
        <w:spacing w:before="80" w:after="100"/>
        <w:jc w:val="both"/>
      </w:pPr>
      <w:r>
        <w:rPr>
          <w:rFonts w:ascii="Arial" w:cs="Arial" w:eastAsia="Arial" w:hAnsi="Arial"/>
          <w:color w:val="222222"/>
          <w:sz w:val="20"/>
          <w:szCs w:val="20"/>
        </w:rPr>
        <w:t xml:space="preserve">Three filters were added in the nginx server block to reduce the application attack surface. A URI filter blocks requests containing common SQL patterns (select, union, insert, drop, single quote, double dash, semicolon). A User-Agent filter rejects requests from known attack tools identified by their agent string (sqlmap, nikto, nmap, masscan, havij). An HTTP method filter restricts accepted methods to GET, POST and HEAD, returning HTTP 405 for any other method.</w:t>
      </w:r>
    </w:p>
    <w:p>
      <w:pPr>
        <w:spacing w:before="80" w:after="100"/>
        <w:jc w:val="both"/>
      </w:pPr>
      <w:r>
        <w:rPr>
          <w:rFonts w:ascii="Arial" w:cs="Arial" w:eastAsia="Arial" w:hAnsi="Arial"/>
          <w:color w:val="222222"/>
          <w:sz w:val="20"/>
          <w:szCs w:val="20"/>
        </w:rPr>
        <w:t xml:space="preserve">Validation by four instrumented curl requests confirms: SQLi → HTTP 403, scanner UA → HTTP 403, DELETE method → HTTP 405, normal GET → HTTP 200. The corresponding nginx logs are stored in evidence/after/nginx_access_log_filter.txt.</w:t>
      </w:r>
    </w:p>
    <w:p>
      <w:pPr>
        <w:spacing w:before="80" w:after="100"/>
        <w:jc w:val="both"/>
      </w:pPr>
      <w:r>
        <w:rPr>
          <w:rFonts w:ascii="Arial" w:cs="Arial" w:eastAsia="Arial" w:hAnsi="Arial"/>
          <w:color w:val="222222"/>
          <w:sz w:val="20"/>
          <w:szCs w:val="20"/>
        </w:rPr>
        <w:t xml:space="preserve">A technical point on rate limiting is worth documenting: an initial implementation used the return 200 directive inside the location block. However, the return directive executes in the rewrite phase (phase 3 of nginx processing) while limit_req operates in the preaccess phase (phase 7). The immediate return short-circuits the rate check. The fix is to serve a real static file via the root directive, which allows limit_req to intercept the request before the content phase.</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6. Remote Access — SSH and IPsec VPN (TD5)</w:t>
      </w:r>
    </w:p>
    <w:p>
      <w:pPr>
        <w:pStyle w:val="Heading2"/>
        <w:spacing w:before="280" w:after="100"/>
      </w:pPr>
      <w:r>
        <w:rPr>
          <w:rFonts w:ascii="Arial" w:cs="Arial" w:eastAsia="Arial" w:hAnsi="Arial"/>
          <w:b/>
          <w:bCs/>
          <w:color w:val="1F4E79"/>
          <w:sz w:val="24"/>
          <w:szCs w:val="24"/>
        </w:rPr>
        <w:t xml:space="preserve">6.1 SSH Hardening on siteB-srv</w:t>
      </w:r>
    </w:p>
    <w:p>
      <w:pPr>
        <w:spacing w:before="80" w:after="100"/>
        <w:jc w:val="both"/>
      </w:pPr>
      <w:r>
        <w:rPr>
          <w:rFonts w:ascii="Arial" w:cs="Arial" w:eastAsia="Arial" w:hAnsi="Arial"/>
          <w:color w:val="222222"/>
          <w:sz w:val="20"/>
          <w:szCs w:val="20"/>
        </w:rPr>
        <w:t xml:space="preserve">The Ubuntu 22.04 image deployed by AWS (cloud-init AMI) already disables password authentication in /etc/ssh/sshd_config.d/60-cloudimg-settings.conf. TD5 hardening adds a drop-in file 99-td5-hardening.conf to avoid modifying vendor-managed files, with the following directives:</w:t>
      </w:r>
    </w:p>
    <w:p>
      <w:pPr>
        <w:shd w:fill="F0F4F8" w:val="clear"/>
        <w:spacing w:before="40" w:after="40"/>
        <w:ind w:left="720"/>
      </w:pPr>
      <w:r>
        <w:rPr>
          <w:rFonts w:ascii="Courier New" w:cs="Courier New" w:eastAsia="Courier New" w:hAnsi="Courier New"/>
          <w:color w:val="1F4E79"/>
          <w:sz w:val="18"/>
          <w:szCs w:val="18"/>
        </w:rPr>
        <w:t xml:space="preserve">PermitRootLogin no</w:t>
      </w:r>
    </w:p>
    <w:p>
      <w:pPr>
        <w:shd w:fill="F0F4F8" w:val="clear"/>
        <w:spacing w:before="40" w:after="40"/>
        <w:ind w:left="720"/>
      </w:pPr>
      <w:r>
        <w:rPr>
          <w:rFonts w:ascii="Courier New" w:cs="Courier New" w:eastAsia="Courier New" w:hAnsi="Courier New"/>
          <w:color w:val="1F4E79"/>
          <w:sz w:val="18"/>
          <w:szCs w:val="18"/>
        </w:rPr>
        <w:t xml:space="preserve">AllowUsers awsuser</w:t>
      </w:r>
    </w:p>
    <w:p>
      <w:pPr>
        <w:shd w:fill="F0F4F8" w:val="clear"/>
        <w:spacing w:before="40" w:after="40"/>
        <w:ind w:left="720"/>
      </w:pPr>
      <w:r>
        <w:rPr>
          <w:rFonts w:ascii="Courier New" w:cs="Courier New" w:eastAsia="Courier New" w:hAnsi="Courier New"/>
          <w:color w:val="1F4E79"/>
          <w:sz w:val="18"/>
          <w:szCs w:val="18"/>
        </w:rPr>
        <w:t xml:space="preserve">PubkeyAuthentication yes</w:t>
      </w:r>
    </w:p>
    <w:p>
      <w:pPr>
        <w:shd w:fill="F0F4F8" w:val="clear"/>
        <w:spacing w:before="40" w:after="40"/>
        <w:ind w:left="720"/>
      </w:pPr>
      <w:r>
        <w:rPr>
          <w:rFonts w:ascii="Courier New" w:cs="Courier New" w:eastAsia="Courier New" w:hAnsi="Courier New"/>
          <w:color w:val="1F4E79"/>
          <w:sz w:val="18"/>
          <w:szCs w:val="18"/>
        </w:rPr>
        <w:t xml:space="preserve">MaxAuthTries 3</w:t>
      </w:r>
    </w:p>
    <w:p>
      <w:pPr>
        <w:shd w:fill="F0F4F8" w:val="clear"/>
        <w:spacing w:before="40" w:after="40"/>
        <w:ind w:left="720"/>
      </w:pPr>
      <w:r>
        <w:rPr>
          <w:rFonts w:ascii="Courier New" w:cs="Courier New" w:eastAsia="Courier New" w:hAnsi="Courier New"/>
          <w:color w:val="1F4E79"/>
          <w:sz w:val="18"/>
          <w:szCs w:val="18"/>
        </w:rPr>
        <w:t xml:space="preserve">LoginGraceTime 30</w:t>
      </w:r>
    </w:p>
    <w:p>
      <w:pPr>
        <w:spacing w:before="80" w:after="100"/>
        <w:jc w:val="both"/>
      </w:pPr>
      <w:r>
        <w:rPr>
          <w:rFonts w:ascii="Arial" w:cs="Arial" w:eastAsia="Arial" w:hAnsi="Arial"/>
          <w:color w:val="222222"/>
          <w:sz w:val="20"/>
          <w:szCs w:val="20"/>
        </w:rPr>
        <w:t xml:space="preserve">The ED25519 key (fingerprint SHA256:TJd0H81dkHZCDKn//p8lGWRnsbNRv/dsDkMBlo7mQg4) was verified functional before disabling password authentication, to prevent any lockout risk. SSH tests confirm: key login succeeds (SSH_KEY_OK received), login without a key is rejected (Permission denied — publickey), root login is rejected (not listed in AllowUsers) from both the internal network and the internet.</w:t>
      </w:r>
    </w:p>
    <w:p>
      <w:pPr>
        <w:spacing w:before="80" w:after="100"/>
        <w:jc w:val="both"/>
      </w:pPr>
      <w:r>
        <w:rPr>
          <w:rFonts w:ascii="Arial" w:cs="Arial" w:eastAsia="Arial" w:hAnsi="Arial"/>
          <w:color w:val="222222"/>
          <w:sz w:val="20"/>
          <w:szCs w:val="20"/>
        </w:rPr>
        <w:t xml:space="preserve">The public exposure of siteB-srv on AWS confirmed the relevance of these measures under real-world conditions: within hours of deployment, auth.log records automated root login attempts from 157.245.99.15, 68.183.79.252 and 165.227.106.123, all rejected. One attempt uses HTTP on port 22 (invalid protocol identifier: GET / HTTP/1.1), characteristic of a non-specialised internet scanner.</w:t>
      </w:r>
    </w:p>
    <w:p>
      <w:pPr>
        <w:pStyle w:val="Heading2"/>
        <w:spacing w:before="280" w:after="100"/>
      </w:pPr>
      <w:r>
        <w:rPr>
          <w:rFonts w:ascii="Arial" w:cs="Arial" w:eastAsia="Arial" w:hAnsi="Arial"/>
          <w:b/>
          <w:bCs/>
          <w:color w:val="1F4E79"/>
          <w:sz w:val="24"/>
          <w:szCs w:val="24"/>
        </w:rPr>
        <w:t xml:space="preserve">6.2 IKEv2 IPsec Tunnel Azure↔AWS</w:t>
      </w:r>
    </w:p>
    <w:p>
      <w:pPr>
        <w:spacing w:before="80" w:after="100"/>
        <w:jc w:val="both"/>
      </w:pPr>
      <w:r>
        <w:rPr>
          <w:rFonts w:ascii="Arial" w:cs="Arial" w:eastAsia="Arial" w:hAnsi="Arial"/>
          <w:color w:val="222222"/>
          <w:sz w:val="20"/>
          <w:szCs w:val="20"/>
        </w:rPr>
        <w:t xml:space="preserve">The IPsec tunnel is established between the WAN interfaces of both gateways: gw-fw (10.10.99.5, public IP 98.66.160.46) and siteB-gw (10.10.99.4, AWS EIP 35.181.66.138). The selected cryptographic proposal is AES-256-CBC / HMAC-SHA2-256-128 / PRF-HMAC-SHA2-256 / MODP-2048 for the IKE phase, and AES-256-CBC / HMAC-SHA2-256-128 for the ESP phase.</w:t>
      </w:r>
    </w:p>
    <w:p>
      <w:pPr>
        <w:spacing w:before="80" w:after="100"/>
        <w:jc w:val="both"/>
      </w:pPr>
      <w:r>
        <w:rPr>
          <w:rFonts w:ascii="Arial" w:cs="Arial" w:eastAsia="Arial" w:hAnsi="Arial"/>
          <w:color w:val="222222"/>
          <w:sz w:val="20"/>
          <w:szCs w:val="20"/>
        </w:rPr>
        <w:t xml:space="preserve">Both gateways being behind NAT, the NAT-T mechanism (RFC 3947) is activated automatically by strongSwan upon detecting NAT-D payloads in IKE_SA_INIT. ESP traffic is encapsulated in UDP/4500. The tcpdump capture on eth1 of gw-fw shows 15 bidirectional ESP-in-UDP packets with no cleartext ICMP packets, confirming that inter-site traffic is fully encrypted.</w:t>
      </w:r>
    </w:p>
    <w:p>
      <w:pPr>
        <w:spacing w:before="80" w:after="100"/>
        <w:jc w:val="both"/>
      </w:pPr>
      <w:r>
        <w:rPr>
          <w:rFonts w:ascii="Arial" w:cs="Arial" w:eastAsia="Arial" w:hAnsi="Arial"/>
          <w:color w:val="222222"/>
          <w:sz w:val="20"/>
          <w:szCs w:val="20"/>
        </w:rPr>
        <w:t xml:space="preserve">The tunnel state at capture time shows an uptime of 38 minutes, 1,176 bytes in each direction (14 packets), and an ESP rekey scheduled in 10 minutes. The IKE reauth is scheduled at 2 hours.</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7. Security Claims Table</w:t>
      </w:r>
    </w:p>
    <w:p>
      <w:pPr>
        <w:spacing w:before="80" w:after="100"/>
        <w:jc w:val="both"/>
      </w:pPr>
      <w:r>
        <w:rPr>
          <w:rFonts w:ascii="Arial" w:cs="Arial" w:eastAsia="Arial" w:hAnsi="Arial"/>
          <w:color w:val="222222"/>
          <w:sz w:val="20"/>
          <w:szCs w:val="20"/>
        </w:rPr>
        <w:t xml:space="preserve">Each claim is stated as a verifiable security property. It is associated with a specific control location, a regression test script, and a proof artefact stored in the repository.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26"/>
        <w:gridCol w:w="1600"/>
        <w:gridCol w:w="1800"/>
        <w:gridCol w:w="18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3026"/>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Claim</w:t>
            </w:r>
          </w:p>
        </w:tc>
        <w:tc>
          <w:tcPr>
            <w:tcW w:type="dxa" w:w="1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Control</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Regression test</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Proof artefact</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C-FW-01</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Only TCP/80, 443, 22 (from LAN) and rate-limited ICMP are forwarded LAN→DMZ; all other flows are rejected and logged</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nftables FORWARD gw-fw</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R1_firewall.sh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evidence/after/deny_logs.txt</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C-FW-02</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Traffic initiated from the DMZ toward the LAN is blocked by the FORWARD default-deny policy</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nftables FORWARD gw-fw</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R1_firewall.sh (test N5)</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deny_logs.txt — NFT_FWD_DENY IN=eth1</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C-FW-03</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The INPUT chain of gw-fw is default-deny; only LAN and whitelisted admin IPs can reach the SSH port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nftables INPUT gw-fw</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R1_firewall.sh (test N6)</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deny_logs.txt — NFT_IN_DENY IN=eth0</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C-TLS-01</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srv-web accepts TLS 1.2 and TLS 1.3 only; TLS 1.0 and 1.1 are disabled</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nginx ssl_protocols srv-web</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R2_tls.sh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sslscan_after.txt</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C-TLS-02</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All negotiated cipher suites carry the ECDHE prefix — forward secrecy is guaranteed on every session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nginx ssl_ciphers srv-web</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R2_tls.sh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sslscan_after.txt (0 suite non-ECDHE)</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C-TLS-03</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The HSTS header is present with max-age=300 on all HTTPS responses</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nginx add_header srv-web</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R2_tls.sh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curl_hsts_check.txt</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C-TLS-04</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The /api/ path is rate-limited to 1 req/s with burst=2; excess requests receive HTTP 503</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nginx limit_req srv-web</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R2_tls.sh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rate_limit_test.txt</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C-IDS-01</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Suricata sees all LAN↔DMZ traffic — packet counter grows under load, TTL=63 confirmed</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Suricata UTM gw-fw</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R4_detection.sh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visibility_proof.txt</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C-IDS-02</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SID 2024364 (ET SCAN Nmap User-Agent) fires reproducibly on an Nmap NSE scan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ET Open ruleset gw-fw</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R4_detection.sh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alerts_excerpt.txt</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C-IDS-03</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SID 9000001 fires on GET /admin and does not fire on GET / (no false positive)</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local.rules gw-fw</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R4_detection.sh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fast_log_nmap.txt</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C-SSH-01</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Password authentication is disabled on siteB-srv; only the ED25519 key is accepted</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sshd_config.d siteB-srv</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R3_remote_access.sh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authlog_excerpt.txt</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C-SSH-02</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Root SSH login is blocked on siteB-srv</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sshd_config.d siteB-srv</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R3_remote_access.sh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authlog_excerpt.txt — not listed in AllowUsers</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C-VPN-01</w:t>
            </w:r>
          </w:p>
        </w:tc>
        <w:tc>
          <w:tcPr>
            <w:tcW w:type="dxa" w:w="30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The IKEv2 tunnel is in ESTABLISHED state between Azure and AWS — proposal AES-256/SHA-256/MODP-2048</w:t>
            </w:r>
          </w:p>
        </w:tc>
        <w:tc>
          <w:tcPr>
            <w:tcW w:type="dxa" w:w="1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strongSwan gw-fw + siteB-gw</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R3_remote_access.sh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ipsec_status_siteA.txt</w:t>
            </w:r>
          </w:p>
        </w:tc>
      </w:tr>
      <w:tr>
        <w:tc>
          <w:tcPr>
            <w:tcW w:type="dxa" w:w="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C-VPN-02</w:t>
            </w:r>
          </w:p>
        </w:tc>
        <w:tc>
          <w:tcPr>
            <w:tcW w:type="dxa" w:w="30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Inter-site traffic is encrypted — ESP-in-UDP visible on the WAN interface, no cleartext ICMP</w:t>
            </w:r>
          </w:p>
        </w:tc>
        <w:tc>
          <w:tcPr>
            <w:tcW w:type="dxa" w:w="1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strongSwan tunnel ESP</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R3_remote_access.sh</w:t>
            </w:r>
          </w:p>
        </w:tc>
        <w:tc>
          <w:tcPr>
            <w:tcW w:type="dxa" w:w="18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esp_capture.txt</w:t>
            </w:r>
          </w:p>
        </w:tc>
      </w:tr>
    </w:tbl>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8. Risk Register</w:t>
      </w:r>
    </w:p>
    <w:p>
      <w:pPr>
        <w:spacing w:before="80" w:after="100"/>
        <w:jc w:val="both"/>
      </w:pPr>
      <w:r>
        <w:rPr>
          <w:rFonts w:ascii="Arial" w:cs="Arial" w:eastAsia="Arial" w:hAnsi="Arial"/>
          <w:color w:val="222222"/>
          <w:sz w:val="20"/>
          <w:szCs w:val="20"/>
        </w:rPr>
        <w:t xml:space="preserve">The table below presents all risks identified during the baseline phase, with their treatment status at project close. The score is computed as Impact × Exploitability on a 1–5 scale.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00"/>
        <w:gridCol w:w="500"/>
        <w:gridCol w:w="500"/>
        <w:gridCol w:w="1226"/>
        <w:gridCol w:w="30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5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Imp.</w:t>
            </w:r>
          </w:p>
        </w:tc>
        <w:tc>
          <w:tcPr>
            <w:tcW w:type="dxa" w:w="5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Exp.</w:t>
            </w:r>
          </w:p>
        </w:tc>
        <w:tc>
          <w:tcPr>
            <w:tcW w:type="dxa" w:w="5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1226"/>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Control applied</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R01</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gw-fw SSH open to 0.0.0.0/0 — brute-force attacks observed from first hours of deployment</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5</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5</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25</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TD2: nftables INPUT restricts TCP/22 to whitelisted admin IPs</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R02</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No nftables rules — all forwarded traffic passes unfiltered</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5</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20</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TD2: FORWARD chain default-deny, 5 explicitly allowed flows</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R03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LAN↔DMZ traffic bypasses gw-fw — Azure UDRs missing</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5</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20</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TD2: UDRs + NIC IP Forwarding, TTL=63 confirmed</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R04</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HTTP without TLS — application data in cleartext</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12</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TD4: TLS 1.2/1.3, ECDHE only, HSTS</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R05</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srv-web SSH accessible from the entire LAN</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12</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TD5: AllowUsers, key-only, MaxAuthTries 3</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R06</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No IDS sensor in the DMZ — east-west blind spot</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12</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C55A11"/>
                <w:sz w:val="17"/>
                <w:szCs w:val="17"/>
              </w:rPr>
              <w:t xml:space="preserve">Partial</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TD3: UTM covers LAN↔DMZ; intra-zone flows not monitored</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R07</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Unencrypted inter-site traffic over the public internet</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5</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20</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1E6B2E"/>
                <w:sz w:val="17"/>
                <w:szCs w:val="17"/>
              </w:rPr>
              <w:t xml:space="preserve">Resolved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TD5: IKEv2 IPsec AES-256, ESP-in-UDP confirmed</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R08</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No SSH key rotation policy</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9</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C55A11"/>
                <w:sz w:val="17"/>
                <w:szCs w:val="17"/>
              </w:rPr>
              <w:t xml:space="preserve">Partial</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TD5: ED25519 key deployed; no rotation cadence defined</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R09</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No centralised log aggregation</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2</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6</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C00000"/>
                <w:sz w:val="17"/>
                <w:szCs w:val="17"/>
              </w:rPr>
              <w:t xml:space="preserve">Open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Out of TD1-TD5 scope — Day+30 plan</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R11</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TLS certificate expiry (18 March 2026) with no automated renewal</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12</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C00000"/>
                <w:sz w:val="17"/>
                <w:szCs w:val="17"/>
              </w:rPr>
              <w:t xml:space="preserve">Open</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ACME not implemented — Day+30 plan</w:t>
            </w:r>
          </w:p>
        </w:tc>
      </w:tr>
      <w:tr>
        <w:tc>
          <w:tcPr>
            <w:tcW w:type="dxa" w:w="5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sz w:val="17"/>
                <w:szCs w:val="17"/>
              </w:rPr>
              <w:t xml:space="preserve">R12</w:t>
            </w:r>
          </w:p>
        </w:tc>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nginx session tickets enabled — potential forward secrecy impact</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sz w:val="17"/>
                <w:szCs w:val="17"/>
              </w:rPr>
              <w:t xml:space="preserve">2</w:t>
            </w:r>
          </w:p>
        </w:tc>
        <w:tc>
          <w:tcPr>
            <w:tcW w:type="dxa" w:w="500"/>
            <w:tcBorders>
              <w:top w:val="single" w:color="BBBBBB" w:sz="1"/>
              <w:left w:val="single" w:color="BBBBBB" w:sz="1"/>
              <w:bottom w:val="single" w:color="BBBBBB" w:sz="1"/>
              <w:right w:val="single" w:color="BBBBBB" w:sz="1"/>
            </w:tcBorders>
            <w:shd w:fill="FFFFFF" w:val="clear"/>
            <w:tcMar>
              <w:top w:type="dxa" w:w="70"/>
              <w:left w:type="dxa" w:w="80"/>
              <w:bottom w:type="dxa" w:w="70"/>
              <w:right w:type="dxa" w:w="80"/>
            </w:tcMar>
          </w:tcPr>
          <w:p>
            <w:pPr>
              <w:jc w:val="center"/>
            </w:pPr>
            <w:r>
              <w:rPr>
                <w:rFonts w:ascii="Arial" w:cs="Arial" w:eastAsia="Arial" w:hAnsi="Arial"/>
                <w:b/>
                <w:bCs/>
                <w:sz w:val="17"/>
                <w:szCs w:val="17"/>
              </w:rPr>
              <w:t xml:space="preserve">6</w:t>
            </w:r>
          </w:p>
        </w:tc>
        <w:tc>
          <w:tcPr>
            <w:tcW w:type="dxa" w:w="1226"/>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bCs/>
                <w:color w:val="C00000"/>
                <w:sz w:val="17"/>
                <w:szCs w:val="17"/>
              </w:rPr>
              <w:t xml:space="preserve">Open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sz w:val="17"/>
                <w:szCs w:val="17"/>
              </w:rPr>
              <w:t xml:space="preserve">ssl_session_tickets off not applied — Day+30 plan</w:t>
            </w:r>
          </w:p>
        </w:tc>
      </w:tr>
      <w:tr>
        <w:tc>
          <w:tcPr>
            <w:tcW w:type="dxa" w:w="5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sz w:val="17"/>
                <w:szCs w:val="17"/>
              </w:rPr>
              <w:t xml:space="preserve">R13</w:t>
            </w:r>
          </w:p>
        </w:tc>
        <w:tc>
          <w:tcPr>
            <w:tcW w:type="dxa" w:w="28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The /api/ endpoint has no application-layer authentication</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4</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sz w:val="17"/>
                <w:szCs w:val="17"/>
              </w:rPr>
              <w:t xml:space="preserve">3</w:t>
            </w:r>
          </w:p>
        </w:tc>
        <w:tc>
          <w:tcPr>
            <w:tcW w:type="dxa" w:w="500"/>
            <w:tcBorders>
              <w:top w:val="single" w:color="BBBBBB" w:sz="1"/>
              <w:left w:val="single" w:color="BBBBBB" w:sz="1"/>
              <w:bottom w:val="single" w:color="BBBBBB" w:sz="1"/>
              <w:right w:val="single" w:color="BBBBBB" w:sz="1"/>
            </w:tcBorders>
            <w:shd w:fill="E9F0F7" w:val="clear"/>
            <w:tcMar>
              <w:top w:type="dxa" w:w="70"/>
              <w:left w:type="dxa" w:w="80"/>
              <w:bottom w:type="dxa" w:w="70"/>
              <w:right w:type="dxa" w:w="80"/>
            </w:tcMar>
          </w:tcPr>
          <w:p>
            <w:pPr>
              <w:jc w:val="center"/>
            </w:pPr>
            <w:r>
              <w:rPr>
                <w:rFonts w:ascii="Arial" w:cs="Arial" w:eastAsia="Arial" w:hAnsi="Arial"/>
                <w:b/>
                <w:bCs/>
                <w:sz w:val="17"/>
                <w:szCs w:val="17"/>
              </w:rPr>
              <w:t xml:space="preserve">12</w:t>
            </w:r>
          </w:p>
        </w:tc>
        <w:tc>
          <w:tcPr>
            <w:tcW w:type="dxa" w:w="1226"/>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b/>
                <w:bCs/>
                <w:color w:val="C00000"/>
                <w:sz w:val="17"/>
                <w:szCs w:val="17"/>
              </w:rPr>
              <w:t xml:space="preserve">Open</w:t>
            </w:r>
          </w:p>
        </w:tc>
        <w:tc>
          <w:tcPr>
            <w:tcW w:type="dxa" w:w="3000"/>
            <w:tcBorders>
              <w:top w:val="single" w:color="BBBBBB" w:sz="1"/>
              <w:left w:val="single" w:color="BBBBBB" w:sz="1"/>
              <w:bottom w:val="single" w:color="BBBBBB" w:sz="1"/>
              <w:right w:val="single" w:color="BBBBBB" w:sz="1"/>
            </w:tcBorders>
            <w:shd w:fill="E9F0F7" w:val="clear"/>
            <w:tcMar>
              <w:top w:type="dxa" w:w="70"/>
              <w:left w:type="dxa" w:w="100"/>
              <w:bottom w:type="dxa" w:w="70"/>
              <w:right w:type="dxa" w:w="100"/>
            </w:tcMar>
          </w:tcPr>
          <w:p>
            <w:r>
              <w:rPr>
                <w:rFonts w:ascii="Arial" w:cs="Arial" w:eastAsia="Arial" w:hAnsi="Arial"/>
                <w:sz w:val="17"/>
                <w:szCs w:val="17"/>
              </w:rPr>
              <w:t xml:space="preserve">Out of TD4 scope — Day+60 plan</w:t>
            </w:r>
          </w:p>
        </w:tc>
      </w:tr>
    </w:tbl>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9. Action Plan — 30 / 60 / 90 Days</w:t>
      </w:r>
    </w:p>
    <w:p>
      <w:pPr>
        <w:pStyle w:val="Heading2"/>
        <w:spacing w:before="280" w:after="100"/>
      </w:pPr>
      <w:r>
        <w:rPr>
          <w:rFonts w:ascii="Arial" w:cs="Arial" w:eastAsia="Arial" w:hAnsi="Arial"/>
          <w:b/>
          <w:bCs/>
          <w:color w:val="1F4E79"/>
          <w:sz w:val="24"/>
          <w:szCs w:val="24"/>
        </w:rPr>
        <w:t xml:space="preserve">Day +30 — Immediate Fixes</w:t>
      </w:r>
    </w:p>
    <w:p>
      <w:pPr>
        <w:spacing w:before="80" w:after="100"/>
        <w:jc w:val="both"/>
      </w:pPr>
      <w:r>
        <w:rPr>
          <w:rFonts w:ascii="Arial" w:cs="Arial" w:eastAsia="Arial" w:hAnsi="Arial"/>
          <w:color w:val="222222"/>
          <w:sz w:val="20"/>
          <w:szCs w:val="20"/>
        </w:rPr>
        <w:t xml:space="preserve">The following four actions can be carried out without architectural changes and offer a high impact-to-effort ratio. Automated TLS certificate renewal must be addressed first, as the certificate expires on 18 March 2026: deploy certbot with an HTTP-01 or DNS-01 challenge depending on available access, with a monitoring alert at 30 days before expiry. Adding ssl_session_tickets off to the nginx configuration eliminates the residual forward secrecy risk and requires only a service reload. Extending the limit_req zone to all HTTP endpoints (not just /api/) and deploying a centralised log aggregator (rsyslog to a remote server, or a Loki/Promtail stack) complete this horizon.</w:t>
      </w:r>
    </w:p>
    <w:p>
      <w:pPr>
        <w:pStyle w:val="Heading2"/>
        <w:spacing w:before="280" w:after="100"/>
      </w:pPr>
      <w:r>
        <w:rPr>
          <w:rFonts w:ascii="Arial" w:cs="Arial" w:eastAsia="Arial" w:hAnsi="Arial"/>
          <w:b/>
          <w:bCs/>
          <w:color w:val="1F4E79"/>
          <w:sz w:val="24"/>
          <w:szCs w:val="24"/>
        </w:rPr>
        <w:t xml:space="preserve">Day +60 — Architectural Improvements</w:t>
      </w:r>
    </w:p>
    <w:p>
      <w:pPr>
        <w:spacing w:before="80" w:after="100"/>
        <w:jc w:val="both"/>
      </w:pPr>
      <w:r>
        <w:rPr>
          <w:rFonts w:ascii="Arial" w:cs="Arial" w:eastAsia="Arial" w:hAnsi="Arial"/>
          <w:color w:val="222222"/>
          <w:sz w:val="20"/>
          <w:szCs w:val="20"/>
        </w:rPr>
        <w:t xml:space="preserve">Three improvements require longer planning cycles. Adding an authentication layer on /api/ (API key or OAuth2 client_credentials flow) eliminates risk R13. Replacing the manual nginx filters with ModSecurity using the OWASP CRS provides a maintainable, well-referenced application protection layer. Deploying a second Suricata sensor inside the DMZ zone (or using a virtual switch mirror port if the cloud provider supports it) closes the east-west monitoring blind spot documented in R06.</w:t>
      </w:r>
    </w:p>
    <w:p>
      <w:pPr>
        <w:pStyle w:val="Heading2"/>
        <w:spacing w:before="280" w:after="100"/>
      </w:pPr>
      <w:r>
        <w:rPr>
          <w:rFonts w:ascii="Arial" w:cs="Arial" w:eastAsia="Arial" w:hAnsi="Arial"/>
          <w:b/>
          <w:bCs/>
          <w:color w:val="1F4E79"/>
          <w:sz w:val="24"/>
          <w:szCs w:val="24"/>
        </w:rPr>
        <w:t xml:space="preserve">Day +90 — Governance and Automation</w:t>
      </w:r>
    </w:p>
    <w:p>
      <w:pPr>
        <w:spacing w:before="80" w:after="100"/>
        <w:jc w:val="both"/>
      </w:pPr>
      <w:r>
        <w:rPr>
          <w:rFonts w:ascii="Arial" w:cs="Arial" w:eastAsia="Arial" w:hAnsi="Arial"/>
          <w:color w:val="222222"/>
          <w:sz w:val="20"/>
          <w:szCs w:val="20"/>
        </w:rPr>
        <w:t xml:space="preserve">At 90 days, three structural actions consolidate the long-term sustainability of the security posture. Migrating IPsec authentication from PSK to X.509 (strongSwan PKI or HashiCorp Vault PKI) is required for any production deployment. The infrastructure must be described as Infrastructure-as-Code (Terraform) to allow faithful reproduction from a versioned repository. Finally, the regression suite (run_all.sh) must be integrated into a CI/CD pipeline with automatic rejection of changes that cause any critical test to fail.</w:t>
      </w:r>
    </w:p>
    <w:p>
      <w:r>
        <w:br w:type="page"/>
      </w:r>
    </w:p>
    <w:p>
      <w:pPr>
        <w:pStyle w:val="Heading1"/>
        <w:pBdr>
          <w:bottom w:val="single" w:color="1F4E79" w:sz="12" w:space="6"/>
        </w:pBdr>
        <w:spacing w:before="400" w:after="160"/>
      </w:pPr>
      <w:r>
        <w:rPr>
          <w:rFonts w:ascii="Arial" w:cs="Arial" w:eastAsia="Arial" w:hAnsi="Arial"/>
          <w:b/>
          <w:bCs/>
          <w:color w:val="1F4E79"/>
          <w:sz w:val="28"/>
          <w:szCs w:val="28"/>
        </w:rPr>
        <w:t xml:space="preserve">10. Technical Incident Log</w:t>
      </w:r>
    </w:p>
    <w:p>
      <w:pPr>
        <w:spacing w:before="80" w:after="100"/>
        <w:jc w:val="both"/>
      </w:pPr>
      <w:r>
        <w:rPr>
          <w:rFonts w:ascii="Arial" w:cs="Arial" w:eastAsia="Arial" w:hAnsi="Arial"/>
          <w:color w:val="222222"/>
          <w:sz w:val="20"/>
          <w:szCs w:val="20"/>
        </w:rPr>
        <w:t xml:space="preserve">This section documents the issues encountered during the lab sessions, their root causes, and the applied resolutions. Its purpose is to enable reproduction of the environment without unnecessary iteration.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926"/>
        <w:gridCol w:w="49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TD</w:t>
            </w:r>
          </w:p>
        </w:tc>
        <w:tc>
          <w:tcPr>
            <w:tcW w:type="dxa" w:w="2926"/>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Symptom / cause</w:t>
            </w:r>
          </w:p>
        </w:tc>
        <w:tc>
          <w:tcPr>
            <w:tcW w:type="dxa" w:w="49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Resolution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F-01</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TD1</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tcpdump suspended (SIGSTOP) when backgrounded over SSH</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Use two terminals: one for tcpdump, one to generate traffic. Alternatively use nohup with output redirection.</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F-02</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TD1/3</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Azure blocks promiscuous mode on virtual NICs — dedicated IDS sensor in DMZ inoperative</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UTM architecture: Suricata on gw-fw, which natively sees all forwarded traffic.</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F-03</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TD3</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suricata-update loads rules into a path different from default-rule-path</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Fix default-rule-path in suricata.yaml via sed to point to /var/lib/suricata/rules.</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F-04</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TD3</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threshold-file commented out in suricata.yaml — tuning directives inactive</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Uncomment the directive and fix the path to /etc/suricata/threshold.conf.</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F-05</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TD3</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local.rules not loaded (0 local signatures) — wrong directory</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Copy local.rules to /var/lib/suricata/rules/ (the effective default-rule-path).</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F-06</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TD3</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0 alerts on first scan — capture threads not yet ready</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Wait for the message 'All AFP capture threads are running' in journalctl before running tests.</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F-07</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TD4</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return 200 in location /api/ bypasses limit_req (nginx phase ordering conflict)</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Serve a real static file via root — the content phase runs after preaccess (limit_req).</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F-08</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TD4</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if ($host) combined with other if blocks — non-atomic evaluation, false positives</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Replace with an HTTP method restriction block, without a $host condition.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F-09</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SSH timeout on the new public IP (98.66.160.46) — asymmetric routing from Azure SNAT</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ip rule add from 10.10.99.5 lookup 101 + ip route add default via 10.10.99.1 dev eth1 table 101. Persist via netplan.</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F-10</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Basic SKU public IP quota exhausted (IPv4BasicSkuPublicIpCountLimitReached)</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Create a Standard SKU IP + explicit NSG nsg-gw-fw-wan attached to the WAN NIC.</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F-11</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Public IP attached to the LAN NIC (TD1 legacy) — incorrect architecture</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Create pip-gw-fw-wan and attach it to the WAN NIC. Delete the old Basic SKU IP.</w:t>
            </w:r>
          </w:p>
        </w:tc>
      </w:tr>
      <w:tr>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F-12</w:t>
            </w:r>
          </w:p>
        </w:tc>
        <w:tc>
          <w:tcPr>
            <w:tcW w:type="dxa" w:w="6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926"/>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IPsec stuck in CONNECTING — NO_PROPOSAL_CHOSEN with double NAT</w:t>
            </w:r>
          </w:p>
        </w:tc>
        <w:tc>
          <w:tcPr>
            <w:tcW w:type="dxa" w:w="4900"/>
            <w:tcBorders>
              <w:top w:val="single" w:color="BBBBBB" w:sz="1"/>
              <w:left w:val="single" w:color="BBBBBB" w:sz="1"/>
              <w:bottom w:val="single" w:color="BBBBBB" w:sz="1"/>
              <w:right w:val="single" w:color="BBBBBB" w:sz="1"/>
            </w:tcBorders>
            <w:shd w:fill="E9F0F7" w:val="clear"/>
            <w:tcMar>
              <w:top w:type="dxa" w:w="70"/>
              <w:left w:type="dxa" w:w="140"/>
              <w:bottom w:type="dxa" w:w="70"/>
              <w:right w:type="dxa" w:w="140"/>
            </w:tcMar>
          </w:tcPr>
          <w:p>
            <w:r>
              <w:rPr>
                <w:rFonts w:ascii="Arial" w:cs="Arial" w:eastAsia="Arial" w:hAnsi="Arial"/>
                <w:b w:val="false"/>
                <w:bCs w:val="false"/>
                <w:color w:val="222222"/>
                <w:sz w:val="18"/>
                <w:szCs w:val="18"/>
              </w:rPr>
              <w:t xml:space="preserve">Set leftid=98.66.160.46 and rightid=35.181.66.138 (public IPs) in the strongSwan configs on both sites.</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F-13</w:t>
            </w:r>
          </w:p>
        </w:tc>
        <w:tc>
          <w:tcPr>
            <w:tcW w:type="dxa" w:w="6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TD5</w:t>
            </w:r>
          </w:p>
        </w:tc>
        <w:tc>
          <w:tcPr>
            <w:tcW w:type="dxa" w:w="292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Incorrect return route on siteB-srv — wrong next-hop</w:t>
            </w:r>
          </w:p>
        </w:tc>
        <w:tc>
          <w:tcPr>
            <w:tcW w:type="dxa" w:w="49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b w:val="false"/>
                <w:bCs w:val="false"/>
                <w:color w:val="222222"/>
                <w:sz w:val="18"/>
                <w:szCs w:val="18"/>
              </w:rPr>
              <w:t xml:space="preserve">sudo ip route add 10.10.10.0/24 via 10.10.20.4 on siteB-srv.</w:t>
            </w:r>
          </w:p>
        </w:tc>
      </w:tr>
    </w:tbl>
    <w:p>
      <w:pPr>
        <w:spacing w:before="0" w:after="80"/>
      </w:pPr>
      <w:r>
        <w:t xml:space="preserve"/>
      </w:r>
    </w:p>
    <w:p>
      <w:pPr>
        <w:spacing w:before="0" w:after="80"/>
      </w:pPr>
      <w:r>
        <w:t xml:space="preserve"/>
      </w:r>
    </w:p>
    <w:p>
      <w:pPr>
        <w:spacing w:before="480"/>
        <w:jc w:val="center"/>
      </w:pPr>
      <w:r>
        <w:rPr>
          <w:rFonts w:ascii="Arial" w:cs="Arial" w:eastAsia="Arial" w:hAnsi="Arial"/>
          <w:i/>
          <w:iCs/>
          <w:color w:val="AAAAAA"/>
          <w:sz w:val="18"/>
          <w:szCs w:val="18"/>
        </w:rPr>
        <w:t xml:space="preserve">— End of report —</w:t>
      </w:r>
    </w:p>
    <w:sectPr>
      <w:headerReference w:type="default" r:id="rId6"/>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pPr>
    <w:r>
      <w:rPr>
        <w:rFonts w:ascii="Arial" w:cs="Arial" w:eastAsia="Arial" w:hAnsi="Arial"/>
        <w:color w:val="AAAAAA"/>
        <w:sz w:val="16"/>
        <w:szCs w:val="16"/>
      </w:rPr>
      <w:t xml:space="preserve">Confidential — educational use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spacing w:after="0"/>
    </w:pPr>
    <w:r>
      <w:rPr>
        <w:rFonts w:ascii="Arial" w:cs="Arial" w:eastAsia="Arial" w:hAnsi="Arial"/>
        <w:color w:val="595959"/>
        <w:sz w:val="16"/>
        <w:szCs w:val="16"/>
      </w:rPr>
      <w:t xml:space="preserve">ESILV — Network Hardening 4th Year</w:t>
    </w:r>
    <w:r>
      <w:rPr>
        <w:rFonts w:ascii="Arial" w:cs="Arial" w:eastAsia="Arial" w:hAnsi="Arial"/>
        <w:color w:val="595959"/>
        <w:sz w:val="16"/>
        <w:szCs w:val="16"/>
      </w:rPr>
      <w:t xml:space="preserve">   |   Hardening Pack — G1 / YFA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bdf6a78c6d0bb3c1a689eb2d0e1e24bbc5ee8e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2026-03-15T12:16:15.283Z</dcterms:created>
  <dcterms:modified xsi:type="dcterms:W3CDTF">2026-03-15T12:16:15.284Z</dcterms:modified>
</cp:coreProperties>
</file>

<file path=docProps/custom.xml><?xml version="1.0" encoding="utf-8"?>
<Properties xmlns="http://schemas.openxmlformats.org/officeDocument/2006/custom-properties" xmlns:vt="http://schemas.openxmlformats.org/officeDocument/2006/docPropsVTypes"/>
</file>