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pPr>
      <w:r>
        <w:t xml:space="preserve"/>
      </w:r>
    </w:p>
    <w:p>
      <w:pPr>
        <w:spacing w:after="80" w:before="0"/>
        <w:jc w:val="center"/>
      </w:pPr>
      <w:r>
        <w:rPr>
          <w:rFonts w:ascii="Arial" w:cs="Arial" w:eastAsia="Arial" w:hAnsi="Arial"/>
          <w:b/>
          <w:bCs/>
          <w:color w:val="1F3864"/>
          <w:sz w:val="56"/>
          <w:szCs w:val="56"/>
        </w:rPr>
        <w:t xml:space="preserve">PEER REVIEW</w:t>
      </w:r>
    </w:p>
    <w:p>
      <w:pPr>
        <w:spacing w:after="60" w:before="60"/>
        <w:jc w:val="center"/>
      </w:pPr>
      <w:r>
        <w:rPr>
          <w:rFonts w:ascii="Arial" w:cs="Arial" w:eastAsia="Arial" w:hAnsi="Arial"/>
          <w:color w:val="2E75B6"/>
          <w:sz w:val="36"/>
          <w:szCs w:val="36"/>
        </w:rPr>
        <w:t xml:space="preserve">Final Hardening Pack — TD1 → TD6</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Reviewed group</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val="false"/>
                <w:bCs w:val="false"/>
                <w:color w:val="000000"/>
                <w:sz w:val="22"/>
                <w:szCs w:val="22"/>
              </w:rPr>
              <w:t xml:space="preserve">Group OCC2 — Youssouf FARRAGE</w:t>
            </w:r>
          </w:p>
        </w:tc>
      </w:tr>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School</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val="false"/>
                <w:bCs w:val="false"/>
                <w:color w:val="000000"/>
                <w:sz w:val="22"/>
                <w:szCs w:val="22"/>
              </w:rPr>
              <w:t xml:space="preserve">ESILV — 4th Year, Major Cybersecurity &amp; IOT Trust</w:t>
            </w:r>
          </w:p>
        </w:tc>
      </w:tr>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Reviewer</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val="false"/>
                <w:bCs w:val="false"/>
                <w:color w:val="000000"/>
                <w:sz w:val="22"/>
                <w:szCs w:val="22"/>
              </w:rPr>
              <w:t xml:space="preserve">Claude Sonnet 4.6 (External AI Collaborator)</w:t>
            </w:r>
          </w:p>
        </w:tc>
      </w:tr>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Review date</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val="false"/>
                <w:bCs w:val="false"/>
                <w:color w:val="000000"/>
                <w:sz w:val="22"/>
                <w:szCs w:val="22"/>
              </w:rPr>
              <w:t xml:space="preserve">27 March 2026</w:t>
            </w:r>
          </w:p>
        </w:tc>
      </w:tr>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Scope</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val="false"/>
                <w:bCs w:val="false"/>
                <w:color w:val="000000"/>
                <w:sz w:val="22"/>
                <w:szCs w:val="22"/>
              </w:rPr>
              <w:t xml:space="preserve">TD6 Final Hardening Pack (integration TD1→TD5)</w:t>
            </w:r>
          </w:p>
        </w:tc>
      </w:tr>
      <w:tr>
        <w:tc>
          <w:tcPr>
            <w:tcW w:type="dxa" w:w="2600"/>
            <w:tcBorders>
              <w:top w:val="single" w:color="BFBFBF" w:sz="4"/>
              <w:left w:val="none" w:color="FFFFFF" w:sz="0"/>
              <w:bottom w:val="single" w:color="BFBFBF" w:sz="4"/>
              <w:right w:val="none" w:color="FFFFFF" w:sz="0"/>
            </w:tcBorders>
            <w:shd w:fill="F2F2F2" w:val="clear"/>
            <w:tcMar>
              <w:top w:type="dxa" w:w="100"/>
              <w:left w:type="dxa" w:w="120"/>
              <w:bottom w:type="dxa" w:w="100"/>
              <w:right w:type="dxa" w:w="120"/>
            </w:tcMar>
          </w:tcPr>
          <w:p>
            <w:pPr>
              <w:spacing w:after="20" w:before="20"/>
            </w:pPr>
            <w:r>
              <w:rPr>
                <w:rFonts w:ascii="Arial" w:cs="Arial" w:eastAsia="Arial" w:hAnsi="Arial"/>
                <w:b/>
                <w:bCs/>
                <w:color w:val="1F3864"/>
                <w:sz w:val="22"/>
                <w:szCs w:val="22"/>
              </w:rPr>
              <w:t xml:space="preserve">Overall score</w:t>
            </w:r>
          </w:p>
        </w:tc>
        <w:tc>
          <w:tcPr>
            <w:tcW w:type="dxa" w:w="4600"/>
            <w:tcBorders>
              <w:top w:val="single" w:color="BFBFBF" w:sz="4"/>
              <w:left w:val="none" w:color="FFFFFF" w:sz="0"/>
              <w:bottom w:val="single" w:color="BFBFBF" w:sz="4"/>
              <w:right w:val="none" w:color="FFFFFF" w:sz="0"/>
            </w:tcBorders>
            <w:shd w:fill="FFFFFF" w:val="clear"/>
            <w:tcMar>
              <w:top w:type="dxa" w:w="100"/>
              <w:left w:type="dxa" w:w="120"/>
              <w:bottom w:type="dxa" w:w="100"/>
              <w:right w:type="dxa" w:w="120"/>
            </w:tcMar>
          </w:tcPr>
          <w:p>
            <w:pPr>
              <w:spacing w:after="20" w:before="20"/>
            </w:pPr>
            <w:r>
              <w:rPr>
                <w:rFonts w:ascii="Arial" w:cs="Arial" w:eastAsia="Arial" w:hAnsi="Arial"/>
                <w:b/>
                <w:bCs/>
                <w:color w:val="375623"/>
                <w:sz w:val="22"/>
                <w:szCs w:val="22"/>
              </w:rPr>
              <w:t xml:space="preserve">95 / 100</w:t>
            </w:r>
          </w:p>
        </w:tc>
      </w:tr>
    </w:tbl>
    <w:p>
      <w:pPr>
        <w:spacing w:after="80" w:before="80"/>
      </w:pPr>
      <w:r>
        <w:t xml:space="preserve"/>
      </w:r>
    </w:p>
    <w:p>
      <w:pPr>
        <w:spacing w:after="140" w:before="140"/>
        <w:jc w:val="center"/>
      </w:pPr>
      <w:r>
        <w:rPr>
          <w:rFonts w:ascii="Arial" w:cs="Arial" w:eastAsia="Arial" w:hAnsi="Arial"/>
          <w:i/>
          <w:iCs/>
          <w:color w:val="595959"/>
          <w:sz w:val="20"/>
          <w:szCs w:val="20"/>
        </w:rPr>
        <w:t xml:space="preserve">This peer review was conducted by Claude Sonnet 4.6 acting as a collaborator, based on an exhaustive
examination of all deliverables in TD6_G1_YFA_2026-03-15/, the professor’s specifications (TD1–TD6),
and the student guide network_hardening_resources_v2.</w:t>
      </w:r>
    </w:p>
    <w:p>
      <w:r>
        <w:br w:type="page"/>
      </w:r>
    </w:p>
    <w:p>
      <w:pPr>
        <w:pStyle w:val="Heading1"/>
        <w:pBdr>
          <w:bottom w:val="single" w:color="2E75B6" w:sz="8" w:space="4"/>
        </w:pBdr>
        <w:spacing w:after="160" w:before="400"/>
      </w:pPr>
      <w:r>
        <w:rPr>
          <w:rFonts w:ascii="Arial" w:cs="Arial" w:eastAsia="Arial" w:hAnsi="Arial"/>
          <w:b/>
          <w:bCs/>
          <w:color w:val="1F3864"/>
          <w:sz w:val="32"/>
          <w:szCs w:val="32"/>
        </w:rPr>
        <w:t xml:space="preserve">1. Completeness Verification</w:t>
      </w:r>
    </w:p>
    <w:p>
      <w:pPr>
        <w:spacing w:after="80" w:before="60"/>
      </w:pPr>
      <w:r>
        <w:rPr>
          <w:rFonts w:ascii="Arial" w:cs="Arial" w:eastAsia="Arial" w:hAnsi="Arial"/>
          <w:sz w:val="22"/>
          <w:szCs w:val="22"/>
        </w:rPr>
        <w:t xml:space="preserve">Per TD6 specification §2, the following repository structure is required. Each item was individually verified.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4960"/>
      </w:tblGrid>
      <w:tr>
        <w:tc>
          <w:tcPr>
            <w:tcW w:type="dxa" w:w="36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Required item</w:t>
            </w:r>
          </w:p>
        </w:tc>
        <w:tc>
          <w:tcPr>
            <w:tcW w:type="dxa" w:w="8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Present</w:t>
            </w:r>
          </w:p>
        </w:tc>
        <w:tc>
          <w:tcPr>
            <w:tcW w:type="dxa" w:w="49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Observation</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README.md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Complete — quickstart and full repo structure</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executive/Executive_Summary_1p.md</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Well-written, accessible to non-technical readers</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architecture/network_diagram.png</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Present + TD5_architecture_diagram.html as supplement</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architecture/reachability_matrix.csv</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Inherited from TD1, properly consolidated</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architecture/assumptions.md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Outstanding — 8 Azure + 4 AWS constraints documented</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controls/firewall/</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nftables.conf, policy.md, rollback.sh, commented ruleset</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controls/ids/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local.rules, suricata.rules, suricata.yaml, config extract</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controls/remote_access/</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ipsec.conf, siteA/B.conf, 99-td5-hardening.conf, ssh_hardening.md, rollback.sh</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controls/tls_edge/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nginx_after.conf, nginx_ratelimit.conf, change_log.md</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controls/sdwan_zt/</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README.md out-of-scope — justified, referenced in 60-day roadmap</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evidence/baseline/</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nmap, cert_info, counters, sslscan, alerts before hardening</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evidence/after/</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20+ artifacts covering firewall, TLS, SSH, VPN, IDS</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tests/TEST_CARDS.md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8 structured test cards, all conforming to the official template</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tests/regression/run_all.sh</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Complete orchestrator — timestamps, exit codes, PASS/FAIL</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tests/regression/R1_firewall.sh</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Positive (HTTP/HTTPS) + negative (3306, 12345, 23) tests + logs</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tests/regression/R2_tls.sh</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TLS 1.3, TLS 1.0 rejected, ECDHE, HSTS, rate limiting</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tests/regression/R3_remote_access.sh</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SSH + IPsec with actual tunnel down/up (C-VPN-03 compliant)</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tests/regression/R4_detection.sh</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Suricata — SID 2024364 ET Open + SID 9000001 custom</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tests/regression/results/</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.gitkeep — folder correctly initialized</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report/Final_Report.md</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14 claims with triple artifact each</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report/Risk_Register.md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15 risks scored Impact × Exploitability</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report/30_60_90_Plan.md</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Realistic plan across 3 horizons with owners</w:t>
            </w:r>
          </w:p>
        </w:tc>
      </w:tr>
      <w:tr>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report/Peer_Review.md</w:t>
            </w:r>
          </w:p>
        </w:tc>
        <w:tc>
          <w:tcPr>
            <w:tcW w:type="dxa" w:w="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This document</w:t>
            </w:r>
          </w:p>
        </w:tc>
      </w:tr>
      <w:tr>
        <w:tc>
          <w:tcPr>
            <w:tcW w:type="dxa" w:w="36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Delivery ZIP</w:t>
            </w:r>
          </w:p>
        </w:tc>
        <w:tc>
          <w:tcPr>
            <w:tcW w:type="dxa" w:w="80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w:t>
            </w:r>
          </w:p>
        </w:tc>
        <w:tc>
          <w:tcPr>
            <w:tcW w:type="dxa" w:w="4960"/>
            <w:tcBorders>
              <w:top w:val="single" w:color="BFBFBF" w:sz="4"/>
              <w:left w:val="single" w:color="BFBFBF" w:sz="4"/>
              <w:bottom w:val="single" w:color="BFBFBF" w:sz="4"/>
              <w:right w:val="single" w:color="BFBFBF" w:sz="4"/>
            </w:tcBorders>
            <w:shd w:fill="F9FBFD" w:val="clear"/>
            <w:tcMar>
              <w:top w:type="dxa" w:w="80"/>
              <w:left w:type="dxa" w:w="120"/>
              <w:bottom w:type="dxa" w:w="80"/>
              <w:right w:type="dxa" w:w="120"/>
            </w:tcMar>
          </w:tcPr>
          <w:p>
            <w:pPr>
              <w:spacing w:after="20" w:before="20"/>
            </w:pPr>
            <w:r>
              <w:rPr>
                <w:rFonts w:ascii="Arial" w:cs="Arial" w:eastAsia="Arial" w:hAnsi="Arial"/>
                <w:b w:val="false"/>
                <w:bCs w:val="false"/>
                <w:color w:val="404040"/>
                <w:sz w:val="20"/>
                <w:szCs w:val="20"/>
              </w:rPr>
              <w:t xml:space="preserve">TD6_G1_YFA_2026-03-15.zip present in root directory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20" w:before="20"/>
            </w:pPr>
            <w:r>
              <w:rPr>
                <w:rFonts w:ascii="Arial" w:cs="Arial" w:eastAsia="Arial" w:hAnsi="Arial"/>
                <w:i/>
                <w:iCs/>
                <w:color w:val="375623"/>
                <w:sz w:val="21"/>
                <w:szCs w:val="21"/>
              </w:rPr>
              <w:t xml:space="preserve">Completeness verdict: 24/24 items present. Repository fully compliant with the TD6 specification.</w:t>
            </w:r>
          </w:p>
        </w:tc>
      </w:tr>
    </w:tbl>
    <w:p>
      <w:r>
        <w:br w:type="page"/>
      </w:r>
    </w:p>
    <w:p>
      <w:pPr>
        <w:pStyle w:val="Heading1"/>
        <w:pBdr>
          <w:bottom w:val="single" w:color="2E75B6" w:sz="8" w:space="4"/>
        </w:pBdr>
        <w:spacing w:after="160" w:before="400"/>
      </w:pPr>
      <w:r>
        <w:rPr>
          <w:rFonts w:ascii="Arial" w:cs="Arial" w:eastAsia="Arial" w:hAnsi="Arial"/>
          <w:b/>
          <w:bCs/>
          <w:color w:val="1F3864"/>
          <w:sz w:val="32"/>
          <w:szCs w:val="32"/>
        </w:rPr>
        <w:t xml:space="preserve">2. Review Checklist (Official TD6 §5 Criteria)</w:t>
      </w:r>
    </w:p>
    <w:p>
      <w:pPr>
        <w:pStyle w:val="Heading2"/>
        <w:spacing w:after="120" w:before="280"/>
      </w:pPr>
      <w:r>
        <w:rPr>
          <w:rFonts w:ascii="Arial" w:cs="Arial" w:eastAsia="Arial" w:hAnsi="Arial"/>
          <w:b/>
          <w:bCs/>
          <w:color w:val="2E75B6"/>
          <w:sz w:val="26"/>
          <w:szCs w:val="26"/>
        </w:rPr>
        <w:t xml:space="preserve">2.1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Status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Firewall policy is understandable without guessing</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Claims table is readable without referring back to source TDs</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Control locations are clearly named</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bl>
    <w:p>
      <w:pPr>
        <w:spacing w:after="80" w:before="80"/>
      </w:pPr>
      <w:r>
        <w:t xml:space="preserve"/>
      </w:r>
    </w:p>
    <w:p>
      <w:pPr>
        <w:spacing w:after="80" w:before="60"/>
      </w:pPr>
      <w:r>
        <w:rPr>
          <w:rFonts w:ascii="Arial" w:cs="Arial" w:eastAsia="Arial" w:hAnsi="Arial"/>
          <w:b/>
          <w:bCs/>
          <w:color w:val="000000"/>
          <w:sz w:val="22"/>
          <w:szCs w:val="22"/>
        </w:rPr>
        <w:t xml:space="preserve">Analysis:  </w:t>
      </w:r>
      <w:r>
        <w:rPr>
          <w:rFonts w:ascii="Arial" w:cs="Arial" w:eastAsia="Arial" w:hAnsi="Arial"/>
          <w:sz w:val="22"/>
          <w:szCs w:val="22"/>
        </w:rPr>
        <w:t xml:space="preserve">nftables.conf is perfectly readable (31 lines), each rule carrying real packet counters (packets 96, packets 2…) that prove effective execution. The default-drop policy is explicit on both forward and input chains. The 14-claim table in Final_Report.md is fully self-contained: each claim cites its control, config snippet, regression test, and telemetry artifact.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20" w:before="20"/>
            </w:pPr>
            <w:r>
              <w:rPr>
                <w:rFonts w:ascii="Arial" w:cs="Arial" w:eastAsia="Arial" w:hAnsi="Arial"/>
                <w:i/>
                <w:iCs/>
                <w:color w:val="7F4B00"/>
                <w:sz w:val="21"/>
                <w:szCs w:val="21"/>
              </w:rPr>
              <w:t xml:space="preserve">Minor point: the security.OUTPUT chain in nftables.conf contains apparently duplicate rules for 168.63.129.16 (Azure guest agent). No security risk, but should be cleaned up for readability.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2.2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Status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bash tests/regression/run_all.sh executes without structural errors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R1_firewall.sh produces meaningful output</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R2_tls.sh produces meaningful output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R3_remote_access.sh produces meaningful output</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R4_detection.sh produces meaningful output</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bl>
    <w:p>
      <w:pPr>
        <w:spacing w:after="80" w:before="80"/>
      </w:pPr>
      <w:r>
        <w:t xml:space="preserve"/>
      </w:r>
    </w:p>
    <w:p>
      <w:pPr>
        <w:spacing w:after="80" w:before="60"/>
      </w:pPr>
      <w:r>
        <w:rPr>
          <w:rFonts w:ascii="Arial" w:cs="Arial" w:eastAsia="Arial" w:hAnsi="Arial"/>
          <w:b/>
          <w:bCs/>
          <w:color w:val="000000"/>
          <w:sz w:val="22"/>
          <w:szCs w:val="22"/>
        </w:rPr>
        <w:t xml:space="preserve">run_all.sh:  </w:t>
      </w:r>
      <w:r>
        <w:rPr>
          <w:rFonts w:ascii="Arial" w:cs="Arial" w:eastAsia="Arial" w:hAnsi="Arial"/>
          <w:sz w:val="22"/>
          <w:szCs w:val="22"/>
        </w:rPr>
        <w:t xml:space="preserve">Correctly structured (set -euo pipefail), exit-code handling, timestamped results in results/&lt;TIMESTAMP&gt;/. R1→R4 orchestrated in order, exit 1 if a critical test fails.</w:t>
      </w:r>
    </w:p>
    <w:p>
      <w:pPr>
        <w:spacing w:after="80" w:before="60"/>
      </w:pPr>
      <w:r>
        <w:rPr>
          <w:rFonts w:ascii="Arial" w:cs="Arial" w:eastAsia="Arial" w:hAnsi="Arial"/>
          <w:b/>
          <w:bCs/>
          <w:color w:val="000000"/>
          <w:sz w:val="22"/>
          <w:szCs w:val="22"/>
        </w:rPr>
        <w:t xml:space="preserve">R2_tls.sh:  </w:t>
      </w:r>
      <w:r>
        <w:rPr>
          <w:rFonts w:ascii="Arial" w:cs="Arial" w:eastAsia="Arial" w:hAnsi="Arial"/>
          <w:sz w:val="22"/>
          <w:szCs w:val="22"/>
        </w:rPr>
        <w:t xml:space="preserve">OpenSSL 3.0 compatibility handled (TLS 1.0 rejected client-side before the connection attempt). Rate-limiting logic is robust: if 5 sequential requests yield no 503, the script retries with 10 parallel requests.</w:t>
      </w:r>
    </w:p>
    <w:p>
      <w:pPr>
        <w:spacing w:after="80" w:before="60"/>
      </w:pPr>
      <w:r>
        <w:rPr>
          <w:rFonts w:ascii="Arial" w:cs="Arial" w:eastAsia="Arial" w:hAnsi="Arial"/>
          <w:b/>
          <w:bCs/>
          <w:color w:val="000000"/>
          <w:sz w:val="22"/>
          <w:szCs w:val="22"/>
        </w:rPr>
        <w:t xml:space="preserve">R3_remote_access.sh:  </w:t>
      </w:r>
      <w:r>
        <w:rPr>
          <w:rFonts w:ascii="Arial" w:cs="Arial" w:eastAsia="Arial" w:hAnsi="Arial"/>
          <w:sz w:val="22"/>
          <w:szCs w:val="22"/>
        </w:rPr>
        <w:t xml:space="preserve">C-VPN-03 (SSH unreachable without tunnel) actually brings down the tunnel via ipsec down on siteA-gw, attempts SSH, then restores it — compliant with TD6 §4-B3.</w:t>
      </w:r>
    </w:p>
    <w:p>
      <w:pPr>
        <w:spacing w:after="80" w:before="60"/>
      </w:pPr>
      <w:r>
        <w:rPr>
          <w:rFonts w:ascii="Arial" w:cs="Arial" w:eastAsia="Arial" w:hAnsi="Arial"/>
          <w:b/>
          <w:bCs/>
          <w:color w:val="000000"/>
          <w:sz w:val="22"/>
          <w:szCs w:val="22"/>
        </w:rPr>
        <w:t xml:space="preserve">R4_detection.sh:  </w:t>
      </w:r>
      <w:r>
        <w:rPr>
          <w:rFonts w:ascii="Arial" w:cs="Arial" w:eastAsia="Arial" w:hAnsi="Arial"/>
          <w:sz w:val="22"/>
          <w:szCs w:val="22"/>
        </w:rPr>
        <w:t xml:space="preserve">run_on_gw() helper allows execution from kali/client via SSH or directly on gw-fw. Before/after counting on both SIDs (2024364 ET Open + 9000001 custom) avoids false positives from residual alerts.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20" w:before="20"/>
            </w:pPr>
            <w:r>
              <w:rPr>
                <w:rFonts w:ascii="Arial" w:cs="Arial" w:eastAsia="Arial" w:hAnsi="Arial"/>
                <w:i/>
                <w:iCs/>
                <w:color w:val="7F4B00"/>
                <w:sz w:val="21"/>
                <w:szCs w:val="21"/>
              </w:rPr>
              <w:t xml:space="preserve">Blockers: R3 and R4 depend on ~/.ssh/id_ed25519 presence and SSH access to azureuser@10.10.10.4. A tests/regression/README_prereqs.md documenting these prerequisites would significantly improve from-scratch reproducibility.</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2.3 Evidence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Status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All claims in Final_Report.md cite exact evidence files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Log excerpts are tied to specific tests (timestamps match)</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There is evidence of before AND after states (not just after)</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bl>
    <w:p>
      <w:pPr>
        <w:spacing w:after="80" w:before="80"/>
      </w:pPr>
      <w:r>
        <w:t xml:space="preserve"/>
      </w:r>
    </w:p>
    <w:p>
      <w:pPr>
        <w:spacing w:after="80" w:before="60"/>
      </w:pPr>
      <w:r>
        <w:rPr>
          <w:rFonts w:ascii="Arial" w:cs="Arial" w:eastAsia="Arial" w:hAnsi="Arial"/>
          <w:sz w:val="22"/>
          <w:szCs w:val="22"/>
        </w:rPr>
        <w:t xml:space="preserve">Verified claim by claim:</w:t>
      </w:r>
    </w:p>
    <w:p>
      <w:pPr>
        <w:pStyle w:val="ListParagraph"/>
        <w:numPr>
          <w:ilvl w:val="0"/>
          <w:numId w:val="2"/>
        </w:numPr>
        <w:spacing w:after="40" w:before="40"/>
      </w:pPr>
      <w:r>
        <w:rPr>
          <w:rFonts w:ascii="Arial" w:cs="Arial" w:eastAsia="Arial" w:hAnsi="Arial"/>
          <w:sz w:val="22"/>
          <w:szCs w:val="22"/>
        </w:rPr>
        <w:t xml:space="preserve">C-FW-01/02/03 → controls/firewall/nftables.conf + evidence/after/firewall_drops.txt ✅</w:t>
      </w:r>
    </w:p>
    <w:p>
      <w:pPr>
        <w:pStyle w:val="ListParagraph"/>
        <w:numPr>
          <w:ilvl w:val="0"/>
          <w:numId w:val="2"/>
        </w:numPr>
        <w:spacing w:after="40" w:before="40"/>
      </w:pPr>
      <w:r>
        <w:rPr>
          <w:rFonts w:ascii="Arial" w:cs="Arial" w:eastAsia="Arial" w:hAnsi="Arial"/>
          <w:sz w:val="22"/>
          <w:szCs w:val="22"/>
        </w:rPr>
        <w:t xml:space="preserve">C-TLS-01/02/03 → controls/tls_edge/nginx_after.conf + sslscan_after.txt / curl_hsts_check.txt ✅</w:t>
      </w:r>
    </w:p>
    <w:p>
      <w:pPr>
        <w:pStyle w:val="ListParagraph"/>
        <w:numPr>
          <w:ilvl w:val="0"/>
          <w:numId w:val="2"/>
        </w:numPr>
        <w:spacing w:after="40" w:before="40"/>
      </w:pPr>
      <w:r>
        <w:rPr>
          <w:rFonts w:ascii="Arial" w:cs="Arial" w:eastAsia="Arial" w:hAnsi="Arial"/>
          <w:sz w:val="22"/>
          <w:szCs w:val="22"/>
        </w:rPr>
        <w:t xml:space="preserve">C-TLS-04 → controls/tls_edge/nginx_conf_ratelimit.txt + evidence/after/rate_limit_test.txt ✅</w:t>
      </w:r>
    </w:p>
    <w:p>
      <w:pPr>
        <w:pStyle w:val="ListParagraph"/>
        <w:numPr>
          <w:ilvl w:val="0"/>
          <w:numId w:val="2"/>
        </w:numPr>
        <w:spacing w:after="40" w:before="40"/>
      </w:pPr>
      <w:r>
        <w:rPr>
          <w:rFonts w:ascii="Arial" w:cs="Arial" w:eastAsia="Arial" w:hAnsi="Arial"/>
          <w:sz w:val="22"/>
          <w:szCs w:val="22"/>
        </w:rPr>
        <w:t xml:space="preserve">C-IDS-01/02/03 → controls/ids/suricata.yaml / local.rules + suricata_stats.txt / fast_log_nmap.txt / fast_log_admin.txt ✅</w:t>
      </w:r>
    </w:p>
    <w:p>
      <w:pPr>
        <w:pStyle w:val="ListParagraph"/>
        <w:numPr>
          <w:ilvl w:val="0"/>
          <w:numId w:val="2"/>
        </w:numPr>
        <w:spacing w:after="40" w:before="40"/>
      </w:pPr>
      <w:r>
        <w:rPr>
          <w:rFonts w:ascii="Arial" w:cs="Arial" w:eastAsia="Arial" w:hAnsi="Arial"/>
          <w:sz w:val="22"/>
          <w:szCs w:val="22"/>
        </w:rPr>
        <w:t xml:space="preserve">C-SSH-01/02 → controls/remote_access/99-td5-hardening.conf + evidence/after/authlog_excerpt.txt ✅</w:t>
      </w:r>
    </w:p>
    <w:p>
      <w:pPr>
        <w:pStyle w:val="ListParagraph"/>
        <w:numPr>
          <w:ilvl w:val="0"/>
          <w:numId w:val="2"/>
        </w:numPr>
        <w:spacing w:after="40" w:before="40"/>
      </w:pPr>
      <w:r>
        <w:rPr>
          <w:rFonts w:ascii="Arial" w:cs="Arial" w:eastAsia="Arial" w:hAnsi="Arial"/>
          <w:sz w:val="22"/>
          <w:szCs w:val="22"/>
        </w:rPr>
        <w:t xml:space="preserve">C-VPN-01/02 → controls/remote_access/ipsec.conf + ipsec_status_siteA.txt / esp_capture.txt ✅</w:t>
      </w:r>
    </w:p>
    <w:p>
      <w:pPr>
        <w:spacing w:after="80" w:before="80"/>
      </w:pPr>
      <w:r>
        <w:t xml:space="preserve"/>
      </w:r>
    </w:p>
    <w:p>
      <w:pPr>
        <w:spacing w:after="80" w:before="60"/>
      </w:pPr>
      <w:r>
        <w:rPr>
          <w:rFonts w:ascii="Arial" w:cs="Arial" w:eastAsia="Arial" w:hAnsi="Arial"/>
          <w:sz w:val="22"/>
          <w:szCs w:val="22"/>
        </w:rPr>
        <w:t xml:space="preserve">evidence/baseline/ contains pre-hardening states: nmap_srvweb.txt, cert_info_before.txt, counters_before.txt, sslscan_before.txt, alerts_excerpt_before.txt. Before/after comparison is quantified in the report (e.g., “Before: 16 non-ECDHE suites. After: 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pPr>
              <w:spacing w:after="20" w:before="20"/>
            </w:pPr>
            <w:r>
              <w:rPr>
                <w:rFonts w:ascii="Arial" w:cs="Arial" w:eastAsia="Arial" w:hAnsi="Arial"/>
                <w:i/>
                <w:iCs/>
                <w:color w:val="7F4B00"/>
                <w:sz w:val="21"/>
                <w:szCs w:val="21"/>
              </w:rPr>
              <w:t xml:space="preserve">Note: baseline.pcap.note.txt substitutes for the actual pcap (too large to submit). Acceptable, but an explicit note in Final_Report.md clarifying this substitution would prevent ambiguity during a third-party audit.</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2.4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960"/>
        <w:gridCol w:w="1400"/>
      </w:tblGrid>
      <w:tr>
        <w:tc>
          <w:tcPr>
            <w:tcW w:type="dxa" w:w="796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1400"/>
            <w:tcBorders>
              <w:top w:val="single" w:color="BFBFBF" w:sz="4"/>
              <w:left w:val="single" w:color="BFBFBF" w:sz="4"/>
              <w:bottom w:val="single" w:color="BFBFBF" w:sz="4"/>
              <w:right w:val="single" w:color="BFBFBF" w:sz="4"/>
            </w:tcBorders>
            <w:shd w:fill="2E75B6"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Status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Configs are readable and minimal (no dead rules, no commented-out blocks)</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There is documented temporary debt (lab constraints explicitly noted)</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r>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000000"/>
                <w:sz w:val="20"/>
                <w:szCs w:val="20"/>
              </w:rPr>
              <w:t xml:space="preserve">Another engineer could reproduce from scratch</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b w:val="false"/>
                <w:bCs w:val="false"/>
                <w:color w:val="375623"/>
                <w:sz w:val="20"/>
                <w:szCs w:val="20"/>
              </w:rPr>
              <w:t xml:space="preserve">✅ PASS</w:t>
            </w:r>
          </w:p>
        </w:tc>
      </w:tr>
    </w:tbl>
    <w:p>
      <w:pPr>
        <w:spacing w:after="80" w:before="80"/>
      </w:pPr>
      <w:r>
        <w:t xml:space="preserve"/>
      </w:r>
    </w:p>
    <w:p>
      <w:pPr>
        <w:spacing w:after="80" w:before="60"/>
      </w:pPr>
      <w:r>
        <w:rPr>
          <w:rFonts w:ascii="Arial" w:cs="Arial" w:eastAsia="Arial" w:hAnsi="Arial"/>
          <w:sz w:val="22"/>
          <w:szCs w:val="22"/>
        </w:rPr>
        <w:t xml:space="preserve">nftables.conf: 31 lines, each rule with a real counter. nginx_after.conf: clean structure. ipsec.conf/siteA/B: minimal strongSwan config, explicit IKEv2 parameters (AES-256/SHA-256/MODP-2048). 99-td5-hardening.conf: 6 sshd directives, clean drop-in.</w:t>
      </w:r>
    </w:p>
    <w:p>
      <w:pPr>
        <w:spacing w:after="80" w:before="60"/>
      </w:pPr>
      <w:r>
        <w:rPr>
          <w:rFonts w:ascii="Arial" w:cs="Arial" w:eastAsia="Arial" w:hAnsi="Arial"/>
          <w:sz w:val="22"/>
          <w:szCs w:val="22"/>
        </w:rPr>
        <w:t xml:space="preserve">architecture/assumptions.md is exemplary: 8 Azure + 4 AWS constraints documented with impact and resolution. Risk_Register.md classifies 15 risks with MITIGATED / PARTIAL / OPEN status, associated control, and 30/60/90-day plan link.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FBFBF" w:sz="4"/>
              <w:left w:val="single" w:color="BFBFBF" w:sz="4"/>
              <w:bottom w:val="single" w:color="BFBFBF" w:sz="4"/>
              <w:right w:val="single" w:color="BFBFBF" w:sz="4"/>
            </w:tcBorders>
            <w:shd w:fill="843C0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Debt ID</w:t>
            </w:r>
          </w:p>
        </w:tc>
        <w:tc>
          <w:tcPr>
            <w:tcW w:type="dxa" w:w="7760"/>
            <w:tcBorders>
              <w:top w:val="single" w:color="BFBFBF" w:sz="4"/>
              <w:left w:val="single" w:color="BFBFBF" w:sz="4"/>
              <w:bottom w:val="single" w:color="BFBFBF" w:sz="4"/>
              <w:right w:val="single" w:color="BFBFBF" w:sz="4"/>
            </w:tcBorders>
            <w:shd w:fill="843C0C"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Description</w:t>
            </w:r>
          </w:p>
        </w:tc>
      </w:tr>
      <w:tr>
        <w:tc>
          <w:tcPr>
            <w:tcW w:type="dxa" w:w="1600"/>
            <w:tcBorders>
              <w:top w:val="single" w:color="BFBFBF" w:sz="4"/>
              <w:left w:val="single" w:color="BFBFBF" w:sz="4"/>
              <w:bottom w:val="single" w:color="BFBFBF" w:sz="4"/>
              <w:right w:val="single" w:color="BFBFBF" w:sz="4"/>
            </w:tcBorders>
            <w:shd w:fill="FFFCE6" w:val="clear"/>
            <w:tcMar>
              <w:top w:type="dxa" w:w="80"/>
              <w:left w:type="dxa" w:w="120"/>
              <w:bottom w:type="dxa" w:w="80"/>
              <w:right w:type="dxa" w:w="120"/>
            </w:tcMar>
          </w:tcPr>
          <w:p>
            <w:pPr>
              <w:spacing w:after="20" w:before="20"/>
            </w:pPr>
            <w:r>
              <w:rPr>
                <w:rFonts w:ascii="Arial" w:cs="Arial" w:eastAsia="Arial" w:hAnsi="Arial"/>
                <w:b w:val="false"/>
                <w:bCs w:val="false"/>
                <w:color w:val="843C0C"/>
                <w:sz w:val="20"/>
                <w:szCs w:val="20"/>
              </w:rPr>
              <w:t xml:space="preserve">R-11</w:t>
            </w:r>
          </w:p>
        </w:tc>
        <w:tc>
          <w:tcPr>
            <w:tcW w:type="dxa" w:w="7760"/>
            <w:tcBorders>
              <w:top w:val="single" w:color="BFBFBF" w:sz="4"/>
              <w:left w:val="single" w:color="BFBFBF" w:sz="4"/>
              <w:bottom w:val="single" w:color="BFBFBF" w:sz="4"/>
              <w:right w:val="single" w:color="BFBFBF" w:sz="4"/>
            </w:tcBorders>
            <w:shd w:fill="FFFCE6" w:val="clear"/>
            <w:tcMar>
              <w:top w:type="dxa" w:w="80"/>
              <w:left w:type="dxa" w:w="120"/>
              <w:bottom w:type="dxa" w:w="80"/>
              <w:right w:type="dxa" w:w="120"/>
            </w:tcMar>
          </w:tcPr>
          <w:p>
            <w:pPr>
              <w:spacing w:after="20" w:before="20"/>
            </w:pPr>
            <w:r>
              <w:rPr>
                <w:rFonts w:ascii="Arial" w:cs="Arial" w:eastAsia="Arial" w:hAnsi="Arial"/>
                <w:b w:val="false"/>
                <w:bCs w:val="false"/>
                <w:color w:val="7F4B00"/>
                <w:sz w:val="20"/>
                <w:szCs w:val="20"/>
              </w:rPr>
              <w:t xml:space="preserve">Self-signed certificate expired 2026-03-18. ACME/Let’s Encrypt planned at 30 days — priority fix post-TD.</w:t>
            </w:r>
          </w:p>
        </w:tc>
      </w:tr>
      <w:tr>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20" w:before="20"/>
            </w:pPr>
            <w:r>
              <w:rPr>
                <w:rFonts w:ascii="Arial" w:cs="Arial" w:eastAsia="Arial" w:hAnsi="Arial"/>
                <w:b w:val="false"/>
                <w:bCs w:val="false"/>
                <w:color w:val="843C0C"/>
                <w:sz w:val="20"/>
                <w:szCs w:val="20"/>
              </w:rPr>
              <w:t xml:space="preserve">R-12</w:t>
            </w:r>
          </w:p>
        </w:tc>
        <w:tc>
          <w:tcPr>
            <w:tcW w:type="dxa" w:w="7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20" w:before="20"/>
            </w:pPr>
            <w:r>
              <w:rPr>
                <w:rFonts w:ascii="Arial" w:cs="Arial" w:eastAsia="Arial" w:hAnsi="Arial"/>
                <w:b w:val="false"/>
                <w:bCs w:val="false"/>
                <w:color w:val="7F4B00"/>
                <w:sz w:val="20"/>
                <w:szCs w:val="20"/>
              </w:rPr>
              <w:t xml:space="preserve">ssl_session_tickets off not applied in nginx_after.conf. 1-line fix, high impact on forward secrecy.</w:t>
            </w:r>
          </w:p>
        </w:tc>
      </w:tr>
      <w:tr>
        <w:tc>
          <w:tcPr>
            <w:tcW w:type="dxa" w:w="1600"/>
            <w:tcBorders>
              <w:top w:val="single" w:color="BFBFBF" w:sz="4"/>
              <w:left w:val="single" w:color="BFBFBF" w:sz="4"/>
              <w:bottom w:val="single" w:color="BFBFBF" w:sz="4"/>
              <w:right w:val="single" w:color="BFBFBF" w:sz="4"/>
            </w:tcBorders>
            <w:shd w:fill="FFFCE6" w:val="clear"/>
            <w:tcMar>
              <w:top w:type="dxa" w:w="80"/>
              <w:left w:type="dxa" w:w="120"/>
              <w:bottom w:type="dxa" w:w="80"/>
              <w:right w:type="dxa" w:w="120"/>
            </w:tcMar>
          </w:tcPr>
          <w:p>
            <w:pPr>
              <w:spacing w:after="20" w:before="20"/>
            </w:pPr>
            <w:r>
              <w:rPr>
                <w:rFonts w:ascii="Arial" w:cs="Arial" w:eastAsia="Arial" w:hAnsi="Arial"/>
                <w:b w:val="false"/>
                <w:bCs w:val="false"/>
                <w:color w:val="843C0C"/>
                <w:sz w:val="20"/>
                <w:szCs w:val="20"/>
              </w:rPr>
              <w:t xml:space="preserve">nftables</w:t>
            </w:r>
          </w:p>
        </w:tc>
        <w:tc>
          <w:tcPr>
            <w:tcW w:type="dxa" w:w="7760"/>
            <w:tcBorders>
              <w:top w:val="single" w:color="BFBFBF" w:sz="4"/>
              <w:left w:val="single" w:color="BFBFBF" w:sz="4"/>
              <w:bottom w:val="single" w:color="BFBFBF" w:sz="4"/>
              <w:right w:val="single" w:color="BFBFBF" w:sz="4"/>
            </w:tcBorders>
            <w:shd w:fill="FFFCE6" w:val="clear"/>
            <w:tcMar>
              <w:top w:type="dxa" w:w="80"/>
              <w:left w:type="dxa" w:w="120"/>
              <w:bottom w:type="dxa" w:w="80"/>
              <w:right w:type="dxa" w:w="120"/>
            </w:tcMar>
          </w:tcPr>
          <w:p>
            <w:pPr>
              <w:spacing w:after="20" w:before="20"/>
            </w:pPr>
            <w:r>
              <w:rPr>
                <w:rFonts w:ascii="Arial" w:cs="Arial" w:eastAsia="Arial" w:hAnsi="Arial"/>
                <w:b w:val="false"/>
                <w:bCs w:val="false"/>
                <w:color w:val="7F4B00"/>
                <w:sz w:val="20"/>
                <w:szCs w:val="20"/>
              </w:rPr>
              <w:t xml:space="preserve">Duplicate patterns for 168.63.129.16 in security.OUTPUT. No security risk, but a readability debt.</w:t>
            </w:r>
          </w:p>
        </w:tc>
      </w:tr>
      <w:tr>
        <w:tc>
          <w:tcPr>
            <w:tcW w:type="dxa" w:w="160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20" w:before="20"/>
            </w:pPr>
            <w:r>
              <w:rPr>
                <w:rFonts w:ascii="Arial" w:cs="Arial" w:eastAsia="Arial" w:hAnsi="Arial"/>
                <w:b w:val="false"/>
                <w:bCs w:val="false"/>
                <w:color w:val="843C0C"/>
                <w:sz w:val="20"/>
                <w:szCs w:val="20"/>
              </w:rPr>
              <w:t xml:space="preserve">Tests</w:t>
            </w:r>
          </w:p>
        </w:tc>
        <w:tc>
          <w:tcPr>
            <w:tcW w:type="dxa" w:w="7760"/>
            <w:tcBorders>
              <w:top w:val="single" w:color="BFBFBF" w:sz="4"/>
              <w:left w:val="single" w:color="BFBFBF" w:sz="4"/>
              <w:bottom w:val="single" w:color="BFBFBF" w:sz="4"/>
              <w:right w:val="single" w:color="BFBFBF" w:sz="4"/>
            </w:tcBorders>
            <w:shd w:fill="FFF2CC" w:val="clear"/>
            <w:tcMar>
              <w:top w:type="dxa" w:w="80"/>
              <w:left w:type="dxa" w:w="120"/>
              <w:bottom w:type="dxa" w:w="80"/>
              <w:right w:type="dxa" w:w="120"/>
            </w:tcMar>
          </w:tcPr>
          <w:p>
            <w:pPr>
              <w:spacing w:after="20" w:before="20"/>
            </w:pPr>
            <w:r>
              <w:rPr>
                <w:rFonts w:ascii="Arial" w:cs="Arial" w:eastAsia="Arial" w:hAnsi="Arial"/>
                <w:b w:val="false"/>
                <w:bCs w:val="false"/>
                <w:color w:val="7F4B00"/>
                <w:sz w:val="20"/>
                <w:szCs w:val="20"/>
              </w:rPr>
              <w:t xml:space="preserve">Missing tests/regression/README_prereqs.md for SSH prerequisites (ED25519 key, gw-fw access).</w:t>
            </w:r>
          </w:p>
        </w:tc>
      </w:tr>
    </w:tbl>
    <w:p>
      <w:r>
        <w:br w:type="page"/>
      </w:r>
    </w:p>
    <w:p>
      <w:pPr>
        <w:pStyle w:val="Heading1"/>
        <w:pBdr>
          <w:bottom w:val="single" w:color="2E75B6" w:sz="8" w:space="4"/>
        </w:pBdr>
        <w:spacing w:after="160" w:before="400"/>
      </w:pPr>
      <w:r>
        <w:rPr>
          <w:rFonts w:ascii="Arial" w:cs="Arial" w:eastAsia="Arial" w:hAnsi="Arial"/>
          <w:b/>
          <w:bCs/>
          <w:color w:val="1F3864"/>
          <w:sz w:val="32"/>
          <w:szCs w:val="32"/>
        </w:rPr>
        <w:t xml:space="preserve">3. Overall Feedback</w:t>
      </w:r>
    </w:p>
    <w:p>
      <w:pPr>
        <w:pStyle w:val="Heading2"/>
        <w:spacing w:after="120" w:before="280"/>
      </w:pPr>
      <w:r>
        <w:rPr>
          <w:rFonts w:ascii="Arial" w:cs="Arial" w:eastAsia="Arial" w:hAnsi="Arial"/>
          <w:b/>
          <w:bCs/>
          <w:color w:val="2E75B6"/>
          <w:sz w:val="26"/>
          <w:szCs w:val="26"/>
        </w:rPr>
        <w:t xml:space="preserve">3.1 Strengths</w:t>
      </w:r>
    </w:p>
    <w:p>
      <w:pPr>
        <w:spacing w:after="80" w:before="60"/>
      </w:pPr>
      <w:r>
        <w:rPr>
          <w:rFonts w:ascii="Arial" w:cs="Arial" w:eastAsia="Arial" w:hAnsi="Arial"/>
          <w:b/>
          <w:bCs/>
          <w:color w:val="000000"/>
          <w:sz w:val="22"/>
          <w:szCs w:val="22"/>
        </w:rPr>
        <w:t xml:space="preserve">1. Exemplary claims table</w:t>
      </w:r>
      <w:r>
        <w:rPr>
          <w:rFonts w:ascii="Arial" w:cs="Arial" w:eastAsia="Arial" w:hAnsi="Arial"/>
          <w:sz w:val="22"/>
          <w:szCs w:val="22"/>
        </w:rPr>
        <w:t xml:space="preserve"> — 14 testable claims, each expressed as a precise active-voice statement with triple artifacts (config + test + telemetry). This is exactly what TD6 requires and is rarely achieved with this level of precision at the lab level.</w:t>
      </w:r>
    </w:p>
    <w:p>
      <w:pPr>
        <w:spacing w:after="80" w:before="80"/>
      </w:pPr>
      <w:r>
        <w:t xml:space="preserve"/>
      </w:r>
    </w:p>
    <w:p>
      <w:pPr>
        <w:spacing w:after="80" w:before="60"/>
      </w:pPr>
      <w:r>
        <w:rPr>
          <w:rFonts w:ascii="Arial" w:cs="Arial" w:eastAsia="Arial" w:hAnsi="Arial"/>
          <w:b/>
          <w:bCs/>
          <w:color w:val="000000"/>
          <w:sz w:val="22"/>
          <w:szCs w:val="22"/>
        </w:rPr>
        <w:t xml:space="preserve">2. Mature regression suite</w:t>
      </w:r>
      <w:r>
        <w:rPr>
          <w:rFonts w:ascii="Arial" w:cs="Arial" w:eastAsia="Arial" w:hAnsi="Arial"/>
          <w:sz w:val="22"/>
          <w:szCs w:val="22"/>
        </w:rPr>
        <w:t xml:space="preserve"> — The 4 scripts (R1–R4) exceed the expected baseline: OpenSSL 3.0 edge-case handling, transparent SSH helper for R4, actual VPN tunnel down/up in R3. run_all.sh with timestamping and non-zero exit codes is directly usable in a CI/CD pipeline.</w:t>
      </w:r>
    </w:p>
    <w:p>
      <w:pPr>
        <w:spacing w:after="80" w:before="80"/>
      </w:pPr>
      <w:r>
        <w:t xml:space="preserve"/>
      </w:r>
    </w:p>
    <w:p>
      <w:pPr>
        <w:spacing w:after="80" w:before="60"/>
      </w:pPr>
      <w:r>
        <w:rPr>
          <w:rFonts w:ascii="Arial" w:cs="Arial" w:eastAsia="Arial" w:hAnsi="Arial"/>
          <w:b/>
          <w:bCs/>
          <w:color w:val="000000"/>
          <w:sz w:val="22"/>
          <w:szCs w:val="22"/>
        </w:rPr>
        <w:t xml:space="preserve">3. Outstanding multi-cloud architecture documentation</w:t>
      </w:r>
      <w:r>
        <w:rPr>
          <w:rFonts w:ascii="Arial" w:cs="Arial" w:eastAsia="Arial" w:hAnsi="Arial"/>
          <w:sz w:val="22"/>
          <w:szCs w:val="22"/>
        </w:rPr>
        <w:t xml:space="preserve"> — The handling of Azure constraints (UDRs, NIC IP Forwarding, blocked promiscuous mode, asymmetric SNAT routing) and AWS specifics (1:1 NAT, Elastic IP) in assumptions.md is a model for decision traceability.</w:t>
      </w:r>
    </w:p>
    <w:p>
      <w:pPr>
        <w:spacing w:after="80" w:before="80"/>
      </w:pPr>
      <w:r>
        <w:t xml:space="preserve"/>
      </w:r>
    </w:p>
    <w:p>
      <w:pPr>
        <w:spacing w:after="80" w:before="60"/>
      </w:pPr>
      <w:r>
        <w:rPr>
          <w:rFonts w:ascii="Arial" w:cs="Arial" w:eastAsia="Arial" w:hAnsi="Arial"/>
          <w:b/>
          <w:bCs/>
          <w:color w:val="000000"/>
          <w:sz w:val="22"/>
          <w:szCs w:val="22"/>
        </w:rPr>
        <w:t xml:space="preserve">4. Complete Risk Register</w:t>
      </w:r>
      <w:r>
        <w:rPr>
          <w:rFonts w:ascii="Arial" w:cs="Arial" w:eastAsia="Arial" w:hAnsi="Arial"/>
          <w:sz w:val="22"/>
          <w:szCs w:val="22"/>
        </w:rPr>
        <w:t xml:space="preserve"> — 15 risks scored Impact × Exploitability with MITIGATED / PARTIAL / OPEN status, associated control, and plan link. The explicit acknowledgment of residual risks (R11 cert, R12 session tickets, R13 API auth, R14 PSK) demonstrates real security maturity.</w:t>
      </w:r>
    </w:p>
    <w:p>
      <w:pPr>
        <w:spacing w:after="80" w:before="80"/>
      </w:pPr>
      <w:r>
        <w:t xml:space="preserve"/>
      </w:r>
    </w:p>
    <w:p>
      <w:pPr>
        <w:spacing w:after="80" w:before="60"/>
      </w:pPr>
      <w:r>
        <w:rPr>
          <w:rFonts w:ascii="Arial" w:cs="Arial" w:eastAsia="Arial" w:hAnsi="Arial"/>
          <w:b/>
          <w:bCs/>
          <w:color w:val="000000"/>
          <w:sz w:val="22"/>
          <w:szCs w:val="22"/>
        </w:rPr>
        <w:t xml:space="preserve">5. Full TD1 → TD6 continuity</w:t>
      </w:r>
      <w:r>
        <w:rPr>
          <w:rFonts w:ascii="Arial" w:cs="Arial" w:eastAsia="Arial" w:hAnsi="Arial"/>
          <w:sz w:val="22"/>
          <w:szCs w:val="22"/>
        </w:rPr>
        <w:t xml:space="preserve"> — The integration is solid. No TD is omitted from the artifacts. The TD1 baseline → TD2 firewall → TD3 IDS → TD4 TLS → TD5 VPN → TD6 final pack chain is complete and traceable throughout the repository.</w:t>
      </w:r>
    </w:p>
    <w:p>
      <w:pPr>
        <w:spacing w:after="80" w:before="80"/>
      </w:pPr>
      <w:r>
        <w:t xml:space="preserve"/>
      </w:r>
    </w:p>
    <w:p>
      <w:pPr>
        <w:spacing w:after="80" w:before="60"/>
      </w:pPr>
      <w:r>
        <w:rPr>
          <w:rFonts w:ascii="Arial" w:cs="Arial" w:eastAsia="Arial" w:hAnsi="Arial"/>
          <w:b/>
          <w:bCs/>
          <w:color w:val="000000"/>
          <w:sz w:val="22"/>
          <w:szCs w:val="22"/>
        </w:rPr>
        <w:t xml:space="preserve">6. Honest acknowledgment of limitations</w:t>
      </w:r>
      <w:r>
        <w:rPr>
          <w:rFonts w:ascii="Arial" w:cs="Arial" w:eastAsia="Arial" w:hAnsi="Arial"/>
          <w:sz w:val="22"/>
          <w:szCs w:val="22"/>
        </w:rPr>
        <w:t xml:space="preserve"> — Explicitly documenting what was not implemented (sdwan_zt, PSK → X.509, session tickets, expired cert) is a mark of professionalism that many projects omit.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Gaps to Address</w:t>
      </w:r>
    </w:p>
    <w:p>
      <w:pPr>
        <w:spacing w:after="80" w:before="60"/>
      </w:pPr>
      <w:r>
        <w:rPr>
          <w:rFonts w:ascii="Arial" w:cs="Arial" w:eastAsia="Arial" w:hAnsi="Arial"/>
          <w:b/>
          <w:bCs/>
          <w:color w:val="000000"/>
          <w:sz w:val="22"/>
          <w:szCs w:val="22"/>
        </w:rPr>
        <w:t xml:space="preserve">A. From-scratch reproducibility</w:t>
      </w:r>
      <w:r>
        <w:rPr>
          <w:rFonts w:ascii="Arial" w:cs="Arial" w:eastAsia="Arial" w:hAnsi="Arial"/>
          <w:sz w:val="22"/>
          <w:szCs w:val="22"/>
        </w:rPr>
        <w:t xml:space="preserve"> — Create tests/regression/README_prereqs.md listing: SSH key path (~/.ssh/id_ed25519), access to azureuser@10.10.10.4, expected tool versions. Without this, a third party cannot replay the suite without prior debugging.</w:t>
      </w:r>
    </w:p>
    <w:p>
      <w:pPr>
        <w:spacing w:after="80" w:before="80"/>
      </w:pPr>
      <w:r>
        <w:t xml:space="preserve"/>
      </w:r>
    </w:p>
    <w:p>
      <w:pPr>
        <w:spacing w:after="80" w:before="60"/>
      </w:pPr>
      <w:r>
        <w:rPr>
          <w:rFonts w:ascii="Arial" w:cs="Arial" w:eastAsia="Arial" w:hAnsi="Arial"/>
          <w:b/>
          <w:bCs/>
          <w:color w:val="000000"/>
          <w:sz w:val="22"/>
          <w:szCs w:val="22"/>
        </w:rPr>
        <w:t xml:space="preserve">B. R-12 fix (ssl_session_tickets)</w:t>
      </w:r>
      <w:r>
        <w:rPr>
          <w:rFonts w:ascii="Arial" w:cs="Arial" w:eastAsia="Arial" w:hAnsi="Arial"/>
          <w:sz w:val="22"/>
          <w:szCs w:val="22"/>
        </w:rPr>
        <w:t xml:space="preserve"> — Adding ssl_session_tickets off; to nginx_after.conf is a 1-line change that closes the last forward-secrecy gap identified in the Risk Register.</w:t>
      </w:r>
    </w:p>
    <w:p>
      <w:pPr>
        <w:spacing w:after="80" w:before="80"/>
      </w:pPr>
      <w:r>
        <w:t xml:space="preserve"/>
      </w:r>
    </w:p>
    <w:p>
      <w:pPr>
        <w:spacing w:after="80" w:before="60"/>
      </w:pPr>
      <w:r>
        <w:rPr>
          <w:rFonts w:ascii="Arial" w:cs="Arial" w:eastAsia="Arial" w:hAnsi="Arial"/>
          <w:b/>
          <w:bCs/>
          <w:color w:val="000000"/>
          <w:sz w:val="22"/>
          <w:szCs w:val="22"/>
        </w:rPr>
        <w:t xml:space="preserve">C. nftables cleanup</w:t>
      </w:r>
      <w:r>
        <w:rPr>
          <w:rFonts w:ascii="Arial" w:cs="Arial" w:eastAsia="Arial" w:hAnsi="Arial"/>
          <w:sz w:val="22"/>
          <w:szCs w:val="22"/>
        </w:rPr>
        <w:t xml:space="preserve"> — Deduplicate the near-identical patterns for 168.63.129.16 in the security.OUTPUT chain. No security risk, improves readability and maintainability.</w:t>
      </w:r>
    </w:p>
    <w:p>
      <w:pPr>
        <w:spacing w:after="80" w:before="80"/>
      </w:pPr>
      <w:r>
        <w:t xml:space="preserve"/>
      </w:r>
    </w:p>
    <w:p>
      <w:pPr>
        <w:spacing w:after="80" w:before="60"/>
      </w:pPr>
      <w:r>
        <w:rPr>
          <w:rFonts w:ascii="Arial" w:cs="Arial" w:eastAsia="Arial" w:hAnsi="Arial"/>
          <w:b/>
          <w:bCs/>
          <w:color w:val="000000"/>
          <w:sz w:val="22"/>
          <w:szCs w:val="22"/>
        </w:rPr>
        <w:t xml:space="preserve">D. pcap substitute note</w:t>
      </w:r>
      <w:r>
        <w:rPr>
          <w:rFonts w:ascii="Arial" w:cs="Arial" w:eastAsia="Arial" w:hAnsi="Arial"/>
          <w:sz w:val="22"/>
          <w:szCs w:val="22"/>
        </w:rPr>
        <w:t xml:space="preserve"> — Add a note in Final_Report.md explicitly stating that baseline.pcap.note.txt replaces the original pcap (too large for submission). Prevents ambiguity during third-party review.</w:t>
      </w:r>
    </w:p>
    <w:p>
      <w:pPr>
        <w:spacing w:after="80" w:before="80"/>
      </w:pPr>
      <w:r>
        <w:t xml:space="preserve"/>
      </w:r>
    </w:p>
    <w:p>
      <w:pPr>
        <w:spacing w:after="80" w:before="60"/>
      </w:pPr>
      <w:r>
        <w:rPr>
          <w:rFonts w:ascii="Arial" w:cs="Arial" w:eastAsia="Arial" w:hAnsi="Arial"/>
          <w:b/>
          <w:bCs/>
          <w:color w:val="000000"/>
          <w:sz w:val="22"/>
          <w:szCs w:val="22"/>
        </w:rPr>
        <w:t xml:space="preserve">E. IP addresses in executive summary</w:t>
      </w:r>
      <w:r>
        <w:rPr>
          <w:rFonts w:ascii="Arial" w:cs="Arial" w:eastAsia="Arial" w:hAnsi="Arial"/>
          <w:sz w:val="22"/>
          <w:szCs w:val="22"/>
        </w:rPr>
        <w:t xml:space="preserve"> — Executive_Summary_1p.md mentions IPs (10.10.10.x). For a non-technical audience, prefer zone language (“Azure Site”, “AWS Site”) over raw network addresses.</w:t>
      </w:r>
    </w:p>
    <w:p>
      <w:r>
        <w:br w:type="page"/>
      </w:r>
    </w:p>
    <w:p>
      <w:pPr>
        <w:pStyle w:val="Heading1"/>
        <w:pBdr>
          <w:bottom w:val="single" w:color="2E75B6" w:sz="8" w:space="4"/>
        </w:pBdr>
        <w:spacing w:after="160" w:before="400"/>
      </w:pPr>
      <w:r>
        <w:rPr>
          <w:rFonts w:ascii="Arial" w:cs="Arial" w:eastAsia="Arial" w:hAnsi="Arial"/>
          <w:b/>
          <w:bCs/>
          <w:color w:val="1F3864"/>
          <w:sz w:val="32"/>
          <w:szCs w:val="32"/>
        </w:rPr>
        <w:t xml:space="preserve">4. Score Estimate (Official TD6 Rubric)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100"/>
        <w:gridCol w:w="1400"/>
        <w:gridCol w:w="3160"/>
      </w:tblGrid>
      <w:tr>
        <w:tc>
          <w:tcPr>
            <w:tcW w:type="dxa" w:w="3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Criterion</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Max</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Score</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Justification</w:t>
            </w:r>
          </w:p>
        </w:tc>
      </w:tr>
      <w:tr>
        <w:tc>
          <w:tcPr>
            <w:tcW w:type="dxa" w:w="37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Claims table quality</w:t>
            </w:r>
          </w:p>
        </w:tc>
        <w:tc>
          <w:tcPr>
            <w:tcW w:type="dxa" w:w="11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25</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24</w:t>
            </w:r>
          </w:p>
        </w:tc>
        <w:tc>
          <w:tcPr>
            <w:tcW w:type="dxa" w:w="31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14 triple-artifact claims. −1: pcap baseline is a note file, not an actual capture.</w:t>
            </w:r>
          </w:p>
        </w:tc>
      </w:tr>
      <w:t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Regression suite</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35</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33</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4 robust scripts, timestamps, correct exit codes. −2: missing prerequisites README; R3/R4 not self-contained.</w:t>
            </w:r>
          </w:p>
        </w:tc>
      </w:tr>
      <w:tr>
        <w:tc>
          <w:tcPr>
            <w:tcW w:type="dxa" w:w="37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Evidence pack maturity</w:t>
            </w:r>
          </w:p>
        </w:tc>
        <w:tc>
          <w:tcPr>
            <w:tcW w:type="dxa" w:w="11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25</w:t>
            </w:r>
          </w:p>
        </w:tc>
        <w:tc>
          <w:tcPr>
            <w:tcW w:type="dxa" w:w="140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24</w:t>
            </w:r>
          </w:p>
        </w:tc>
        <w:tc>
          <w:tcPr>
            <w:tcW w:type="dxa" w:w="3160"/>
            <w:tcBorders>
              <w:top w:val="single" w:color="BFBFBF" w:sz="4"/>
              <w:left w:val="single" w:color="BFBFBF" w:sz="4"/>
              <w:bottom w:val="single" w:color="BFBFBF" w:sz="4"/>
              <w:right w:val="single" w:color="BFBFBF" w:sz="4"/>
            </w:tcBorders>
            <w:shd w:fill="F0F7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Excellent config/test/telemetry consistency. −1: duplicate nftables rules + R-12 still open.</w:t>
            </w:r>
          </w:p>
        </w:tc>
      </w:tr>
      <w:tr>
        <w:tc>
          <w:tcPr>
            <w:tcW w:type="dxa" w:w="3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Executive clarity</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15</w:t>
            </w:r>
          </w:p>
        </w:tc>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14</w:t>
            </w:r>
          </w:p>
        </w:tc>
        <w:tc>
          <w:tcPr>
            <w:tcW w:type="dxa" w:w="3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0" w:before="20"/>
            </w:pPr>
            <w:r>
              <w:rPr>
                <w:rFonts w:ascii="Arial" w:cs="Arial" w:eastAsia="Arial" w:hAnsi="Arial"/>
                <w:color w:val="000000"/>
                <w:sz w:val="20"/>
                <w:szCs w:val="20"/>
              </w:rPr>
              <w:t xml:space="preserve">Manager-readable summary, realistic 30/60/90 plan. −1: raw IPs in the exec summary.</w:t>
            </w:r>
          </w:p>
        </w:tc>
      </w:tr>
      <w:tr>
        <w:tc>
          <w:tcPr>
            <w:tcW w:type="dxa" w:w="37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TOTAL</w:t>
            </w:r>
          </w:p>
        </w:tc>
        <w:tc>
          <w:tcPr>
            <w:tcW w:type="dxa" w:w="11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100</w:t>
            </w:r>
          </w:p>
        </w:tc>
        <w:tc>
          <w:tcPr>
            <w:tcW w:type="dxa" w:w="14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95 / 100</w:t>
            </w:r>
          </w:p>
        </w:tc>
        <w:tc>
          <w:tcPr>
            <w:tcW w:type="dxa" w:w="31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spacing w:after="20" w:before="20"/>
            </w:pPr>
            <w:r>
              <w:rPr>
                <w:rFonts w:ascii="Arial" w:cs="Arial" w:eastAsia="Arial" w:hAnsi="Arial"/>
                <w:b/>
                <w:bCs/>
                <w:color w:val="FFFFFF"/>
                <w:sz w:val="20"/>
                <w:szCs w:val="20"/>
              </w:rPr>
              <w:t xml:space="preserve">Professional-grade Hardening Pack. Ready for a real technical audit with minor fixes.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pPr>
              <w:spacing w:after="20" w:before="20"/>
            </w:pPr>
            <w:r>
              <w:rPr>
                <w:rFonts w:ascii="Arial" w:cs="Arial" w:eastAsia="Arial" w:hAnsi="Arial"/>
                <w:i/>
                <w:iCs/>
                <w:color w:val="375623"/>
                <w:sz w:val="21"/>
                <w:szCs w:val="21"/>
              </w:rPr>
              <w:t xml:space="preserve">A score of 95/100 places the deliverable of Youssouf FARRAGE (Group OCC2) among the top-quality productions for a 4th-year lab project. The 5 missing points correspond exclusively to finishing touches (minor debt, prerequisites documentation) and not to any security gaps.</w:t>
            </w:r>
          </w:p>
        </w:tc>
      </w:tr>
    </w:tbl>
    <w:p>
      <w:pPr>
        <w:spacing w:after="80" w:before="80"/>
      </w:pPr>
      <w:r>
        <w:t xml:space="preserve"/>
      </w:r>
    </w:p>
    <w:p>
      <w:pPr>
        <w:pStyle w:val="Heading1"/>
        <w:pBdr>
          <w:bottom w:val="single" w:color="2E75B6" w:sz="8" w:space="4"/>
        </w:pBdr>
        <w:spacing w:after="160" w:before="400"/>
      </w:pPr>
      <w:r>
        <w:rPr>
          <w:rFonts w:ascii="Arial" w:cs="Arial" w:eastAsia="Arial" w:hAnsi="Arial"/>
          <w:b/>
          <w:bCs/>
          <w:color w:val="1F3864"/>
          <w:sz w:val="32"/>
          <w:szCs w:val="32"/>
        </w:rPr>
        <w:t xml:space="preserve">5. Conclusion</w:t>
      </w:r>
    </w:p>
    <w:p>
      <w:pPr>
        <w:spacing w:after="80" w:before="60"/>
      </w:pPr>
      <w:r>
        <w:rPr>
          <w:rFonts w:ascii="Arial" w:cs="Arial" w:eastAsia="Arial" w:hAnsi="Arial"/>
          <w:sz w:val="22"/>
          <w:szCs w:val="22"/>
        </w:rPr>
        <w:t xml:space="preserve">The Final Hardening Pack from Group OCC2 — Youssouf FARRAGE (ESILV 4th Year, Major Cybersecurity &amp; IOT Trust) is a professional-grade deliverable. All TD6 requirements are met: the repository structure is compliant, the 14 security claims are testable and traced down to their artifacts, the regression suite exceeds the minimum expected level, and the architecture decision documentation is outstanding.</w:t>
      </w:r>
    </w:p>
    <w:p>
      <w:pPr>
        <w:spacing w:after="80" w:before="80"/>
      </w:pPr>
      <w:r>
        <w:t xml:space="preserve"/>
      </w:r>
    </w:p>
    <w:p>
      <w:pPr>
        <w:spacing w:after="80" w:before="60"/>
      </w:pPr>
      <w:r>
        <w:rPr>
          <w:rFonts w:ascii="Arial" w:cs="Arial" w:eastAsia="Arial" w:hAnsi="Arial"/>
          <w:sz w:val="22"/>
          <w:szCs w:val="22"/>
        </w:rPr>
        <w:t xml:space="preserve">The improvement areas identified are minor finishing touches (R-12, nftables cleanup, prerequisites README) and not fundamental gaps. The Risk Register and 30/60/90-day plan demonstrate a clear understanding of the lab’s limitations and a realistic path toward production readiness.</w:t>
      </w:r>
    </w:p>
    <w:p>
      <w:pPr>
        <w:spacing w:after="80" w:before="80"/>
      </w:pPr>
      <w:r>
        <w:t xml:space="preserve"/>
      </w:r>
    </w:p>
    <w:p>
      <w:pPr>
        <w:spacing w:after="80" w:before="60"/>
      </w:pPr>
      <w:r>
        <w:rPr>
          <w:rFonts w:ascii="Arial" w:cs="Arial" w:eastAsia="Arial" w:hAnsi="Arial"/>
          <w:sz w:val="22"/>
          <w:szCs w:val="22"/>
        </w:rPr>
        <w:t xml:space="preserve">This project demonstrates full command of the TD1→TD6 chain: network baseline, default-deny firewall, Suricata IDS, TLS hardening, and multi-cloud Azure/AWS IPsec VPN. The “claims + evidence + regression” approach adopted here is directly transferable to a real professional context.</w:t>
      </w:r>
    </w:p>
    <w:p>
      <w:pPr>
        <w:spacing w:after="80" w:before="80"/>
      </w:pPr>
      <w:r>
        <w:t xml:space="preserve"/>
      </w:r>
    </w:p>
    <w:p>
      <w:pPr>
        <w:spacing w:after="80" w:before="80"/>
      </w:pPr>
      <w:r>
        <w:t xml:space="preserve"/>
      </w:r>
    </w:p>
    <w:p>
      <w:pPr>
        <w:spacing w:after="40" w:before="40"/>
        <w:jc w:val="right"/>
      </w:pPr>
      <w:r>
        <w:rPr>
          <w:rFonts w:ascii="Arial" w:cs="Arial" w:eastAsia="Arial" w:hAnsi="Arial"/>
          <w:i/>
          <w:iCs/>
          <w:color w:val="595959"/>
          <w:sz w:val="20"/>
          <w:szCs w:val="20"/>
        </w:rPr>
        <w:t xml:space="preserve">Peer review conducted by Claude Sonnet 4.6 — External AI Collaborator</w:t>
      </w:r>
    </w:p>
    <w:p>
      <w:pPr>
        <w:spacing w:after="20" w:before="20"/>
        <w:jc w:val="right"/>
      </w:pPr>
      <w:r>
        <w:rPr>
          <w:rFonts w:ascii="Arial" w:cs="Arial" w:eastAsia="Arial" w:hAnsi="Arial"/>
          <w:i/>
          <w:iCs/>
          <w:color w:val="595959"/>
          <w:sz w:val="20"/>
          <w:szCs w:val="20"/>
        </w:rPr>
        <w:t xml:space="preserve">Date: 27 March 2026</w:t>
      </w:r>
    </w:p>
    <w:p>
      <w:pPr>
        <w:spacing w:after="20" w:before="20"/>
        <w:jc w:val="right"/>
      </w:pPr>
      <w:r>
        <w:rPr>
          <w:rFonts w:ascii="Arial" w:cs="Arial" w:eastAsia="Arial" w:hAnsi="Arial"/>
          <w:i/>
          <w:iCs/>
          <w:color w:val="595959"/>
          <w:sz w:val="20"/>
          <w:szCs w:val="20"/>
        </w:rPr>
        <w:t xml:space="preserve">ESILV — Network Hardening Module, 4th Year, Major Cybersecurity &amp; IOT Trust</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80"/>
    </w:pPr>
    <w:r>
      <w:rPr>
        <w:rFonts w:ascii="Arial" w:cs="Arial" w:eastAsia="Arial" w:hAnsi="Arial"/>
        <w:color w:val="808080"/>
        <w:sz w:val="16"/>
        <w:szCs w:val="16"/>
      </w:rPr>
      <w:t xml:space="preserve">Conducted by Claude Sonnet 4.6 — External AI Collaborator  |  2026-03-27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80"/>
    </w:pPr>
    <w:r>
      <w:rPr>
        <w:rFonts w:ascii="Arial" w:cs="Arial" w:eastAsia="Arial" w:hAnsi="Arial"/>
        <w:color w:val="808080"/>
        <w:sz w:val="16"/>
        <w:szCs w:val="16"/>
      </w:rPr>
      <w:t xml:space="preserve">Peer Review — Final Hardening Pack  |  Group OCC2 — Youssouf FARRAGE  |  ESILV 4th Year, Cybersecurity &amp; IOT 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2026-03-27T19:12:47.758Z</dcterms:created>
  <dcterms:modified xsi:type="dcterms:W3CDTF">2026-03-27T19:12:47.759Z</dcterms:modified>
</cp:coreProperties>
</file>

<file path=docProps/custom.xml><?xml version="1.0" encoding="utf-8"?>
<Properties xmlns="http://schemas.openxmlformats.org/officeDocument/2006/custom-properties" xmlns:vt="http://schemas.openxmlformats.org/officeDocument/2006/docPropsVTypes"/>
</file>