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api/system_message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</w:t>
      </w:r>
      <w:r>
        <w:rPr>
          <w:sz w:val="40"/>
          <w:szCs w:val="40"/>
          <w:rtl w:val="0"/>
          <w:lang w:val="en-US"/>
        </w:rPr>
        <w:t>1</w:t>
      </w:r>
      <w:r>
        <w:rPr>
          <w:sz w:val="40"/>
          <w:szCs w:val="40"/>
          <w:rtl w:val="0"/>
          <w:lang w:val="zh-CN" w:eastAsia="zh-CN"/>
        </w:rPr>
        <w:t>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获取历史的内容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2012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"list"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"2016-06-05 13:20"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"history_content"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"jhdjdjsjd"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"2016-75-05 13: 20"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"history_content"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TW" w:eastAsia="zh-TW"/>
        </w:rPr>
        <w:t>你看到的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"2016-07-05 14: 20"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"history_content"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尽快尽快答复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45454"/>
          <w:sz w:val="28"/>
          <w:szCs w:val="28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history_time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时间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history_content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历史的内容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