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MyMessage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2015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获取个人的信息（个人详情界面）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"code"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2014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"data"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"User_id"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"9527"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"role"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"student"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"headicon"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"www.baidsj"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"user_id"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"20135308"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"user_name"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TW" w:eastAsia="zh-TW"/>
        </w:rPr>
        <w:t>李狗蛋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"introduction"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好几万的实打实的就不会技术监督局收到货就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"teacher_level"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nl-NL"/>
        </w:rPr>
        <w:t>"tool1"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英语四级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nl-NL"/>
        </w:rPr>
        <w:t>"tool2"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钢琴四级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"teach_learn_class"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"class_name"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钢琴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"level"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三级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"student_num"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39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"total_time"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6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"haven_learn"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3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"class_name"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</w:rPr>
        <w:t>琵琶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"level"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四级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"student_num"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40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"total_time"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6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 w:hint="default"/>
          <w:b w:val="1"/>
          <w:bCs w:val="1"/>
          <w:color w:val="92268e"/>
          <w:sz w:val="28"/>
          <w:szCs w:val="28"/>
          <w:rtl w:val="0"/>
          <w:lang w:val="zh-CN" w:eastAsia="zh-CN"/>
        </w:rPr>
        <w:t>“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haven_learn"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3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headicon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获得头像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studebt_num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获得学好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获得名字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introduction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获得自我介绍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teacher_level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dictionary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教师等级的标签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tool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？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获得教师资质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class_name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string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获得课程名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level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职业等级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 xml:space="preserve">student_num 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获得学员数量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total 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获得总课时数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haven_learn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获得已经学的课时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