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EB7" w:rsidRPr="008C5EB7" w:rsidRDefault="008C5EB7" w:rsidP="008C5EB7">
      <w:r w:rsidRPr="008C5EB7">
        <w:pict/>
      </w:r>
      <w:r w:rsidRPr="008C5EB7">
        <w:pict/>
      </w:r>
      <w:r w:rsidRPr="008C5EB7">
        <w:pict/>
      </w:r>
      <w:r w:rsidRPr="008C5EB7">
        <w:pict/>
      </w:r>
      <w:hyperlink r:id="rId4" w:history="1">
        <w:r w:rsidRPr="008C5EB7">
          <w:rPr>
            <w:rFonts w:hint="eastAsia"/>
          </w:rPr>
          <w:t xml:space="preserve">MBR &amp; GPT </w:t>
        </w:r>
      </w:hyperlink>
    </w:p>
    <w:p w:rsidR="008C5EB7" w:rsidRPr="008C5EB7" w:rsidRDefault="008C5EB7" w:rsidP="008C5EB7">
      <w:r w:rsidRPr="008C5EB7">
        <w:t xml:space="preserve">MBR </w:t>
      </w:r>
      <w:r w:rsidRPr="008C5EB7">
        <w:t>和</w:t>
      </w:r>
      <w:r w:rsidRPr="008C5EB7">
        <w:t xml:space="preserve"> GPT </w:t>
      </w:r>
      <w:r w:rsidRPr="008C5EB7">
        <w:t>的问题已经走到了非常现实的阶段</w:t>
      </w:r>
      <w:r w:rsidRPr="008C5EB7">
        <w:t>-3T</w:t>
      </w:r>
      <w:r w:rsidRPr="008C5EB7">
        <w:t>硬盘开始普及。</w:t>
      </w:r>
      <w:r w:rsidRPr="008C5EB7">
        <w:t xml:space="preserve">MBR </w:t>
      </w:r>
      <w:r w:rsidRPr="008C5EB7">
        <w:t>由于对</w:t>
      </w:r>
      <w:r w:rsidRPr="008C5EB7">
        <w:t xml:space="preserve"> 3T </w:t>
      </w:r>
      <w:r w:rsidRPr="008C5EB7">
        <w:t>硬盘寻址无法支持，终于要开始被弃用了。但仅仅只是</w:t>
      </w:r>
      <w:r w:rsidRPr="008C5EB7">
        <w:t>“</w:t>
      </w:r>
      <w:r w:rsidRPr="008C5EB7">
        <w:t>开始</w:t>
      </w:r>
      <w:r w:rsidRPr="008C5EB7">
        <w:t>”</w:t>
      </w:r>
      <w:r w:rsidRPr="008C5EB7">
        <w:t>，我感觉至少</w:t>
      </w:r>
      <w:r w:rsidRPr="008C5EB7">
        <w:t>10</w:t>
      </w:r>
      <w:r w:rsidRPr="008C5EB7">
        <w:t>年之内</w:t>
      </w:r>
      <w:r w:rsidRPr="008C5EB7">
        <w:t xml:space="preserve"> MBR </w:t>
      </w:r>
      <w:r w:rsidRPr="008C5EB7">
        <w:t>还不会消失。恐怕当</w:t>
      </w:r>
      <w:r w:rsidRPr="008C5EB7">
        <w:t>GPT</w:t>
      </w:r>
      <w:r w:rsidRPr="008C5EB7">
        <w:t>适应不了需求的时候，</w:t>
      </w:r>
      <w:r w:rsidRPr="008C5EB7">
        <w:t>MBR</w:t>
      </w:r>
      <w:r w:rsidRPr="008C5EB7">
        <w:t>才会消失。</w:t>
      </w:r>
      <w:r w:rsidRPr="008C5EB7">
        <w:br/>
      </w:r>
      <w:r w:rsidRPr="008C5EB7">
        <w:br/>
      </w:r>
      <w:r w:rsidRPr="008C5EB7">
        <w:t>一、</w:t>
      </w:r>
      <w:r w:rsidRPr="008C5EB7">
        <w:t xml:space="preserve">MBR </w:t>
      </w:r>
      <w:r w:rsidRPr="008C5EB7">
        <w:t>的失误</w:t>
      </w:r>
      <w:r w:rsidRPr="008C5EB7">
        <w:br/>
      </w:r>
      <w:r w:rsidRPr="008C5EB7">
        <w:t>说</w:t>
      </w:r>
      <w:r w:rsidRPr="008C5EB7">
        <w:t>“</w:t>
      </w:r>
      <w:r w:rsidRPr="008C5EB7">
        <w:t>失误</w:t>
      </w:r>
      <w:r w:rsidRPr="008C5EB7">
        <w:t>”</w:t>
      </w:r>
      <w:r w:rsidRPr="008C5EB7">
        <w:t>牵强了一点。我们不能要求当年只有</w:t>
      </w:r>
      <w:r w:rsidRPr="008C5EB7">
        <w:t>5M</w:t>
      </w:r>
      <w:r w:rsidRPr="008C5EB7">
        <w:t>的硬盘就扣出</w:t>
      </w:r>
      <w:r w:rsidRPr="008C5EB7">
        <w:t>2M</w:t>
      </w:r>
      <w:r w:rsidRPr="008C5EB7">
        <w:t>来放寻址信息。计算机永远比你想象的要发展的快。</w:t>
      </w:r>
      <w:r w:rsidRPr="008C5EB7">
        <w:br/>
      </w:r>
      <w:r w:rsidRPr="008C5EB7">
        <w:t>首先你要有一些基本的硬盘的</w:t>
      </w:r>
      <w:r w:rsidRPr="008C5EB7">
        <w:t>MBR</w:t>
      </w:r>
      <w:r w:rsidRPr="008C5EB7">
        <w:t>知识，如果你不熟悉，可以先在</w:t>
      </w:r>
      <w:r w:rsidRPr="008C5EB7">
        <w:t xml:space="preserve"> wiki </w:t>
      </w:r>
      <w:r w:rsidRPr="008C5EB7">
        <w:t>看一看</w:t>
      </w:r>
      <w:r w:rsidRPr="008C5EB7">
        <w:fldChar w:fldCharType="begin"/>
      </w:r>
      <w:r w:rsidRPr="008C5EB7">
        <w:instrText xml:space="preserve"> HYPERLINK "http://zh.wikipedia.org/wiki/%E7%A1%AC%E7%9B%98" </w:instrText>
      </w:r>
      <w:r w:rsidRPr="008C5EB7">
        <w:fldChar w:fldCharType="separate"/>
      </w:r>
      <w:r w:rsidRPr="008C5EB7">
        <w:t>硬盘的基本结构</w:t>
      </w:r>
      <w:r w:rsidRPr="008C5EB7">
        <w:fldChar w:fldCharType="end"/>
      </w:r>
      <w:r w:rsidRPr="008C5EB7">
        <w:t>。</w:t>
      </w:r>
      <w:r w:rsidRPr="008C5EB7">
        <w:br/>
      </w:r>
      <w:r w:rsidRPr="008C5EB7">
        <w:t>在了解了磁道、柱面、扇区之后，再看下面的</w:t>
      </w:r>
      <w:r w:rsidRPr="008C5EB7">
        <w:t xml:space="preserve"> MBR </w:t>
      </w:r>
      <w:r w:rsidRPr="008C5EB7">
        <w:t>结构就很了然了：</w:t>
      </w:r>
    </w:p>
    <w:tbl>
      <w:tblPr>
        <w:tblW w:w="81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00"/>
        <w:gridCol w:w="1500"/>
        <w:gridCol w:w="1275"/>
        <w:gridCol w:w="3739"/>
        <w:gridCol w:w="86"/>
      </w:tblGrid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基本</w:t>
            </w:r>
            <w:r w:rsidRPr="008C5EB7">
              <w:t>MBR</w:t>
            </w:r>
            <w:r w:rsidRPr="008C5EB7">
              <w:t>结构</w:t>
            </w:r>
          </w:p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偏移量</w:t>
            </w:r>
            <w:r w:rsidRPr="008C5EB7">
              <w:t>(</w:t>
            </w:r>
            <w:r w:rsidRPr="008C5EB7">
              <w:t>位置</w:t>
            </w:r>
            <w:r w:rsidRPr="008C5EB7">
              <w:t>)</w:t>
            </w:r>
            <w:r w:rsidRPr="008C5EB7">
              <w:br/>
              <w:t>(within sector)</w:t>
            </w:r>
          </w:p>
        </w:tc>
        <w:tc>
          <w:tcPr>
            <w:tcW w:w="12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长度</w:t>
            </w:r>
            <w:r w:rsidRPr="008C5EB7">
              <w:br/>
              <w:t>(in bytes)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解释</w:t>
            </w:r>
          </w:p>
        </w:tc>
        <w:tc>
          <w:tcPr>
            <w:tcW w:w="0" w:type="auto"/>
            <w:vAlign w:val="center"/>
            <w:hideMark/>
          </w:tcPr>
          <w:p w:rsidR="008C5EB7" w:rsidRPr="008C5EB7" w:rsidRDefault="008C5EB7" w:rsidP="008C5EB7"/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十进制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十六进制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/>
        </w:tc>
        <w:tc>
          <w:tcPr>
            <w:tcW w:w="0" w:type="auto"/>
            <w:vAlign w:val="center"/>
            <w:hideMark/>
          </w:tcPr>
          <w:p w:rsidR="008C5EB7" w:rsidRPr="008C5EB7" w:rsidRDefault="008C5EB7" w:rsidP="008C5EB7"/>
        </w:tc>
      </w:tr>
      <w:tr w:rsidR="008C5EB7" w:rsidRPr="008C5EB7" w:rsidTr="008C5EB7">
        <w:trPr>
          <w:trHeight w:val="525"/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000 – 445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000 – 1BD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引导程序</w:t>
            </w:r>
          </w:p>
        </w:tc>
        <w:tc>
          <w:tcPr>
            <w:tcW w:w="0" w:type="auto"/>
            <w:vAlign w:val="center"/>
            <w:hideMark/>
          </w:tcPr>
          <w:p w:rsidR="008C5EB7" w:rsidRPr="008C5EB7" w:rsidRDefault="008C5EB7" w:rsidP="008C5EB7"/>
        </w:tc>
      </w:tr>
      <w:tr w:rsidR="008C5EB7" w:rsidRPr="008C5EB7" w:rsidTr="008C5EB7">
        <w:trPr>
          <w:trHeight w:val="525"/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8C5EB7" w:rsidRPr="008C5EB7" w:rsidRDefault="008C5EB7" w:rsidP="008C5EB7">
            <w:r w:rsidRPr="008C5EB7">
              <w:t>446 – 509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8C5EB7" w:rsidRPr="008C5EB7" w:rsidRDefault="008C5EB7" w:rsidP="008C5EB7">
            <w:r w:rsidRPr="008C5EB7">
              <w:t>1BE – 1FD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8C5EB7" w:rsidRPr="008C5EB7" w:rsidRDefault="008C5EB7" w:rsidP="008C5EB7">
            <w:r w:rsidRPr="008C5EB7"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8C5EB7" w:rsidRPr="008C5EB7" w:rsidRDefault="008C5EB7" w:rsidP="008C5EB7">
            <w:r w:rsidRPr="008C5EB7">
              <w:t>主分区表</w:t>
            </w:r>
          </w:p>
        </w:tc>
        <w:tc>
          <w:tcPr>
            <w:tcW w:w="0" w:type="auto"/>
            <w:vAlign w:val="center"/>
            <w:hideMark/>
          </w:tcPr>
          <w:p w:rsidR="008C5EB7" w:rsidRPr="008C5EB7" w:rsidRDefault="008C5EB7" w:rsidP="008C5EB7"/>
        </w:tc>
      </w:tr>
      <w:tr w:rsidR="008C5EB7" w:rsidRPr="008C5EB7" w:rsidTr="008C5EB7">
        <w:trPr>
          <w:trHeight w:val="525"/>
          <w:tblCellSpacing w:w="0" w:type="dxa"/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510 – 511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1FE – 1FF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引导记录</w:t>
            </w:r>
          </w:p>
        </w:tc>
        <w:tc>
          <w:tcPr>
            <w:tcW w:w="0" w:type="auto"/>
            <w:vAlign w:val="center"/>
            <w:hideMark/>
          </w:tcPr>
          <w:p w:rsidR="008C5EB7" w:rsidRPr="008C5EB7" w:rsidRDefault="008C5EB7" w:rsidP="008C5EB7"/>
        </w:tc>
      </w:tr>
    </w:tbl>
    <w:p w:rsidR="008C5EB7" w:rsidRPr="008C5EB7" w:rsidRDefault="008C5EB7" w:rsidP="008C5EB7">
      <w:r w:rsidRPr="008C5EB7">
        <w:t>表</w:t>
      </w:r>
      <w:r w:rsidRPr="008C5EB7">
        <w:t xml:space="preserve"> 1.</w:t>
      </w:r>
    </w:p>
    <w:p w:rsidR="008C5EB7" w:rsidRPr="008C5EB7" w:rsidRDefault="008C5EB7" w:rsidP="008C5EB7">
      <w:r w:rsidRPr="008C5EB7">
        <w:t xml:space="preserve">MBR </w:t>
      </w:r>
      <w:r w:rsidRPr="008C5EB7">
        <w:t>永远占用了第一个扇区，通常为</w:t>
      </w:r>
      <w:r w:rsidRPr="008C5EB7">
        <w:t>512bytes</w:t>
      </w:r>
      <w:r w:rsidRPr="008C5EB7">
        <w:t>大小。在这</w:t>
      </w:r>
      <w:r w:rsidRPr="008C5EB7">
        <w:t>512bytes</w:t>
      </w:r>
      <w:r w:rsidRPr="008C5EB7">
        <w:t>中被</w:t>
      </w:r>
      <w:r w:rsidRPr="008C5EB7">
        <w:t>MBR</w:t>
      </w:r>
      <w:r w:rsidRPr="008C5EB7">
        <w:t>本身的程序用去了</w:t>
      </w:r>
      <w:r w:rsidRPr="008C5EB7">
        <w:t>446bytes</w:t>
      </w:r>
      <w:r w:rsidRPr="008C5EB7">
        <w:t>。于是，真正描述分区信息的就只有</w:t>
      </w:r>
      <w:r w:rsidRPr="008C5EB7">
        <w:t xml:space="preserve"> 64 bytes</w:t>
      </w:r>
      <w:r w:rsidRPr="008C5EB7">
        <w:t>。而根据</w:t>
      </w:r>
      <w:r w:rsidRPr="008C5EB7">
        <w:t>4</w:t>
      </w:r>
      <w:r w:rsidRPr="008C5EB7">
        <w:t>个主分区的设计，每一个分区能用到的只有</w:t>
      </w:r>
      <w:r w:rsidRPr="008C5EB7">
        <w:t xml:space="preserve"> 16bytes. </w:t>
      </w:r>
      <w:r w:rsidRPr="008C5EB7">
        <w:t>那么！这</w:t>
      </w:r>
      <w:r w:rsidRPr="008C5EB7">
        <w:t>16bytes</w:t>
      </w:r>
      <w:r w:rsidRPr="008C5EB7">
        <w:t>是如何工作的？</w:t>
      </w:r>
    </w:p>
    <w:tbl>
      <w:tblPr>
        <w:tblW w:w="75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23"/>
        <w:gridCol w:w="1281"/>
        <w:gridCol w:w="3896"/>
      </w:tblGrid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8C5EB7" w:rsidRPr="008C5EB7" w:rsidRDefault="008C5EB7" w:rsidP="008C5EB7">
            <w:r w:rsidRPr="008C5EB7">
              <w:t>16-byte</w:t>
            </w:r>
            <w:r w:rsidRPr="008C5EB7">
              <w:t>分区表结构</w:t>
            </w:r>
          </w:p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Relative</w:t>
            </w:r>
            <w:r w:rsidRPr="008C5EB7">
              <w:br/>
              <w:t>Offsets</w:t>
            </w:r>
            <w:r w:rsidRPr="008C5EB7">
              <w:br/>
              <w:t>(within entry)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长度</w:t>
            </w:r>
          </w:p>
          <w:p w:rsidR="008C5EB7" w:rsidRPr="008C5EB7" w:rsidRDefault="008C5EB7" w:rsidP="008C5EB7">
            <w:r w:rsidRPr="008C5EB7">
              <w:t>(bytes)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内容</w:t>
            </w:r>
          </w:p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引导标记</w:t>
            </w:r>
            <w:r w:rsidRPr="008C5EB7">
              <w:t xml:space="preserve"> (80h =active)</w:t>
            </w:r>
          </w:p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8C5EB7" w:rsidRPr="008C5EB7" w:rsidRDefault="008C5EB7" w:rsidP="008C5EB7">
            <w:r w:rsidRPr="008C5EB7">
              <w:t xml:space="preserve">1 – 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8C5EB7" w:rsidRPr="008C5EB7" w:rsidRDefault="008C5EB7" w:rsidP="008C5EB7">
            <w:r w:rsidRPr="008C5EB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8C5EB7" w:rsidRPr="008C5EB7" w:rsidRDefault="008C5EB7" w:rsidP="008C5EB7">
            <w:r w:rsidRPr="008C5EB7">
              <w:t xml:space="preserve">CHS </w:t>
            </w:r>
            <w:r w:rsidRPr="008C5EB7">
              <w:t>开始位置</w:t>
            </w:r>
          </w:p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lastRenderedPageBreak/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分区类型描述</w:t>
            </w:r>
          </w:p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8C5EB7" w:rsidRPr="008C5EB7" w:rsidRDefault="008C5EB7" w:rsidP="008C5EB7">
            <w:r w:rsidRPr="008C5EB7">
              <w:t xml:space="preserve">5 – 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8C5EB7" w:rsidRPr="008C5EB7" w:rsidRDefault="008C5EB7" w:rsidP="008C5EB7">
            <w:r w:rsidRPr="008C5EB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CC"/>
            <w:vAlign w:val="center"/>
            <w:hideMark/>
          </w:tcPr>
          <w:p w:rsidR="008C5EB7" w:rsidRPr="008C5EB7" w:rsidRDefault="008C5EB7" w:rsidP="008C5EB7">
            <w:r w:rsidRPr="008C5EB7">
              <w:t xml:space="preserve">CHS </w:t>
            </w:r>
            <w:r w:rsidRPr="008C5EB7">
              <w:t>结束位置</w:t>
            </w:r>
          </w:p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 –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启始扇区</w:t>
            </w:r>
          </w:p>
        </w:tc>
      </w:tr>
      <w:tr w:rsidR="008C5EB7" w:rsidRPr="008C5EB7" w:rsidTr="008C5EB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12 –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分区大小</w:t>
            </w:r>
            <w:r w:rsidRPr="008C5EB7">
              <w:t xml:space="preserve"> (</w:t>
            </w:r>
            <w:r w:rsidRPr="008C5EB7">
              <w:t>扇区单位</w:t>
            </w:r>
            <w:r w:rsidRPr="008C5EB7">
              <w:t>)</w:t>
            </w:r>
          </w:p>
        </w:tc>
      </w:tr>
    </w:tbl>
    <w:p w:rsidR="008C5EB7" w:rsidRPr="008C5EB7" w:rsidRDefault="008C5EB7" w:rsidP="008C5EB7">
      <w:r w:rsidRPr="008C5EB7">
        <w:t>表</w:t>
      </w:r>
      <w:r w:rsidRPr="008C5EB7">
        <w:t xml:space="preserve"> 2.</w:t>
      </w:r>
    </w:p>
    <w:p w:rsidR="008C5EB7" w:rsidRPr="008C5EB7" w:rsidRDefault="008C5EB7" w:rsidP="008C5EB7">
      <w:r w:rsidRPr="008C5EB7">
        <w:t>在表</w:t>
      </w:r>
      <w:r w:rsidRPr="008C5EB7">
        <w:t>2</w:t>
      </w:r>
      <w:r w:rsidRPr="008C5EB7">
        <w:t>中，有</w:t>
      </w:r>
      <w:r w:rsidRPr="008C5EB7">
        <w:t>2</w:t>
      </w:r>
      <w:r w:rsidRPr="008C5EB7">
        <w:t>个</w:t>
      </w:r>
      <w:r w:rsidRPr="008C5EB7">
        <w:t>“</w:t>
      </w:r>
      <w:r w:rsidRPr="008C5EB7">
        <w:t>开始位置</w:t>
      </w:r>
      <w:r w:rsidRPr="008C5EB7">
        <w:t>”</w:t>
      </w:r>
      <w:r w:rsidRPr="008C5EB7">
        <w:t>，我们分开理解。</w:t>
      </w:r>
      <w:r w:rsidRPr="008C5EB7">
        <w:br/>
      </w:r>
      <w:r w:rsidRPr="008C5EB7">
        <w:t>硬盘的历史过程中，第一个遇到的问题就是</w:t>
      </w:r>
      <w:r w:rsidRPr="008C5EB7">
        <w:t xml:space="preserve"> 8G </w:t>
      </w:r>
      <w:r w:rsidRPr="008C5EB7">
        <w:t>瓶颈。这就是因为在</w:t>
      </w:r>
      <w:r w:rsidRPr="008C5EB7">
        <w:t xml:space="preserve"> </w:t>
      </w:r>
      <w:hyperlink r:id="rId5" w:history="1">
        <w:r w:rsidRPr="008C5EB7">
          <w:t>CHS</w:t>
        </w:r>
      </w:hyperlink>
      <w:r w:rsidRPr="008C5EB7">
        <w:t xml:space="preserve"> </w:t>
      </w:r>
      <w:r w:rsidRPr="008C5EB7">
        <w:t>描述方式中，描述起点和终点均为</w:t>
      </w:r>
      <w:r w:rsidRPr="008C5EB7">
        <w:t>3</w:t>
      </w:r>
      <w:r w:rsidRPr="008C5EB7">
        <w:t>个</w:t>
      </w:r>
      <w:r w:rsidRPr="008C5EB7">
        <w:t xml:space="preserve"> byte</w:t>
      </w:r>
      <w:r w:rsidRPr="008C5EB7">
        <w:t>。我们假设是</w:t>
      </w:r>
      <w:r w:rsidRPr="008C5EB7">
        <w:t xml:space="preserve"> FF </w:t>
      </w:r>
      <w:proofErr w:type="spellStart"/>
      <w:r w:rsidRPr="008C5EB7">
        <w:t>FF</w:t>
      </w:r>
      <w:proofErr w:type="spellEnd"/>
      <w:r w:rsidRPr="008C5EB7">
        <w:t xml:space="preserve"> </w:t>
      </w:r>
      <w:proofErr w:type="spellStart"/>
      <w:r w:rsidRPr="008C5EB7">
        <w:t>FF</w:t>
      </w:r>
      <w:proofErr w:type="spellEnd"/>
      <w:r w:rsidRPr="008C5EB7">
        <w:t xml:space="preserve"> </w:t>
      </w:r>
      <w:r w:rsidRPr="008C5EB7">
        <w:t>，所以是</w:t>
      </w:r>
      <w:r w:rsidRPr="008C5EB7">
        <w:t xml:space="preserve"> 16*16*16*16*16*16*512=8589934592 </w:t>
      </w:r>
      <w:r w:rsidRPr="008C5EB7">
        <w:t>这就是</w:t>
      </w:r>
      <w:r w:rsidRPr="008C5EB7">
        <w:t xml:space="preserve"> 8G </w:t>
      </w:r>
      <w:r w:rsidRPr="008C5EB7">
        <w:t>瓶颈的由来了。</w:t>
      </w:r>
      <w:r w:rsidRPr="008C5EB7">
        <w:br/>
      </w:r>
      <w:r w:rsidRPr="008C5EB7">
        <w:t>但是今天</w:t>
      </w:r>
      <w:r w:rsidRPr="008C5EB7">
        <w:t xml:space="preserve"> CHS </w:t>
      </w:r>
      <w:r w:rsidRPr="008C5EB7">
        <w:t>方式几乎已经不用了。后面还有</w:t>
      </w:r>
      <w:r w:rsidRPr="008C5EB7">
        <w:t xml:space="preserve"> 4 </w:t>
      </w:r>
      <w:r w:rsidRPr="008C5EB7">
        <w:t>个</w:t>
      </w:r>
      <w:r w:rsidRPr="008C5EB7">
        <w:t xml:space="preserve"> bytes </w:t>
      </w:r>
      <w:r w:rsidRPr="008C5EB7">
        <w:t>的</w:t>
      </w:r>
      <w:r w:rsidRPr="008C5EB7">
        <w:t>“</w:t>
      </w:r>
      <w:r w:rsidRPr="008C5EB7">
        <w:t>启始</w:t>
      </w:r>
      <w:r w:rsidRPr="008C5EB7">
        <w:t xml:space="preserve">” </w:t>
      </w:r>
      <w:r w:rsidRPr="008C5EB7">
        <w:t>是给</w:t>
      </w:r>
      <w:r w:rsidRPr="008C5EB7">
        <w:t xml:space="preserve"> LPA </w:t>
      </w:r>
      <w:r w:rsidRPr="008C5EB7">
        <w:t>方式用的。他的极限就是</w:t>
      </w:r>
      <w:r w:rsidRPr="008C5EB7">
        <w:t xml:space="preserve"> 8589934592 * 256 =2199023255552 </w:t>
      </w:r>
      <w:r w:rsidRPr="008C5EB7">
        <w:t>这就是</w:t>
      </w:r>
      <w:r w:rsidRPr="008C5EB7">
        <w:t xml:space="preserve"> 2T </w:t>
      </w:r>
      <w:r w:rsidRPr="008C5EB7">
        <w:t>的限制由来了。</w:t>
      </w:r>
      <w:r w:rsidRPr="008C5EB7">
        <w:br/>
      </w:r>
      <w:r w:rsidRPr="008C5EB7">
        <w:t>在硬盘容量的历史中，有很多因素决定了它的限制。</w:t>
      </w:r>
      <w:r w:rsidRPr="008C5EB7">
        <w:t>BIOS</w:t>
      </w:r>
      <w:r w:rsidRPr="008C5EB7">
        <w:t>，</w:t>
      </w:r>
      <w:r w:rsidRPr="008C5EB7">
        <w:t>ATA</w:t>
      </w:r>
      <w:r w:rsidRPr="008C5EB7">
        <w:t>（</w:t>
      </w:r>
      <w:r w:rsidRPr="008C5EB7">
        <w:t>IDE</w:t>
      </w:r>
      <w:r w:rsidRPr="008C5EB7">
        <w:t>），文件系统。</w:t>
      </w:r>
      <w:r w:rsidRPr="008C5EB7">
        <w:fldChar w:fldCharType="begin"/>
      </w:r>
      <w:r w:rsidRPr="008C5EB7">
        <w:instrText xml:space="preserve"> HYPERLINK "http://baike.baidu.com/view/1329184.html" \l "sub1329184" </w:instrText>
      </w:r>
      <w:r w:rsidRPr="008C5EB7">
        <w:fldChar w:fldCharType="separate"/>
      </w:r>
      <w:r w:rsidRPr="008C5EB7">
        <w:t>百度上的这篇文章</w:t>
      </w:r>
      <w:r w:rsidRPr="008C5EB7">
        <w:fldChar w:fldCharType="end"/>
      </w:r>
      <w:r w:rsidRPr="008C5EB7">
        <w:t>简单的介绍了各个阶段的限制。</w:t>
      </w:r>
    </w:p>
    <w:p w:rsidR="008C5EB7" w:rsidRPr="008C5EB7" w:rsidRDefault="008C5EB7" w:rsidP="008C5EB7">
      <w:r w:rsidRPr="008C5EB7">
        <w:t>二、</w:t>
      </w:r>
      <w:r w:rsidRPr="008C5EB7">
        <w:t xml:space="preserve">GPT </w:t>
      </w:r>
      <w:r w:rsidRPr="008C5EB7">
        <w:t>的思路</w:t>
      </w:r>
    </w:p>
    <w:p w:rsidR="008C5EB7" w:rsidRPr="008C5EB7" w:rsidRDefault="008C5EB7" w:rsidP="008C5EB7">
      <w:r w:rsidRPr="008C5EB7">
        <w:t xml:space="preserve">GPT </w:t>
      </w:r>
      <w:r w:rsidRPr="008C5EB7">
        <w:t>（</w:t>
      </w:r>
      <w:hyperlink r:id="rId6" w:history="1">
        <w:r w:rsidRPr="008C5EB7">
          <w:t>GUID</w:t>
        </w:r>
      </w:hyperlink>
      <w:r w:rsidRPr="008C5EB7">
        <w:t xml:space="preserve"> Partition Table</w:t>
      </w:r>
      <w:r w:rsidRPr="008C5EB7">
        <w:t>）属于</w:t>
      </w:r>
      <w:r w:rsidRPr="008C5EB7">
        <w:t xml:space="preserve"> EFI </w:t>
      </w:r>
      <w:r w:rsidRPr="008C5EB7">
        <w:t>方案中的一部分。虽然很早就开始制定这个标准，但到今天，还是有很多系统不支持</w:t>
      </w:r>
      <w:r w:rsidRPr="008C5EB7">
        <w:t xml:space="preserve"> GPT</w:t>
      </w:r>
      <w:r w:rsidRPr="008C5EB7">
        <w:t>。</w:t>
      </w:r>
    </w:p>
    <w:p w:rsidR="008C5EB7" w:rsidRPr="008C5EB7" w:rsidRDefault="008C5EB7" w:rsidP="008C5EB7">
      <w:r w:rsidRPr="008C5EB7">
        <w:lastRenderedPageBreak/>
        <w:t>首先，引用一张</w:t>
      </w:r>
      <w:proofErr w:type="spellStart"/>
      <w:r w:rsidRPr="008C5EB7">
        <w:t>wikipedia</w:t>
      </w:r>
      <w:proofErr w:type="spellEnd"/>
      <w:r w:rsidRPr="008C5EB7">
        <w:t>上的结构图，来了解一下</w:t>
      </w:r>
      <w:r w:rsidRPr="008C5EB7">
        <w:t xml:space="preserve"> GPT </w:t>
      </w:r>
      <w:r w:rsidRPr="008C5EB7">
        <w:t>的基本结构。</w:t>
      </w:r>
      <w:r w:rsidRPr="008C5EB7">
        <w:br/>
      </w:r>
      <w:r>
        <w:rPr>
          <w:noProof/>
        </w:rPr>
        <w:drawing>
          <wp:inline distT="0" distB="0" distL="0" distR="0">
            <wp:extent cx="3810000" cy="5238750"/>
            <wp:effectExtent l="0" t="0" r="0" b="0"/>
            <wp:docPr id="43" name="图片 43" descr="http://hi.csdn.net/attachment/201203/20/0_1332211362Di0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i.csdn.net/attachment/201203/20/0_1332211362Di0s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EB7" w:rsidRPr="008C5EB7" w:rsidRDefault="008C5EB7" w:rsidP="008C5EB7">
      <w:r w:rsidRPr="008C5EB7">
        <w:t xml:space="preserve">GPT </w:t>
      </w:r>
      <w:r w:rsidRPr="008C5EB7">
        <w:t>为了兼容</w:t>
      </w:r>
      <w:r w:rsidRPr="008C5EB7">
        <w:t xml:space="preserve"> MBR</w:t>
      </w:r>
      <w:r w:rsidRPr="008C5EB7">
        <w:t>，</w:t>
      </w:r>
      <w:r w:rsidRPr="008C5EB7">
        <w:t xml:space="preserve">LBA 0 </w:t>
      </w:r>
      <w:r w:rsidRPr="008C5EB7">
        <w:t>依旧保留了</w:t>
      </w:r>
      <w:r w:rsidRPr="008C5EB7">
        <w:t>MBR</w:t>
      </w:r>
      <w:r w:rsidRPr="008C5EB7">
        <w:t>的结构。在</w:t>
      </w:r>
      <w:r w:rsidRPr="008C5EB7">
        <w:t>GPT</w:t>
      </w:r>
      <w:r w:rsidRPr="008C5EB7">
        <w:t>工作是，会优先读取</w:t>
      </w:r>
      <w:r w:rsidRPr="008C5EB7">
        <w:t xml:space="preserve"> GPT (LBA1) </w:t>
      </w:r>
      <w:r w:rsidRPr="008C5EB7">
        <w:t>内容。如果没有</w:t>
      </w:r>
      <w:r w:rsidRPr="008C5EB7">
        <w:t xml:space="preserve"> GPT </w:t>
      </w:r>
      <w:r w:rsidRPr="008C5EB7">
        <w:t>内容，则认为这是一块</w:t>
      </w:r>
      <w:r w:rsidRPr="008C5EB7">
        <w:t>MBR</w:t>
      </w:r>
      <w:r w:rsidRPr="008C5EB7">
        <w:t>磁盘。再从</w:t>
      </w:r>
      <w:r w:rsidRPr="008C5EB7">
        <w:t xml:space="preserve">LBA 0 </w:t>
      </w:r>
      <w:r w:rsidRPr="008C5EB7">
        <w:t>读取</w:t>
      </w:r>
      <w:r w:rsidRPr="008C5EB7">
        <w:t>MBR</w:t>
      </w:r>
      <w:r w:rsidRPr="008C5EB7">
        <w:t>。</w:t>
      </w:r>
    </w:p>
    <w:p w:rsidR="008C5EB7" w:rsidRPr="008C5EB7" w:rsidRDefault="008C5EB7" w:rsidP="008C5EB7">
      <w:r w:rsidRPr="008C5EB7">
        <w:t>在硬盘末尾，</w:t>
      </w:r>
      <w:r w:rsidRPr="008C5EB7">
        <w:t xml:space="preserve">GPT </w:t>
      </w:r>
      <w:r w:rsidRPr="008C5EB7">
        <w:t>备份了一份，这样当</w:t>
      </w:r>
      <w:r w:rsidRPr="008C5EB7">
        <w:t>GPT</w:t>
      </w:r>
      <w:r w:rsidRPr="008C5EB7">
        <w:t>出错时，可以快速的从硬盘末尾恢复。</w:t>
      </w:r>
      <w:r w:rsidRPr="008C5EB7">
        <w:t>LBA -1 (</w:t>
      </w:r>
      <w:r w:rsidRPr="008C5EB7">
        <w:t>负</w:t>
      </w:r>
      <w:r w:rsidRPr="008C5EB7">
        <w:t xml:space="preserve">1) </w:t>
      </w:r>
      <w:r w:rsidRPr="008C5EB7">
        <w:t>表示倒数第一块</w:t>
      </w:r>
      <w:r w:rsidRPr="008C5EB7">
        <w:t xml:space="preserve"> LBA</w:t>
      </w:r>
      <w:r w:rsidRPr="008C5EB7">
        <w:t>。</w:t>
      </w:r>
    </w:p>
    <w:p w:rsidR="008C5EB7" w:rsidRPr="008C5EB7" w:rsidRDefault="008C5EB7" w:rsidP="008C5EB7">
      <w:r w:rsidRPr="008C5EB7">
        <w:t>从</w:t>
      </w:r>
      <w:r w:rsidRPr="008C5EB7">
        <w:t xml:space="preserve">LBA 2 </w:t>
      </w:r>
      <w:r w:rsidRPr="008C5EB7">
        <w:t>到</w:t>
      </w:r>
      <w:r w:rsidRPr="008C5EB7">
        <w:t xml:space="preserve"> LBA 33 </w:t>
      </w:r>
      <w:r w:rsidRPr="008C5EB7">
        <w:t>，一共预留了</w:t>
      </w:r>
      <w:r w:rsidRPr="008C5EB7">
        <w:t xml:space="preserve"> 128 </w:t>
      </w:r>
      <w:r w:rsidRPr="008C5EB7">
        <w:t>个分区表空间。</w:t>
      </w:r>
      <w:r w:rsidRPr="008C5EB7">
        <w:t xml:space="preserve"> GPT </w:t>
      </w:r>
      <w:r w:rsidRPr="008C5EB7">
        <w:t>支持在一块硬盘上创建</w:t>
      </w:r>
      <w:r w:rsidRPr="008C5EB7">
        <w:t xml:space="preserve"> 128 </w:t>
      </w:r>
      <w:r w:rsidRPr="008C5EB7">
        <w:t>个分区（真有这种需求？）。所以每一个分区可以使用</w:t>
      </w:r>
      <w:r w:rsidRPr="008C5EB7">
        <w:t xml:space="preserve"> 128 bytes </w:t>
      </w:r>
      <w:r w:rsidRPr="008C5EB7">
        <w:t>的空间。</w:t>
      </w:r>
    </w:p>
    <w:p w:rsidR="008C5EB7" w:rsidRPr="008C5EB7" w:rsidRDefault="008C5EB7" w:rsidP="008C5EB7">
      <w:r w:rsidRPr="008C5EB7">
        <w:t>来看一看</w:t>
      </w:r>
      <w:r w:rsidRPr="008C5EB7">
        <w:t xml:space="preserve"> LBA 1 </w:t>
      </w:r>
      <w:r w:rsidRPr="008C5EB7">
        <w:t>的结构吧，有了</w:t>
      </w:r>
      <w:r w:rsidRPr="008C5EB7">
        <w:t xml:space="preserve"> 512bytes </w:t>
      </w:r>
      <w:r w:rsidRPr="008C5EB7">
        <w:t>的巨型空间，都用不掉了。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4"/>
        <w:gridCol w:w="766"/>
        <w:gridCol w:w="6716"/>
      </w:tblGrid>
      <w:tr w:rsidR="008C5EB7" w:rsidRPr="008C5EB7" w:rsidTr="008C5EB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5EB7" w:rsidRPr="008C5EB7" w:rsidRDefault="008C5EB7" w:rsidP="008C5EB7">
            <w:r w:rsidRPr="008C5EB7">
              <w:t>GPT</w:t>
            </w:r>
            <w:r w:rsidRPr="008C5EB7">
              <w:t>头的基本结构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lastRenderedPageBreak/>
              <w:t>起始字节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内容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签名（</w:t>
            </w:r>
            <w:r w:rsidRPr="008C5EB7">
              <w:t>”EFI PART”, 45 46 49 20 50 41 52 54</w:t>
            </w:r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修订（比如，</w:t>
            </w:r>
            <w:r w:rsidRPr="008C5EB7">
              <w:t>1.0</w:t>
            </w:r>
            <w:r w:rsidRPr="008C5EB7">
              <w:t>，值是</w:t>
            </w:r>
            <w:r w:rsidRPr="008C5EB7">
              <w:t xml:space="preserve"> 00 </w:t>
            </w:r>
            <w:proofErr w:type="spellStart"/>
            <w:r w:rsidRPr="008C5EB7">
              <w:t>00</w:t>
            </w:r>
            <w:proofErr w:type="spellEnd"/>
            <w:r w:rsidRPr="008C5EB7">
              <w:t xml:space="preserve"> 01 00</w:t>
            </w:r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分区表头的大小（单位是字节，通常是</w:t>
            </w:r>
            <w:r w:rsidRPr="008C5EB7">
              <w:t>92</w:t>
            </w:r>
            <w:r w:rsidRPr="008C5EB7">
              <w:t>字节，即</w:t>
            </w:r>
            <w:r w:rsidRPr="008C5EB7">
              <w:t xml:space="preserve"> 5C 00 </w:t>
            </w:r>
            <w:proofErr w:type="spellStart"/>
            <w:r w:rsidRPr="008C5EB7">
              <w:t>00</w:t>
            </w:r>
            <w:proofErr w:type="spellEnd"/>
            <w:r w:rsidRPr="008C5EB7">
              <w:t xml:space="preserve"> </w:t>
            </w:r>
            <w:proofErr w:type="spellStart"/>
            <w:r w:rsidRPr="008C5EB7">
              <w:t>00</w:t>
            </w:r>
            <w:proofErr w:type="spellEnd"/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分区表头前</w:t>
            </w:r>
            <w:r w:rsidRPr="008C5EB7">
              <w:t>3</w:t>
            </w:r>
            <w:r w:rsidRPr="008C5EB7">
              <w:t>项（第</w:t>
            </w:r>
            <w:r w:rsidRPr="008C5EB7">
              <w:t>0</w:t>
            </w:r>
            <w:r w:rsidRPr="008C5EB7">
              <w:t>－</w:t>
            </w:r>
            <w:r w:rsidRPr="008C5EB7">
              <w:t>15</w:t>
            </w:r>
            <w:r w:rsidRPr="008C5EB7">
              <w:t>字节）的</w:t>
            </w:r>
            <w:r w:rsidRPr="008C5EB7">
              <w:fldChar w:fldCharType="begin"/>
            </w:r>
            <w:r w:rsidRPr="008C5EB7">
              <w:instrText xml:space="preserve"> HYPERLINK "http://zh.wikipedia.org/wiki/CRC32" \o "CRC32" </w:instrText>
            </w:r>
            <w:r w:rsidRPr="008C5EB7">
              <w:fldChar w:fldCharType="separate"/>
            </w:r>
            <w:r w:rsidRPr="008C5EB7">
              <w:t>CRC32</w:t>
            </w:r>
            <w:r w:rsidRPr="008C5EB7">
              <w:fldChar w:fldCharType="end"/>
            </w:r>
            <w:r w:rsidRPr="008C5EB7">
              <w:t>校验，如果值正在计算，则是</w:t>
            </w:r>
            <w:r w:rsidRPr="008C5EB7">
              <w:t xml:space="preserve"> 0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保留，必须是</w:t>
            </w:r>
            <w:r w:rsidRPr="008C5EB7">
              <w:t xml:space="preserve"> 0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当前</w:t>
            </w:r>
            <w:r w:rsidRPr="008C5EB7">
              <w:t>LBA</w:t>
            </w:r>
            <w:r w:rsidRPr="008C5EB7">
              <w:t>（这个分区表头的位置）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备份</w:t>
            </w:r>
            <w:r w:rsidRPr="008C5EB7">
              <w:t>LBA</w:t>
            </w:r>
            <w:r w:rsidRPr="008C5EB7">
              <w:t>（备份分区表头的位置）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第一个可用于分区的</w:t>
            </w:r>
            <w:r w:rsidRPr="008C5EB7">
              <w:t>LBA</w:t>
            </w:r>
            <w:r w:rsidRPr="008C5EB7">
              <w:t>（主分区表的最后一个</w:t>
            </w:r>
            <w:r w:rsidRPr="008C5EB7">
              <w:t>LBA + 1</w:t>
            </w:r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最后一个可用于分区的</w:t>
            </w:r>
            <w:r w:rsidRPr="008C5EB7">
              <w:t>LBA</w:t>
            </w:r>
            <w:r w:rsidRPr="008C5EB7">
              <w:t>（备份分区表的最后一个</w:t>
            </w:r>
            <w:r w:rsidRPr="008C5EB7">
              <w:t>LBA − 1</w:t>
            </w:r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16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硬盘</w:t>
            </w:r>
            <w:r w:rsidRPr="008C5EB7">
              <w:t>GUID</w:t>
            </w:r>
            <w:r w:rsidRPr="008C5EB7">
              <w:t>（在</w:t>
            </w:r>
            <w:r w:rsidRPr="008C5EB7">
              <w:fldChar w:fldCharType="begin"/>
            </w:r>
            <w:r w:rsidRPr="008C5EB7">
              <w:instrText xml:space="preserve"> </w:instrText>
            </w:r>
            <w:r w:rsidRPr="008C5EB7">
              <w:rPr>
                <w:rFonts w:hint="eastAsia"/>
              </w:rPr>
              <w:instrText>HYPERLINK "http://zh.wikipedia.org/wiki/%E9%A1%9EUNIX" \o "</w:instrText>
            </w:r>
            <w:r w:rsidRPr="008C5EB7">
              <w:rPr>
                <w:rFonts w:hint="eastAsia"/>
              </w:rPr>
              <w:instrText>类</w:instrText>
            </w:r>
            <w:r w:rsidRPr="008C5EB7">
              <w:rPr>
                <w:rFonts w:hint="eastAsia"/>
              </w:rPr>
              <w:instrText>UNIX"</w:instrText>
            </w:r>
            <w:r w:rsidRPr="008C5EB7">
              <w:instrText xml:space="preserve"> </w:instrText>
            </w:r>
            <w:r w:rsidRPr="008C5EB7">
              <w:fldChar w:fldCharType="separate"/>
            </w:r>
            <w:r w:rsidRPr="008C5EB7">
              <w:t>类</w:t>
            </w:r>
            <w:r w:rsidRPr="008C5EB7">
              <w:t>UNIX</w:t>
            </w:r>
            <w:r w:rsidRPr="008C5EB7">
              <w:fldChar w:fldCharType="end"/>
            </w:r>
            <w:r w:rsidRPr="008C5EB7">
              <w:t>系统中也叫</w:t>
            </w:r>
            <w:r w:rsidRPr="008C5EB7">
              <w:fldChar w:fldCharType="begin"/>
            </w:r>
            <w:r w:rsidRPr="008C5EB7">
              <w:instrText xml:space="preserve"> HYPERLINK "http://zh.wikipedia.org/wiki/UUID" </w:instrText>
            </w:r>
            <w:r w:rsidRPr="008C5EB7">
              <w:fldChar w:fldCharType="separate"/>
            </w:r>
            <w:r w:rsidRPr="008C5EB7">
              <w:t>UUID</w:t>
            </w:r>
            <w:r w:rsidRPr="008C5EB7">
              <w:fldChar w:fldCharType="end"/>
            </w:r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分区表项的起始</w:t>
            </w:r>
            <w:r w:rsidRPr="008C5EB7">
              <w:t>LBA</w:t>
            </w:r>
            <w:r w:rsidRPr="008C5EB7">
              <w:t>（对于主分区表来说，这个值是</w:t>
            </w:r>
            <w:r w:rsidRPr="008C5EB7">
              <w:t xml:space="preserve"> LBA 2</w:t>
            </w:r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分区表的数量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一个分区表的大小（通常是</w:t>
            </w:r>
            <w:r w:rsidRPr="008C5EB7">
              <w:t>128</w:t>
            </w:r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分区串行的</w:t>
            </w:r>
            <w:r w:rsidRPr="008C5EB7">
              <w:t>CRC32</w:t>
            </w:r>
            <w:r w:rsidRPr="008C5EB7">
              <w:t>校验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保留，剩余的字节必须是</w:t>
            </w:r>
            <w:r w:rsidRPr="008C5EB7">
              <w:t>0</w:t>
            </w:r>
            <w:r w:rsidRPr="008C5EB7">
              <w:t>（对于</w:t>
            </w:r>
            <w:r w:rsidRPr="008C5EB7">
              <w:t>512</w:t>
            </w:r>
            <w:r w:rsidRPr="008C5EB7">
              <w:t>字节</w:t>
            </w:r>
            <w:r w:rsidRPr="008C5EB7">
              <w:t>LBA</w:t>
            </w:r>
            <w:r w:rsidRPr="008C5EB7">
              <w:t>的硬盘即是</w:t>
            </w:r>
            <w:r w:rsidRPr="008C5EB7">
              <w:t>420</w:t>
            </w:r>
            <w:r w:rsidRPr="008C5EB7">
              <w:t>个字节）</w:t>
            </w:r>
          </w:p>
        </w:tc>
      </w:tr>
    </w:tbl>
    <w:p w:rsidR="008C5EB7" w:rsidRPr="008C5EB7" w:rsidRDefault="008C5EB7" w:rsidP="008C5EB7">
      <w:r w:rsidRPr="008C5EB7">
        <w:t>此表来源为</w:t>
      </w:r>
      <w:r w:rsidRPr="008C5EB7">
        <w:t xml:space="preserve"> </w:t>
      </w:r>
      <w:hyperlink r:id="rId8" w:history="1">
        <w:r w:rsidRPr="008C5EB7">
          <w:t>中文</w:t>
        </w:r>
        <w:r w:rsidRPr="008C5EB7">
          <w:t xml:space="preserve"> Wikipedia</w:t>
        </w:r>
      </w:hyperlink>
      <w:r w:rsidRPr="008C5EB7">
        <w:t xml:space="preserve">, </w:t>
      </w:r>
      <w:r w:rsidRPr="008C5EB7">
        <w:t>稍微修改了两个字，便于理解。</w:t>
      </w:r>
    </w:p>
    <w:p w:rsidR="008C5EB7" w:rsidRPr="008C5EB7" w:rsidRDefault="008C5EB7" w:rsidP="008C5EB7">
      <w:r w:rsidRPr="008C5EB7">
        <w:t>通过这张表，程序可以获知分区数量，第一个分区在哪个位置，以及</w:t>
      </w:r>
      <w:r w:rsidRPr="008C5EB7">
        <w:t>GPT</w:t>
      </w:r>
      <w:r w:rsidRPr="008C5EB7">
        <w:t>头是否正确（</w:t>
      </w:r>
      <w:r w:rsidRPr="008C5EB7">
        <w:t>CRC32</w:t>
      </w:r>
      <w:r w:rsidRPr="008C5EB7">
        <w:t>）。在这里着重解决的是分数数量问题，以及分区表的安全性问题。而分区的大小问题，则依赖了</w:t>
      </w:r>
      <w:r w:rsidRPr="008C5EB7">
        <w:t xml:space="preserve"> GPT </w:t>
      </w:r>
      <w:r w:rsidRPr="008C5EB7">
        <w:t>的分区表：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5"/>
        <w:gridCol w:w="820"/>
        <w:gridCol w:w="4952"/>
      </w:tblGrid>
      <w:tr w:rsidR="008C5EB7" w:rsidRPr="008C5EB7" w:rsidTr="008C5EB7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5EB7" w:rsidRPr="008C5EB7" w:rsidRDefault="008C5EB7" w:rsidP="008C5EB7">
            <w:r w:rsidRPr="008C5EB7">
              <w:lastRenderedPageBreak/>
              <w:t>GPT</w:t>
            </w:r>
            <w:r w:rsidRPr="008C5EB7">
              <w:t>分区表项的格式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起始字节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内容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16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分区类型</w:t>
            </w:r>
            <w:r w:rsidRPr="008C5EB7">
              <w:t>GUID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16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</w:t>
            </w:r>
            <w:r w:rsidRPr="008C5EB7">
              <w:t>GUID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起始</w:t>
            </w:r>
            <w:r w:rsidRPr="008C5EB7">
              <w:t>LBA</w:t>
            </w:r>
            <w:r w:rsidRPr="008C5EB7">
              <w:t>（</w:t>
            </w:r>
            <w:hyperlink r:id="rId9" w:tooltip="小端序" w:history="1">
              <w:r w:rsidRPr="008C5EB7">
                <w:t>小端序</w:t>
              </w:r>
            </w:hyperlink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末尾</w:t>
            </w:r>
            <w:r w:rsidRPr="008C5EB7">
              <w:t>LBA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8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属性标签（如：</w:t>
            </w:r>
            <w:r w:rsidRPr="008C5EB7">
              <w:t>60</w:t>
            </w:r>
            <w:r w:rsidRPr="008C5EB7">
              <w:t>表示</w:t>
            </w:r>
            <w:r w:rsidRPr="008C5EB7">
              <w:t>“</w:t>
            </w:r>
            <w:r w:rsidRPr="008C5EB7">
              <w:t>只读</w:t>
            </w:r>
            <w:r w:rsidRPr="008C5EB7">
              <w:t>”</w:t>
            </w:r>
            <w:r w:rsidRPr="008C5EB7">
              <w:t>）</w:t>
            </w:r>
          </w:p>
        </w:tc>
      </w:tr>
      <w:tr w:rsidR="008C5EB7" w:rsidRPr="008C5EB7" w:rsidTr="008C5E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72</w:t>
            </w:r>
            <w:r w:rsidRPr="008C5EB7">
              <w:t>字节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5EB7" w:rsidRPr="008C5EB7" w:rsidRDefault="008C5EB7" w:rsidP="008C5EB7">
            <w:r w:rsidRPr="008C5EB7">
              <w:t>分区名（可以包括</w:t>
            </w:r>
            <w:r w:rsidRPr="008C5EB7">
              <w:t>36</w:t>
            </w:r>
            <w:r w:rsidRPr="008C5EB7">
              <w:t>个</w:t>
            </w:r>
            <w:r w:rsidRPr="008C5EB7">
              <w:fldChar w:fldCharType="begin"/>
            </w:r>
            <w:r w:rsidRPr="008C5EB7">
              <w:instrText xml:space="preserve"> HYPERLINK "http://zh.wikipedia.org/wiki/UTF-16" </w:instrText>
            </w:r>
            <w:r w:rsidRPr="008C5EB7">
              <w:fldChar w:fldCharType="separate"/>
            </w:r>
            <w:r w:rsidRPr="008C5EB7">
              <w:t>UTF-16</w:t>
            </w:r>
            <w:r w:rsidRPr="008C5EB7">
              <w:fldChar w:fldCharType="end"/>
            </w:r>
            <w:r w:rsidRPr="008C5EB7">
              <w:t>（小端序）字符）</w:t>
            </w:r>
          </w:p>
        </w:tc>
      </w:tr>
    </w:tbl>
    <w:p w:rsidR="008C5EB7" w:rsidRPr="008C5EB7" w:rsidRDefault="008C5EB7" w:rsidP="008C5EB7">
      <w:r w:rsidRPr="008C5EB7">
        <w:t>重点就在这里了，在描述分区位置的时候，使用了</w:t>
      </w:r>
      <w:r w:rsidRPr="008C5EB7">
        <w:t>8</w:t>
      </w:r>
      <w:r w:rsidRPr="008C5EB7">
        <w:t>个字节，其最大值为</w:t>
      </w:r>
      <w:r w:rsidRPr="008C5EB7">
        <w:t xml:space="preserve"> FF </w:t>
      </w:r>
      <w:proofErr w:type="spellStart"/>
      <w:r w:rsidRPr="008C5EB7">
        <w:t>FF</w:t>
      </w:r>
      <w:proofErr w:type="spellEnd"/>
      <w:r w:rsidRPr="008C5EB7">
        <w:t xml:space="preserve"> </w:t>
      </w:r>
      <w:proofErr w:type="spellStart"/>
      <w:r w:rsidRPr="008C5EB7">
        <w:t>FF</w:t>
      </w:r>
      <w:proofErr w:type="spellEnd"/>
      <w:r w:rsidRPr="008C5EB7">
        <w:t xml:space="preserve"> </w:t>
      </w:r>
      <w:proofErr w:type="spellStart"/>
      <w:r w:rsidRPr="008C5EB7">
        <w:t>FF</w:t>
      </w:r>
      <w:proofErr w:type="spellEnd"/>
      <w:r w:rsidRPr="008C5EB7">
        <w:t xml:space="preserve"> </w:t>
      </w:r>
      <w:proofErr w:type="spellStart"/>
      <w:r w:rsidRPr="008C5EB7">
        <w:t>FF</w:t>
      </w:r>
      <w:proofErr w:type="spellEnd"/>
      <w:r w:rsidRPr="008C5EB7">
        <w:t xml:space="preserve"> </w:t>
      </w:r>
      <w:proofErr w:type="spellStart"/>
      <w:r w:rsidRPr="008C5EB7">
        <w:t>FF</w:t>
      </w:r>
      <w:proofErr w:type="spellEnd"/>
      <w:r w:rsidRPr="008C5EB7">
        <w:t xml:space="preserve"> </w:t>
      </w:r>
      <w:proofErr w:type="spellStart"/>
      <w:r w:rsidRPr="008C5EB7">
        <w:t>FF</w:t>
      </w:r>
      <w:proofErr w:type="spellEnd"/>
      <w:r w:rsidRPr="008C5EB7">
        <w:t xml:space="preserve"> </w:t>
      </w:r>
      <w:proofErr w:type="spellStart"/>
      <w:r w:rsidRPr="008C5EB7">
        <w:t>FF</w:t>
      </w:r>
      <w:proofErr w:type="spellEnd"/>
      <w:r w:rsidRPr="008C5EB7">
        <w:t xml:space="preserve"> </w:t>
      </w:r>
      <w:r w:rsidRPr="008C5EB7">
        <w:t>。那么，假设每一个</w:t>
      </w:r>
      <w:r w:rsidRPr="008C5EB7">
        <w:t xml:space="preserve">LBA </w:t>
      </w:r>
      <w:r w:rsidRPr="008C5EB7">
        <w:t>为</w:t>
      </w:r>
      <w:r w:rsidRPr="008C5EB7">
        <w:t>512 bytes</w:t>
      </w:r>
      <w:r w:rsidRPr="008C5EB7">
        <w:t>。其能描述的大小为</w:t>
      </w:r>
      <w:r w:rsidRPr="008C5EB7">
        <w:t xml:space="preserve"> 8589934592 TB = 8 ZB </w:t>
      </w:r>
      <w:r w:rsidRPr="008C5EB7">
        <w:t>。关于这个数字我算下来的确是在</w:t>
      </w:r>
      <w:r w:rsidRPr="008C5EB7">
        <w:t xml:space="preserve"> ZB </w:t>
      </w:r>
      <w:r w:rsidRPr="008C5EB7">
        <w:t>级别的。但是搜索到的文章说法不一：</w:t>
      </w:r>
    </w:p>
    <w:p w:rsidR="008C5EB7" w:rsidRPr="008C5EB7" w:rsidRDefault="008C5EB7" w:rsidP="008C5EB7">
      <w:hyperlink r:id="rId10" w:history="1">
        <w:r w:rsidRPr="008C5EB7">
          <w:t>突破</w:t>
        </w:r>
        <w:r w:rsidRPr="008C5EB7">
          <w:t>2TB</w:t>
        </w:r>
        <w:r w:rsidRPr="008C5EB7">
          <w:t>限制</w:t>
        </w:r>
        <w:r w:rsidRPr="008C5EB7">
          <w:t xml:space="preserve"> 3TB</w:t>
        </w:r>
        <w:r w:rsidRPr="008C5EB7">
          <w:t>硬盘装操作系统实战</w:t>
        </w:r>
      </w:hyperlink>
      <w:r w:rsidRPr="008C5EB7">
        <w:t xml:space="preserve"> 9.4ZB </w:t>
      </w:r>
      <w:r w:rsidRPr="008C5EB7">
        <w:t>（</w:t>
      </w:r>
      <w:r w:rsidRPr="008C5EB7">
        <w:t>GPT</w:t>
      </w:r>
      <w:r w:rsidRPr="008C5EB7">
        <w:t>分区表采用</w:t>
      </w:r>
      <w:r w:rsidRPr="008C5EB7">
        <w:t>8</w:t>
      </w:r>
      <w:r w:rsidRPr="008C5EB7">
        <w:t>个字节即</w:t>
      </w:r>
      <w:r w:rsidRPr="008C5EB7">
        <w:t>64bit</w:t>
      </w:r>
      <w:r w:rsidRPr="008C5EB7">
        <w:t>来存储扇区数，因此它最大可支持</w:t>
      </w:r>
      <w:r w:rsidRPr="008C5EB7">
        <w:t>264</w:t>
      </w:r>
      <w:r w:rsidRPr="008C5EB7">
        <w:t>个扇区。）</w:t>
      </w:r>
      <w:r w:rsidRPr="008C5EB7">
        <w:br/>
      </w:r>
      <w:hyperlink r:id="rId11" w:history="1">
        <w:r w:rsidRPr="008C5EB7">
          <w:t>关于</w:t>
        </w:r>
        <w:r w:rsidRPr="008C5EB7">
          <w:t>windows server 2003</w:t>
        </w:r>
        <w:r w:rsidRPr="008C5EB7">
          <w:t>最大支持硬盘容量的问题</w:t>
        </w:r>
      </w:hyperlink>
      <w:r w:rsidRPr="008C5EB7">
        <w:t xml:space="preserve"> 18EB</w:t>
      </w:r>
    </w:p>
    <w:p w:rsidR="008C5EB7" w:rsidRPr="008C5EB7" w:rsidRDefault="008C5EB7" w:rsidP="008C5EB7">
      <w:r w:rsidRPr="008C5EB7">
        <w:t>对于上面这些数字，</w:t>
      </w:r>
      <w:r w:rsidRPr="008C5EB7">
        <w:t xml:space="preserve">18EB </w:t>
      </w:r>
      <w:r w:rsidRPr="008C5EB7">
        <w:t>恐怕是</w:t>
      </w:r>
      <w:r w:rsidRPr="008C5EB7">
        <w:t xml:space="preserve"> LBA </w:t>
      </w:r>
      <w:r w:rsidRPr="008C5EB7">
        <w:t>数量，忘记乘</w:t>
      </w:r>
      <w:r w:rsidRPr="008C5EB7">
        <w:t xml:space="preserve"> 512 bytes </w:t>
      </w:r>
      <w:r w:rsidRPr="008C5EB7">
        <w:t>了。</w:t>
      </w:r>
      <w:r w:rsidRPr="008C5EB7">
        <w:t xml:space="preserve">9.4ZB </w:t>
      </w:r>
      <w:r w:rsidRPr="008C5EB7">
        <w:t>暂时不知道是怎么来的。但这个数字暂且不做定论。因为</w:t>
      </w:r>
      <w:hyperlink r:id="rId12" w:history="1">
        <w:r w:rsidRPr="008C5EB7">
          <w:t>微软的</w:t>
        </w:r>
        <w:r w:rsidRPr="008C5EB7">
          <w:t xml:space="preserve"> FAQ</w:t>
        </w:r>
      </w:hyperlink>
      <w:r w:rsidRPr="008C5EB7">
        <w:t xml:space="preserve"> </w:t>
      </w:r>
      <w:r w:rsidRPr="008C5EB7">
        <w:t>也提到了，这只是理论值，谁知道下一个瓶颈在哪里呢。</w:t>
      </w:r>
    </w:p>
    <w:p w:rsidR="008C5EB7" w:rsidRPr="008C5EB7" w:rsidRDefault="008C5EB7" w:rsidP="008C5EB7">
      <w:r w:rsidRPr="008C5EB7">
        <w:t>Q. How big can a GPT disk be?</w:t>
      </w:r>
    </w:p>
    <w:p w:rsidR="008C5EB7" w:rsidRPr="008C5EB7" w:rsidRDefault="008C5EB7" w:rsidP="008C5EB7">
      <w:r w:rsidRPr="008C5EB7">
        <w:t>A. In theory, a GPT disk can be up to 2^64 logical blocks in length. Logical blocks are commonly 512 bytes in size.</w:t>
      </w:r>
    </w:p>
    <w:p w:rsidR="008C5EB7" w:rsidRPr="008C5EB7" w:rsidRDefault="008C5EB7" w:rsidP="008C5EB7">
      <w:r w:rsidRPr="008C5EB7">
        <w:t xml:space="preserve">The maximum partition (and disk) size is a function of the operating system version. Windows XP and the original release of Windows Server 2003 have a limit of 2TB per physical disk, including all partitions. For Windows Server 2003 SP1, Windows XP x64 edition, and later versions, the maximum raw partition of 18 </w:t>
      </w:r>
      <w:proofErr w:type="spellStart"/>
      <w:r w:rsidRPr="008C5EB7">
        <w:t>exabytes</w:t>
      </w:r>
      <w:proofErr w:type="spellEnd"/>
      <w:r w:rsidRPr="008C5EB7">
        <w:t xml:space="preserve"> can be supported. (Windows file systems currently are limited to 256 terabytes each.)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8C5EB7"/>
    <w:rsid w:val="00AF6B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5EB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5EB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742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0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478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9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51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6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4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24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31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61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7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2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7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1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2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7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4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2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65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8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3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0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4276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  <w:div w:id="38542025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1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7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36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368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4954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65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4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513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8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1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614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E4E4E4"/>
                        <w:left w:val="single" w:sz="6" w:space="8" w:color="E4E4E4"/>
                        <w:bottom w:val="single" w:sz="6" w:space="8" w:color="E4E4E4"/>
                        <w:right w:val="single" w:sz="6" w:space="8" w:color="E4E4E4"/>
                      </w:divBdr>
                    </w:div>
                  </w:divsChild>
                </w:div>
                <w:div w:id="219246732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62">
              <w:marLeft w:val="1"/>
              <w:marRight w:val="2"/>
              <w:marTop w:val="150"/>
              <w:marBottom w:val="0"/>
              <w:divBdr>
                <w:top w:val="single" w:sz="6" w:space="1" w:color="D7CBC1"/>
                <w:left w:val="single" w:sz="6" w:space="1" w:color="D7CBC1"/>
                <w:bottom w:val="single" w:sz="6" w:space="1" w:color="D7CBC1"/>
                <w:right w:val="single" w:sz="6" w:space="1" w:color="D7CBC1"/>
              </w:divBdr>
              <w:divsChild>
                <w:div w:id="17397482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2800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34709778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DDDDDD"/>
                            <w:left w:val="single" w:sz="12" w:space="0" w:color="DDDDDD"/>
                            <w:bottom w:val="single" w:sz="12" w:space="0" w:color="DDDDDD"/>
                            <w:right w:val="single" w:sz="12" w:space="0" w:color="DDDDDD"/>
                          </w:divBdr>
                        </w:div>
                      </w:divsChild>
                    </w:div>
                    <w:div w:id="100867532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</w:div>
                    <w:div w:id="35272715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</w:div>
                    <w:div w:id="8285163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</w:div>
                    <w:div w:id="28870255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</w:div>
                  </w:divsChild>
                </w:div>
              </w:divsChild>
            </w:div>
          </w:divsChild>
        </w:div>
        <w:div w:id="334649491">
          <w:marLeft w:val="0"/>
          <w:marRight w:val="0"/>
          <w:marTop w:val="150"/>
          <w:marBottom w:val="0"/>
          <w:divBdr>
            <w:top w:val="single" w:sz="6" w:space="0" w:color="F0F0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98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1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57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5012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3499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51247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0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5690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7086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6310107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5%85%A8%E5%B1%80%E5%94%AF%E4%B8%80%E6%A8%99%E8%AD%98%E5%88%86%E5%8D%80%E8%A1%A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windows/hardware/gg463525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h.wikipedia.org/wiki/GUID" TargetMode="External"/><Relationship Id="rId11" Type="http://schemas.openxmlformats.org/officeDocument/2006/relationships/hyperlink" Target="http://social.microsoft.com/Forums/zh-CN/windowsserversystemzhchs/thread/413073fd-b169-44a2-9dbb-5648d8e03c07" TargetMode="External"/><Relationship Id="rId5" Type="http://schemas.openxmlformats.org/officeDocument/2006/relationships/hyperlink" Target="http://zh.wikipedia.org/wiki/CHS" TargetMode="External"/><Relationship Id="rId10" Type="http://schemas.openxmlformats.org/officeDocument/2006/relationships/hyperlink" Target="http://tech.sina.com.cn/h/2011-04-12/05441713987.shtml" TargetMode="External"/><Relationship Id="rId4" Type="http://schemas.openxmlformats.org/officeDocument/2006/relationships/hyperlink" Target="http://blog.csdn.net/wzsy/article/details/7372210" TargetMode="External"/><Relationship Id="rId9" Type="http://schemas.openxmlformats.org/officeDocument/2006/relationships/hyperlink" Target="http://zh.wikipedia.org/wiki/%E5%B0%8F%E7%AB%AF%E5%BA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2015-05-27T02:15:00Z</dcterms:modified>
</cp:coreProperties>
</file>