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rFonts w:ascii="David" w:hAnsi="David"/>
          <w:b/>
          <w:sz w:val="36"/>
          <w:rtl/>
        </w:rPr>
        <w:t>הערות על הטקסט המקורי</w:t>
      </w:r>
    </w:p>
    <w:p>
      <w:pPr>
        <w:bidi/>
        <w:jc w:val="right"/>
      </w:pPr>
      <w:r>
        <w:rPr>
          <w:rFonts w:ascii="David" w:hAnsi="David"/>
          <w:sz w:val="22"/>
          <w:rtl/>
        </w:rPr>
        <w:t>בקריאה המלאה של החוברת נמצאו מקומות שבהם הטקסט עצמו אינו תקין, כגון סוגריים שנפתחו ולא נסגרו. רווחים שהוקלדו לפני סימני פיסוק תוקנו בחוברת. סוגריים לא מאוזנים לא תוקנו (להתעלם בשלב זה) ולא שיניתי תוכן. מי שרוצה יתקן במקור וישלח שוב, והחוברת תיבנה מחדש. מספרי העמודים הם לפי מספור החוברת.</w:t>
      </w:r>
    </w:p>
    <w:tbl>
      <w:tblPr>
        <w:tblStyle w:val="TableGrid"/>
        <w:tblW w:type="auto" w:w="0"/>
        <w:tblLook w:firstColumn="1" w:firstRow="1" w:lastColumn="0" w:lastRow="0" w:noHBand="0" w:noVBand="1" w:val="04A0"/>
        <w:bidiVisual/>
      </w:tblPr>
      <w:tblGrid>
        <w:gridCol w:w="2550"/>
        <w:gridCol w:w="2550"/>
        <w:gridCol w:w="2550"/>
        <w:gridCol w:w="2550"/>
      </w:tblGrid>
      <w:tr>
        <w:tc>
          <w:tcPr>
            <w:tcW w:type="dxa" w:w="850"/>
          </w:tcPr>
          <w:p>
            <w:pPr>
              <w:bidi/>
              <w:jc w:val="right"/>
            </w:pPr>
            <w:r/>
            <w:r>
              <w:rPr>
                <w:rFonts w:ascii="David" w:hAnsi="David" w:cs="David"/>
                <w:b/>
                <w:sz w:val="20"/>
                <w:rtl/>
              </w:rPr>
              <w:t>עמוד</w:t>
            </w:r>
          </w:p>
        </w:tc>
        <w:tc>
          <w:tcPr>
            <w:tcW w:type="dxa" w:w="2835"/>
          </w:tcPr>
          <w:p>
            <w:pPr>
              <w:bidi/>
              <w:jc w:val="right"/>
            </w:pPr>
            <w:r/>
            <w:r>
              <w:rPr>
                <w:rFonts w:ascii="David" w:hAnsi="David" w:cs="David"/>
                <w:b/>
                <w:sz w:val="20"/>
                <w:rtl/>
              </w:rPr>
              <w:t>מאמר</w:t>
            </w:r>
          </w:p>
        </w:tc>
        <w:tc>
          <w:tcPr>
            <w:tcW w:type="dxa" w:w="2268"/>
          </w:tcPr>
          <w:p>
            <w:pPr>
              <w:bidi/>
              <w:jc w:val="right"/>
            </w:pPr>
            <w:r/>
            <w:r>
              <w:rPr>
                <w:rFonts w:ascii="David" w:hAnsi="David" w:cs="David"/>
                <w:b/>
                <w:sz w:val="20"/>
                <w:rtl/>
              </w:rPr>
              <w:t>סוג</w:t>
            </w:r>
          </w:p>
        </w:tc>
        <w:tc>
          <w:tcPr>
            <w:tcW w:type="dxa" w:w="3798"/>
          </w:tcPr>
          <w:p>
            <w:pPr>
              <w:bidi/>
              <w:jc w:val="right"/>
            </w:pPr>
            <w:r/>
            <w:r>
              <w:rPr>
                <w:rFonts w:ascii="David" w:hAnsi="David" w:cs="David"/>
                <w:b/>
                <w:sz w:val="20"/>
                <w:rtl/>
              </w:rPr>
              <w:t>קטע</w:t>
            </w:r>
          </w:p>
        </w:tc>
      </w:tr>
      <w:tr>
        <w:tc>
          <w:tcPr>
            <w:tcW w:type="dxa" w:w="850"/>
          </w:tcPr>
          <w:p>
            <w:pPr>
              <w:bidi/>
              <w:jc w:val="right"/>
            </w:pPr>
            <w:r/>
            <w:r>
              <w:rPr>
                <w:rFonts w:ascii="David" w:hAnsi="David" w:cs="David"/>
                <w:b w:val="0"/>
                <w:sz w:val="20"/>
                <w:rtl/>
              </w:rPr>
              <w:t>15</w:t>
            </w:r>
          </w:p>
        </w:tc>
        <w:tc>
          <w:tcPr>
            <w:tcW w:type="dxa" w:w="2835"/>
          </w:tcPr>
          <w:p>
            <w:pPr>
              <w:bidi/>
              <w:jc w:val="right"/>
            </w:pPr>
            <w:r/>
            <w:r>
              <w:rPr>
                <w:rFonts w:ascii="David" w:hAnsi="David" w:cs="David"/>
                <w:b w:val="0"/>
                <w:sz w:val="20"/>
                <w:rtl/>
              </w:rPr>
              <w:t>החובה להתאמץ בדור אחרון</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אדם להגיע ליראת שמים כזאת ולכך (???) לחדש לנו שהדרך המועלת והנכונה …</w:t>
            </w:r>
          </w:p>
        </w:tc>
      </w:tr>
      <w:tr>
        <w:tc>
          <w:tcPr>
            <w:tcW w:type="dxa" w:w="850"/>
          </w:tcPr>
          <w:p>
            <w:pPr>
              <w:bidi/>
              <w:jc w:val="right"/>
            </w:pPr>
            <w:r/>
            <w:r>
              <w:rPr>
                <w:rFonts w:ascii="David" w:hAnsi="David" w:cs="David"/>
                <w:b w:val="0"/>
                <w:sz w:val="20"/>
                <w:rtl/>
              </w:rPr>
              <w:t>19</w:t>
            </w:r>
          </w:p>
        </w:tc>
        <w:tc>
          <w:tcPr>
            <w:tcW w:type="dxa" w:w="2835"/>
          </w:tcPr>
          <w:p>
            <w:pPr>
              <w:bidi/>
              <w:jc w:val="right"/>
            </w:pPr>
            <w:r/>
            <w:r>
              <w:rPr>
                <w:rFonts w:ascii="David" w:hAnsi="David" w:cs="David"/>
                <w:b w:val="0"/>
                <w:sz w:val="20"/>
                <w:rtl/>
              </w:rPr>
              <w:t>הלכות נטילת ידיים שחרית</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[לכאורה לטעם הראשון של רש״י זה …</w:t>
            </w:r>
          </w:p>
        </w:tc>
      </w:tr>
      <w:tr>
        <w:tc>
          <w:tcPr>
            <w:tcW w:type="dxa" w:w="850"/>
          </w:tcPr>
          <w:p>
            <w:pPr>
              <w:bidi/>
              <w:jc w:val="right"/>
            </w:pPr>
            <w:r/>
            <w:r>
              <w:rPr>
                <w:rFonts w:ascii="David" w:hAnsi="David" w:cs="David"/>
                <w:b w:val="0"/>
                <w:sz w:val="20"/>
                <w:rtl/>
              </w:rPr>
              <w:t>51</w:t>
            </w:r>
          </w:p>
        </w:tc>
        <w:tc>
          <w:tcPr>
            <w:tcW w:type="dxa" w:w="2835"/>
          </w:tcPr>
          <w:p>
            <w:pPr>
              <w:bidi/>
              <w:jc w:val="right"/>
            </w:pPr>
            <w:r/>
            <w:r>
              <w:rPr>
                <w:rFonts w:ascii="David" w:hAnsi="David" w:cs="David"/>
                <w:b w:val="0"/>
                <w:sz w:val="20"/>
                <w:rtl/>
              </w:rPr>
              <w:t>בענין נטילת ידיים של שחרית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יש שלהחמיר רק ברפש ולא בטיט (ונראה משום שרפש זה לכלוך שיש בו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איתא בפסחים [נ.] וכן הוא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ובעצם המח׳ עמד הגרי״ז [שם על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אמנם נראה שאין ביאור זה - דשם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ונראה לדון כאן בכמה נפק״מ בעיקר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עיין אגרות משה [או״ח ה. ה, אות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״והגאון מורנו הרב יונתן אייבשיץ [חידושי ר׳ יהונתן על מסכת ברכות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 והנה ראיתי רבים וטובים שהתקשו בכל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טהור מרעיא מהימנא פינחס דף רכט.] וזה לשונו ואמר קודשא בריך הוא מאן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הענין ביאר בהרחבה  הרב בן איש חי [בספרו אדרת אליהו פרשת תצוה עה״פ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כתב הטור [סי׳ ה] ״ויכון בברכותיו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הנה מלשון הטור והשו״ע מבואר לכאו׳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והנה נראה דבאמת מה שקשה כ״כ לכוין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בענין ביאור שם אלוקים, עיין במה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ויש להוסיף כאן לתועלת המעיינים ב׳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יזהר ככל האפשר לכוון בכל השמות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בקר״ש וכן בברכה הראשונה שבתפלה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והנה לכתחילה חייב להחמיר בזה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התבאר לעיל דלענין הכוונה בברכות,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הנה מלבד מה שנתבאר שצריך אדם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איתא במנחות [מג:] ׳תניא היה רבי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איתא במדרש שוחר טוב; [מזמור צא,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אף יותר מן הדיבור וההזכרה בפיו, [עיין בזה ביומא כט. ׳הרהורי עבירה׳ …</w:t>
            </w:r>
          </w:p>
        </w:tc>
      </w:tr>
      <w:tr>
        <w:tc>
          <w:tcPr>
            <w:tcW w:type="dxa" w:w="850"/>
          </w:tcPr>
          <w:p>
            <w:pPr>
              <w:bidi/>
              <w:jc w:val="right"/>
            </w:pPr>
            <w:r/>
            <w:r>
              <w:rPr>
                <w:rFonts w:ascii="David" w:hAnsi="David" w:cs="David"/>
                <w:b w:val="0"/>
                <w:sz w:val="20"/>
                <w:rtl/>
              </w:rPr>
              <w:t>122</w:t>
            </w:r>
          </w:p>
        </w:tc>
        <w:tc>
          <w:tcPr>
            <w:tcW w:type="dxa" w:w="2835"/>
          </w:tcPr>
          <w:p>
            <w:pPr>
              <w:bidi/>
              <w:jc w:val="right"/>
            </w:pPr>
            <w:r/>
            <w:r>
              <w:rPr>
                <w:rFonts w:ascii="David" w:hAnsi="David" w:cs="David"/>
                <w:b w:val="0"/>
                <w:sz w:val="20"/>
                <w:rtl/>
              </w:rPr>
              <w:t>דין כוונת הברכות</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ובאלוקים שהוא בעל הכוחות כולם. [המצוה השישית ולא תתורו. וכתב שם …</w:t>
            </w:r>
          </w:p>
        </w:tc>
      </w:tr>
      <w:tr>
        <w:tc>
          <w:tcPr>
            <w:tcW w:type="dxa" w:w="850"/>
          </w:tcPr>
          <w:p>
            <w:pPr>
              <w:bidi/>
              <w:jc w:val="right"/>
            </w:pPr>
            <w:r/>
            <w:r>
              <w:rPr>
                <w:rFonts w:ascii="David" w:hAnsi="David" w:cs="David"/>
                <w:b w:val="0"/>
                <w:sz w:val="20"/>
                <w:rtl/>
              </w:rPr>
              <w:t>133</w:t>
            </w:r>
          </w:p>
        </w:tc>
        <w:tc>
          <w:tcPr>
            <w:tcW w:type="dxa" w:w="2835"/>
          </w:tcPr>
          <w:p>
            <w:pPr>
              <w:bidi/>
              <w:jc w:val="right"/>
            </w:pPr>
            <w:r/>
            <w:r>
              <w:rPr>
                <w:rFonts w:ascii="David" w:hAnsi="David" w:cs="David"/>
                <w:b w:val="0"/>
                <w:sz w:val="20"/>
                <w:rtl/>
              </w:rPr>
              <w:t>פירוש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בו הקב״ה טוב המאכל ודוחה הפסולת׳. [כלומר, בהוצאתו שהיא רפואה לכל בשרי …</w:t>
            </w:r>
          </w:p>
        </w:tc>
      </w:tr>
      <w:tr>
        <w:tc>
          <w:tcPr>
            <w:tcW w:type="dxa" w:w="850"/>
          </w:tcPr>
          <w:p>
            <w:pPr>
              <w:bidi/>
              <w:jc w:val="right"/>
            </w:pPr>
            <w:r/>
            <w:r>
              <w:rPr>
                <w:rFonts w:ascii="David" w:hAnsi="David" w:cs="David"/>
                <w:b w:val="0"/>
                <w:sz w:val="20"/>
                <w:rtl/>
              </w:rPr>
              <w:t>144</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הקימה ואכן כך פסק השו״ע בסימן ד.א] ועוד הוסיף לדייק בלשונו בריש סימן …</w:t>
            </w:r>
          </w:p>
        </w:tc>
      </w:tr>
      <w:tr>
        <w:tc>
          <w:tcPr>
            <w:tcW w:type="dxa" w:w="850"/>
          </w:tcPr>
          <w:p>
            <w:pPr>
              <w:bidi/>
              <w:jc w:val="right"/>
            </w:pPr>
            <w:r/>
            <w:r>
              <w:rPr>
                <w:rFonts w:ascii="David" w:hAnsi="David" w:cs="David"/>
                <w:b w:val="0"/>
                <w:sz w:val="20"/>
                <w:rtl/>
              </w:rPr>
              <w:t>144</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איתא בגמ׳ בברכות [מו.] ופסחים קד:] כל הברכות כולן פותח בהן בברוך …</w:t>
            </w:r>
          </w:p>
        </w:tc>
      </w:tr>
      <w:tr>
        <w:tc>
          <w:tcPr>
            <w:tcW w:type="dxa" w:w="850"/>
          </w:tcPr>
          <w:p>
            <w:pPr>
              <w:bidi/>
              <w:jc w:val="right"/>
            </w:pPr>
            <w:r/>
            <w:r>
              <w:rPr>
                <w:rFonts w:ascii="David" w:hAnsi="David" w:cs="David"/>
                <w:b w:val="0"/>
                <w:sz w:val="20"/>
                <w:rtl/>
              </w:rPr>
              <w:t>144</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ע״כ.  וכן הוא התוס׳ הרא״ש בברכות.] ותוס׳ רבי יהודה החסיד [שם.] …</w:t>
            </w:r>
          </w:p>
        </w:tc>
      </w:tr>
      <w:tr>
        <w:tc>
          <w:tcPr>
            <w:tcW w:type="dxa" w:w="850"/>
          </w:tcPr>
          <w:p>
            <w:pPr>
              <w:bidi/>
              <w:jc w:val="right"/>
            </w:pPr>
            <w:r/>
            <w:r>
              <w:rPr>
                <w:rFonts w:ascii="David" w:hAnsi="David" w:cs="David"/>
                <w:b w:val="0"/>
                <w:sz w:val="20"/>
                <w:rtl/>
              </w:rPr>
              <w:t>144</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וכמו שביאר הרמ״א דרכ״מ ריש סימן ו.] את הענין הנוסח של ברכת אשר יצר …</w:t>
            </w:r>
          </w:p>
        </w:tc>
      </w:tr>
      <w:tr>
        <w:tc>
          <w:tcPr>
            <w:tcW w:type="dxa" w:w="850"/>
          </w:tcPr>
          <w:p>
            <w:pPr>
              <w:bidi/>
              <w:jc w:val="right"/>
            </w:pPr>
            <w:r/>
            <w:r>
              <w:rPr>
                <w:rFonts w:ascii="David" w:hAnsi="David" w:cs="David"/>
                <w:b w:val="0"/>
                <w:sz w:val="20"/>
                <w:rtl/>
              </w:rPr>
              <w:t>144</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בעיקר הדבר אנו מוצאים שהמנחת שלמה [ב ד ס״ק כח. הסתפק בדבר הז הוביעקר …</w:t>
            </w:r>
          </w:p>
        </w:tc>
      </w:tr>
      <w:tr>
        <w:tc>
          <w:tcPr>
            <w:tcW w:type="dxa" w:w="850"/>
          </w:tcPr>
          <w:p>
            <w:pPr>
              <w:bidi/>
              <w:jc w:val="right"/>
            </w:pPr>
            <w:r/>
            <w:r>
              <w:rPr>
                <w:rFonts w:ascii="David" w:hAnsi="David" w:cs="David"/>
                <w:b w:val="0"/>
                <w:sz w:val="20"/>
                <w:rtl/>
              </w:rPr>
              <w:t>155</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נפסק בשו״ע מהלכות ציצית בסימן ח …</w:t>
            </w:r>
          </w:p>
        </w:tc>
      </w:tr>
      <w:tr>
        <w:tc>
          <w:tcPr>
            <w:tcW w:type="dxa" w:w="850"/>
          </w:tcPr>
          <w:p>
            <w:pPr>
              <w:bidi/>
              <w:jc w:val="right"/>
            </w:pPr>
            <w:r/>
            <w:r>
              <w:rPr>
                <w:rFonts w:ascii="David" w:hAnsi="David" w:cs="David"/>
                <w:b w:val="0"/>
                <w:sz w:val="20"/>
                <w:rtl/>
              </w:rPr>
              <w:t>155</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בהגהות רעק״א כתב וז״ל: לפ״ז גם …</w:t>
            </w:r>
          </w:p>
        </w:tc>
      </w:tr>
      <w:tr>
        <w:tc>
          <w:tcPr>
            <w:tcW w:type="dxa" w:w="850"/>
          </w:tcPr>
          <w:p>
            <w:pPr>
              <w:bidi/>
              <w:jc w:val="right"/>
            </w:pPr>
            <w:r/>
            <w:r>
              <w:rPr>
                <w:rFonts w:ascii="David" w:hAnsi="David" w:cs="David"/>
                <w:b w:val="0"/>
                <w:sz w:val="20"/>
                <w:rtl/>
              </w:rPr>
              <w:t>155</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אבל הפרי מגדים באשל אברהם (סק״ב) …</w:t>
            </w:r>
          </w:p>
        </w:tc>
      </w:tr>
      <w:tr>
        <w:tc>
          <w:tcPr>
            <w:tcW w:type="dxa" w:w="850"/>
          </w:tcPr>
          <w:p>
            <w:pPr>
              <w:bidi/>
              <w:jc w:val="right"/>
            </w:pPr>
            <w:r/>
            <w:r>
              <w:rPr>
                <w:rFonts w:ascii="David" w:hAnsi="David" w:cs="David"/>
                <w:b w:val="0"/>
                <w:sz w:val="20"/>
                <w:rtl/>
              </w:rPr>
              <w:t>155</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אמנם בביאור הגר״א (אות ג) כתב …</w:t>
            </w:r>
          </w:p>
        </w:tc>
      </w:tr>
      <w:tr>
        <w:tc>
          <w:tcPr>
            <w:tcW w:type="dxa" w:w="850"/>
          </w:tcPr>
          <w:p>
            <w:pPr>
              <w:bidi/>
              <w:jc w:val="right"/>
            </w:pPr>
            <w:r/>
            <w:r>
              <w:rPr>
                <w:rFonts w:ascii="David" w:hAnsi="David" w:cs="David"/>
                <w:b w:val="0"/>
                <w:sz w:val="20"/>
                <w:rtl/>
              </w:rPr>
              <w:t>155</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ה) הט״ז ביו״ד (סימן א ס״ק יז) חולק …</w:t>
            </w:r>
          </w:p>
        </w:tc>
      </w:tr>
      <w:tr>
        <w:tc>
          <w:tcPr>
            <w:tcW w:type="dxa" w:w="850"/>
          </w:tcPr>
          <w:p>
            <w:pPr>
              <w:bidi/>
              <w:jc w:val="right"/>
            </w:pPr>
            <w:r/>
            <w:r>
              <w:rPr>
                <w:rFonts w:ascii="David" w:hAnsi="David" w:cs="David"/>
                <w:b w:val="0"/>
                <w:sz w:val="20"/>
                <w:rtl/>
              </w:rPr>
              <w:t>164</w:t>
            </w:r>
          </w:p>
        </w:tc>
        <w:tc>
          <w:tcPr>
            <w:tcW w:type="dxa" w:w="2835"/>
          </w:tcPr>
          <w:p>
            <w:pPr>
              <w:bidi/>
              <w:jc w:val="right"/>
            </w:pPr>
            <w:r/>
            <w:r>
              <w:rPr>
                <w:rFonts w:ascii="David" w:hAnsi="David" w:cs="David"/>
                <w:b w:val="0"/>
                <w:sz w:val="20"/>
                <w:rtl/>
              </w:rPr>
              <w:t>בענין בדיקת הציציות ובדין של סמיכה על החזקה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[דף ב: מדה״פ.] ובשו״ת סימן סו.] והרא״ש [סימן ב.]</w:t>
            </w:r>
          </w:p>
        </w:tc>
      </w:tr>
      <w:tr>
        <w:tc>
          <w:tcPr>
            <w:tcW w:type="dxa" w:w="850"/>
          </w:tcPr>
          <w:p>
            <w:pPr>
              <w:bidi/>
              <w:jc w:val="right"/>
            </w:pPr>
            <w:r/>
            <w:r>
              <w:rPr>
                <w:rFonts w:ascii="David" w:hAnsi="David" w:cs="David"/>
                <w:b w:val="0"/>
                <w:sz w:val="20"/>
                <w:rtl/>
              </w:rPr>
              <w:t>188</w:t>
            </w:r>
          </w:p>
        </w:tc>
        <w:tc>
          <w:tcPr>
            <w:tcW w:type="dxa" w:w="2835"/>
          </w:tcPr>
          <w:p>
            <w:pPr>
              <w:bidi/>
              <w:jc w:val="right"/>
            </w:pPr>
            <w:r/>
            <w:r>
              <w:rPr>
                <w:rFonts w:ascii="David" w:hAnsi="David" w:cs="David"/>
                <w:b w:val="0"/>
                <w:sz w:val="20"/>
                <w:rtl/>
              </w:rPr>
              <w:t>מתי מתחיל זמן מצות ציצית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הנה הביא הב״י את דברי הרמב״ם …</w:t>
            </w:r>
          </w:p>
        </w:tc>
      </w:tr>
      <w:tr>
        <w:tc>
          <w:tcPr>
            <w:tcW w:type="dxa" w:w="850"/>
          </w:tcPr>
          <w:p>
            <w:pPr>
              <w:bidi/>
              <w:jc w:val="right"/>
            </w:pPr>
            <w:r/>
            <w:r>
              <w:rPr>
                <w:rFonts w:ascii="David" w:hAnsi="David" w:cs="David"/>
                <w:b w:val="0"/>
                <w:sz w:val="20"/>
                <w:rtl/>
              </w:rPr>
              <w:t>188</w:t>
            </w:r>
          </w:p>
        </w:tc>
        <w:tc>
          <w:tcPr>
            <w:tcW w:type="dxa" w:w="2835"/>
          </w:tcPr>
          <w:p>
            <w:pPr>
              <w:bidi/>
              <w:jc w:val="right"/>
            </w:pPr>
            <w:r/>
            <w:r>
              <w:rPr>
                <w:rFonts w:ascii="David" w:hAnsi="David" w:cs="David"/>
                <w:b w:val="0"/>
                <w:sz w:val="20"/>
                <w:rtl/>
              </w:rPr>
              <w:t>מתי מתחיל זמן מצות ציצית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אמנם רש״י שם (ד״ה כיון) כתב כיון …</w:t>
            </w:r>
          </w:p>
        </w:tc>
      </w:tr>
      <w:tr>
        <w:tc>
          <w:tcPr>
            <w:tcW w:type="dxa" w:w="850"/>
          </w:tcPr>
          <w:p>
            <w:pPr>
              <w:bidi/>
              <w:jc w:val="right"/>
            </w:pPr>
            <w:r/>
            <w:r>
              <w:rPr>
                <w:rFonts w:ascii="David" w:hAnsi="David" w:cs="David"/>
                <w:b w:val="0"/>
                <w:sz w:val="20"/>
                <w:rtl/>
              </w:rPr>
              <w:t>223</w:t>
            </w:r>
          </w:p>
        </w:tc>
        <w:tc>
          <w:tcPr>
            <w:tcW w:type="dxa" w:w="2835"/>
          </w:tcPr>
          <w:p>
            <w:pPr>
              <w:bidi/>
              <w:jc w:val="right"/>
            </w:pPr>
            <w:r/>
            <w:r>
              <w:rPr>
                <w:rFonts w:ascii="David" w:hAnsi="David" w:cs="David"/>
                <w:b w:val="0"/>
                <w:sz w:val="20"/>
                <w:rtl/>
              </w:rPr>
              <w:t>בדיני ברכת התורה והמקורות</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״איזהו מקומן״ וברייתא דר׳ ישמעאל [טעם ברכת כהנים ואלו דברים שצריך …</w:t>
            </w:r>
          </w:p>
        </w:tc>
      </w:tr>
      <w:tr>
        <w:tc>
          <w:tcPr>
            <w:tcW w:type="dxa" w:w="850"/>
          </w:tcPr>
          <w:p>
            <w:pPr>
              <w:bidi/>
              <w:jc w:val="right"/>
            </w:pPr>
            <w:r/>
            <w:r>
              <w:rPr>
                <w:rFonts w:ascii="David" w:hAnsi="David" w:cs="David"/>
                <w:b w:val="0"/>
                <w:sz w:val="20"/>
                <w:rtl/>
              </w:rPr>
              <w:t>235</w:t>
            </w:r>
          </w:p>
        </w:tc>
        <w:tc>
          <w:tcPr>
            <w:tcW w:type="dxa" w:w="2835"/>
          </w:tcPr>
          <w:p>
            <w:pPr>
              <w:bidi/>
              <w:jc w:val="right"/>
            </w:pPr>
            <w:r/>
            <w:r>
              <w:rPr>
                <w:rFonts w:ascii="David" w:hAnsi="David" w:cs="David"/>
                <w:b w:val="0"/>
                <w:sz w:val="20"/>
                <w:rtl/>
              </w:rPr>
              <w:t>סיכום שיטות הראשונים בדין זהירות בברכות התורה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(והמדקדק בדברי הגמ׳ ובדברי המפרש שם …</w:t>
            </w:r>
          </w:p>
        </w:tc>
      </w:tr>
      <w:tr>
        <w:tc>
          <w:tcPr>
            <w:tcW w:type="dxa" w:w="850"/>
          </w:tcPr>
          <w:p>
            <w:pPr>
              <w:bidi/>
              <w:jc w:val="right"/>
            </w:pPr>
            <w:r/>
            <w:r>
              <w:rPr>
                <w:rFonts w:ascii="David" w:hAnsi="David" w:cs="David"/>
                <w:b w:val="0"/>
                <w:sz w:val="20"/>
                <w:rtl/>
              </w:rPr>
              <w:t>235</w:t>
            </w:r>
          </w:p>
        </w:tc>
        <w:tc>
          <w:tcPr>
            <w:tcW w:type="dxa" w:w="2835"/>
          </w:tcPr>
          <w:p>
            <w:pPr>
              <w:bidi/>
              <w:jc w:val="right"/>
            </w:pPr>
            <w:r/>
            <w:r>
              <w:rPr>
                <w:rFonts w:ascii="David" w:hAnsi="David" w:cs="David"/>
                <w:b w:val="0"/>
                <w:sz w:val="20"/>
                <w:rtl/>
              </w:rPr>
              <w:t>סיכום שיטות הראשונים בדין זהירות בברכות התורה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ת״ח שוב אין תורה פוסקת מזרעו לעולם).</w:t>
            </w:r>
          </w:p>
        </w:tc>
      </w:tr>
      <w:tr>
        <w:tc>
          <w:tcPr>
            <w:tcW w:type="dxa" w:w="850"/>
          </w:tcPr>
          <w:p>
            <w:pPr>
              <w:bidi/>
              <w:jc w:val="right"/>
            </w:pPr>
            <w:r/>
            <w:r>
              <w:rPr>
                <w:rFonts w:ascii="David" w:hAnsi="David" w:cs="David"/>
                <w:b w:val="0"/>
                <w:sz w:val="20"/>
                <w:rtl/>
              </w:rPr>
              <w:t>258</w:t>
            </w:r>
          </w:p>
        </w:tc>
        <w:tc>
          <w:tcPr>
            <w:tcW w:type="dxa" w:w="2835"/>
          </w:tcPr>
          <w:p>
            <w:pPr>
              <w:bidi/>
              <w:jc w:val="right"/>
            </w:pPr>
            <w:r/>
            <w:r>
              <w:rPr>
                <w:rFonts w:ascii="David" w:hAnsi="David" w:cs="David"/>
                <w:b w:val="0"/>
                <w:sz w:val="20"/>
                <w:rtl/>
              </w:rPr>
              <w:t>בביאור גדר ברכות התורה לגבי הפסק וחיוב נשים</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איתא בגמ׳ (דף: ״אמר רב יהודא אמר שמואל השכים …</w:t>
            </w:r>
          </w:p>
        </w:tc>
      </w:tr>
      <w:tr>
        <w:tc>
          <w:tcPr>
            <w:tcW w:type="dxa" w:w="850"/>
          </w:tcPr>
          <w:p>
            <w:pPr>
              <w:bidi/>
              <w:jc w:val="right"/>
            </w:pPr>
            <w:r/>
            <w:r>
              <w:rPr>
                <w:rFonts w:ascii="David" w:hAnsi="David" w:cs="David"/>
                <w:b w:val="0"/>
                <w:sz w:val="20"/>
                <w:rtl/>
              </w:rPr>
              <w:t>269</w:t>
            </w:r>
          </w:p>
        </w:tc>
        <w:tc>
          <w:tcPr>
            <w:tcW w:type="dxa" w:w="2835"/>
          </w:tcPr>
          <w:p>
            <w:pPr>
              <w:bidi/>
              <w:jc w:val="right"/>
            </w:pPr>
            <w:r/>
            <w:r>
              <w:rPr>
                <w:rFonts w:ascii="David" w:hAnsi="David" w:cs="David"/>
                <w:b w:val="0"/>
                <w:sz w:val="20"/>
                <w:rtl/>
              </w:rPr>
              <w:t>ספק בירך ברכת התורה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הוא אלא בתורת קבלת עול מלכות שמים [ועל דרך שביאר הב״י בטעם הירושלמי …</w:t>
            </w:r>
          </w:p>
        </w:tc>
      </w:tr>
      <w:tr>
        <w:tc>
          <w:tcPr>
            <w:tcW w:type="dxa" w:w="850"/>
          </w:tcPr>
          <w:p>
            <w:pPr>
              <w:bidi/>
              <w:jc w:val="right"/>
            </w:pPr>
            <w:r/>
            <w:r>
              <w:rPr>
                <w:rFonts w:ascii="David" w:hAnsi="David" w:cs="David"/>
                <w:b w:val="0"/>
                <w:sz w:val="20"/>
                <w:rtl/>
              </w:rPr>
              <w:t>273</w:t>
            </w:r>
          </w:p>
        </w:tc>
        <w:tc>
          <w:tcPr>
            <w:tcW w:type="dxa" w:w="2835"/>
          </w:tcPr>
          <w:p>
            <w:pPr>
              <w:bidi/>
              <w:jc w:val="right"/>
            </w:pPr>
            <w:r/>
            <w:r>
              <w:rPr>
                <w:rFonts w:ascii="David" w:hAnsi="David" w:cs="David"/>
                <w:b w:val="0"/>
                <w:sz w:val="20"/>
                <w:rtl/>
              </w:rPr>
              <w:t>חיוב ברכת התורה לחתן בר מצוה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להתפלל ערבית לפני צאת הכוכבים (אפילו אם יחזור ויקרא ק״ש בלילה שלא …</w:t>
            </w:r>
          </w:p>
        </w:tc>
      </w:tr>
      <w:tr>
        <w:tc>
          <w:tcPr>
            <w:tcW w:type="dxa" w:w="850"/>
          </w:tcPr>
          <w:p>
            <w:pPr>
              <w:bidi/>
              <w:jc w:val="right"/>
            </w:pPr>
            <w:r/>
            <w:r>
              <w:rPr>
                <w:rFonts w:ascii="David" w:hAnsi="David" w:cs="David"/>
                <w:b w:val="0"/>
                <w:sz w:val="20"/>
                <w:rtl/>
              </w:rPr>
              <w:t>288</w:t>
            </w:r>
          </w:p>
        </w:tc>
        <w:tc>
          <w:tcPr>
            <w:tcW w:type="dxa" w:w="2835"/>
          </w:tcPr>
          <w:p>
            <w:pPr>
              <w:bidi/>
              <w:jc w:val="right"/>
            </w:pPr>
            <w:r/>
            <w:r>
              <w:rPr>
                <w:rFonts w:ascii="David" w:hAnsi="David" w:cs="David"/>
                <w:b w:val="0"/>
                <w:sz w:val="20"/>
                <w:rtl/>
              </w:rPr>
              <w:t>בענין ברכות 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צדקך״ שביארו בירולשמי ברכות א.ה] שזה קאי על ז׳ הברכות שאנו אומרים …</w:t>
            </w:r>
          </w:p>
        </w:tc>
      </w:tr>
      <w:tr>
        <w:tc>
          <w:tcPr>
            <w:tcW w:type="dxa" w:w="850"/>
          </w:tcPr>
          <w:p>
            <w:pPr>
              <w:bidi/>
              <w:jc w:val="right"/>
            </w:pPr>
            <w:r/>
            <w:r>
              <w:rPr>
                <w:rFonts w:ascii="David" w:hAnsi="David" w:cs="David"/>
                <w:b w:val="0"/>
                <w:sz w:val="20"/>
                <w:rtl/>
              </w:rPr>
              <w:t>288</w:t>
            </w:r>
          </w:p>
        </w:tc>
        <w:tc>
          <w:tcPr>
            <w:tcW w:type="dxa" w:w="2835"/>
          </w:tcPr>
          <w:p>
            <w:pPr>
              <w:bidi/>
              <w:jc w:val="right"/>
            </w:pPr>
            <w:r/>
            <w:r>
              <w:rPr>
                <w:rFonts w:ascii="David" w:hAnsi="David" w:cs="David"/>
                <w:b w:val="0"/>
                <w:sz w:val="20"/>
                <w:rtl/>
              </w:rPr>
              <w:t>בענין ברכות 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מיוחד שהוי דבר שהנמה נהנית בו.] [עיין בחידושי ר׳ דוד שם וחידושי …</w:t>
            </w:r>
          </w:p>
        </w:tc>
      </w:tr>
      <w:tr>
        <w:tc>
          <w:tcPr>
            <w:tcW w:type="dxa" w:w="850"/>
          </w:tcPr>
          <w:p>
            <w:pPr>
              <w:bidi/>
              <w:jc w:val="right"/>
            </w:pPr>
            <w:r/>
            <w:r>
              <w:rPr>
                <w:rFonts w:ascii="David" w:hAnsi="David" w:cs="David"/>
                <w:b w:val="0"/>
                <w:sz w:val="20"/>
                <w:rtl/>
              </w:rPr>
              <w:t>288</w:t>
            </w:r>
          </w:p>
        </w:tc>
        <w:tc>
          <w:tcPr>
            <w:tcW w:type="dxa" w:w="2835"/>
          </w:tcPr>
          <w:p>
            <w:pPr>
              <w:bidi/>
              <w:jc w:val="right"/>
            </w:pPr>
            <w:r/>
            <w:r>
              <w:rPr>
                <w:rFonts w:ascii="David" w:hAnsi="David" w:cs="David"/>
                <w:b w:val="0"/>
                <w:sz w:val="20"/>
                <w:rtl/>
              </w:rPr>
              <w:t>בענין ברכות 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הנה מבואר במשנה ברכות יג.] היה קורא בתורה והגיע זמן המקרא אם …</w:t>
            </w:r>
          </w:p>
        </w:tc>
      </w:tr>
      <w:tr>
        <w:tc>
          <w:tcPr>
            <w:tcW w:type="dxa" w:w="850"/>
          </w:tcPr>
          <w:p>
            <w:pPr>
              <w:bidi/>
              <w:jc w:val="right"/>
            </w:pPr>
            <w:r/>
            <w:r>
              <w:rPr>
                <w:rFonts w:ascii="David" w:hAnsi="David" w:cs="David"/>
                <w:b w:val="0"/>
                <w:sz w:val="20"/>
                <w:rtl/>
              </w:rPr>
              <w:t>307</w:t>
            </w:r>
          </w:p>
        </w:tc>
        <w:tc>
          <w:tcPr>
            <w:tcW w:type="dxa" w:w="2835"/>
          </w:tcPr>
          <w:p>
            <w:pPr>
              <w:bidi/>
              <w:jc w:val="right"/>
            </w:pPr>
            <w:r/>
            <w:r>
              <w:rPr>
                <w:rFonts w:ascii="David" w:hAnsi="David" w:cs="David"/>
                <w:b w:val="0"/>
                <w:sz w:val="20"/>
                <w:rtl/>
              </w:rPr>
              <w:t>גדר רואין זה את זה בצירוף עשרה למנין</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הנה מבואר בהגמ׳ (עירובין צ״ב(: דעשרה שרוצים להצטרף …</w:t>
            </w:r>
          </w:p>
        </w:tc>
      </w:tr>
      <w:tr>
        <w:tc>
          <w:tcPr>
            <w:tcW w:type="dxa" w:w="850"/>
          </w:tcPr>
          <w:p>
            <w:pPr>
              <w:bidi/>
              <w:jc w:val="right"/>
            </w:pPr>
            <w:r/>
            <w:r>
              <w:rPr>
                <w:rFonts w:ascii="David" w:hAnsi="David" w:cs="David"/>
                <w:b w:val="0"/>
                <w:sz w:val="20"/>
                <w:rtl/>
              </w:rPr>
              <w:t>328</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ויל״פ בסברא זו דלכוא׳ ??? בהא דמהני רואים אלו את אלו …</w:t>
            </w:r>
          </w:p>
        </w:tc>
      </w:tr>
      <w:tr>
        <w:tc>
          <w:tcPr>
            <w:tcW w:type="dxa" w:w="850"/>
          </w:tcPr>
          <w:p>
            <w:pPr>
              <w:bidi/>
              <w:jc w:val="right"/>
            </w:pPr>
            <w:r/>
            <w:r>
              <w:rPr>
                <w:rFonts w:ascii="David" w:hAnsi="David" w:cs="David"/>
                <w:b w:val="0"/>
                <w:sz w:val="20"/>
                <w:rtl/>
              </w:rPr>
              <w:t>328</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מטעם דאין המחיצות מגיעות לגג עוד ??? דגם הגר״א לא פשיט״ל כד׳ הרשב״א …</w:t>
            </w:r>
          </w:p>
        </w:tc>
      </w:tr>
      <w:tr>
        <w:tc>
          <w:tcPr>
            <w:tcW w:type="dxa" w:w="850"/>
          </w:tcPr>
          <w:p>
            <w:pPr>
              <w:bidi/>
              <w:jc w:val="right"/>
            </w:pPr>
            <w:r/>
            <w:r>
              <w:rPr>
                <w:rFonts w:ascii="David" w:hAnsi="David" w:cs="David"/>
                <w:b w:val="0"/>
                <w:sz w:val="20"/>
                <w:rtl/>
              </w:rPr>
              <w:t>328</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דדנו בתיבה מצד סברות אחרות ואח״כ ??? ואם כהרדב״ז בל״ה מצטרף משום דרגלי …</w:t>
            </w:r>
          </w:p>
        </w:tc>
      </w:tr>
      <w:tr>
        <w:tc>
          <w:tcPr>
            <w:tcW w:type="dxa" w:w="850"/>
          </w:tcPr>
          <w:p>
            <w:pPr>
              <w:bidi/>
              <w:jc w:val="right"/>
            </w:pPr>
            <w:r/>
            <w:r>
              <w:rPr>
                <w:rFonts w:ascii="David" w:hAnsi="David" w:cs="David"/>
                <w:b w:val="0"/>
                <w:sz w:val="20"/>
                <w:rtl/>
              </w:rPr>
              <w:t>328</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בכמה דברים, בעושים בימה גבוהה ??? מחיצות ולכאורה הרי בעי׳ קריאה״ת …</w:t>
            </w:r>
          </w:p>
        </w:tc>
      </w:tr>
      <w:tr>
        <w:tc>
          <w:tcPr>
            <w:tcW w:type="dxa" w:w="850"/>
          </w:tcPr>
          <w:p>
            <w:pPr>
              <w:bidi/>
              <w:jc w:val="right"/>
            </w:pPr>
            <w:r/>
            <w:r>
              <w:rPr>
                <w:rFonts w:ascii="David" w:hAnsi="David" w:cs="David"/>
                <w:b w:val="0"/>
                <w:sz w:val="20"/>
                <w:rtl/>
              </w:rPr>
              <w:t>328</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להצטרף ל״י ו???? דצ״ב דברדב״ז מבואר דהיינו אף …</w:t>
            </w:r>
          </w:p>
        </w:tc>
      </w:tr>
      <w:tr>
        <w:tc>
          <w:tcPr>
            <w:tcW w:type="dxa" w:w="850"/>
          </w:tcPr>
          <w:p>
            <w:pPr>
              <w:bidi/>
              <w:jc w:val="right"/>
            </w:pPr>
            <w:r/>
            <w:r>
              <w:rPr>
                <w:rFonts w:ascii="David" w:hAnsi="David" w:cs="David"/>
                <w:b w:val="0"/>
                <w:sz w:val="20"/>
                <w:rtl/>
              </w:rPr>
              <w:t>328</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וא״כ למש״כ הרשב״א שפיר מצטרפים, [ואומנם בספר משברי ים תפילה סי׳ ל״ח …</w:t>
            </w:r>
          </w:p>
        </w:tc>
      </w:tr>
      <w:tr>
        <w:tc>
          <w:tcPr>
            <w:tcW w:type="dxa" w:w="850"/>
          </w:tcPr>
          <w:p>
            <w:pPr>
              <w:bidi/>
              <w:jc w:val="right"/>
            </w:pPr>
            <w:r/>
            <w:r>
              <w:rPr>
                <w:rFonts w:ascii="David" w:hAnsi="David" w:cs="David"/>
                <w:b w:val="0"/>
                <w:sz w:val="20"/>
                <w:rtl/>
              </w:rPr>
              <w:t>328</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זהו להרשב״א אבל הגר״א הא פליג ע״ז [והנה גם הסמ״ק פליג אך לכאורה בכה״ג …</w:t>
            </w:r>
          </w:p>
        </w:tc>
      </w:tr>
      <w:tr>
        <w:tc>
          <w:tcPr>
            <w:tcW w:type="dxa" w:w="850"/>
          </w:tcPr>
          <w:p>
            <w:pPr>
              <w:bidi/>
              <w:jc w:val="right"/>
            </w:pPr>
            <w:r/>
            <w:r>
              <w:rPr>
                <w:rFonts w:ascii="David" w:hAnsi="David" w:cs="David"/>
                <w:b w:val="0"/>
                <w:sz w:val="20"/>
                <w:rtl/>
              </w:rPr>
              <w:t>334</w:t>
            </w:r>
          </w:p>
        </w:tc>
        <w:tc>
          <w:tcPr>
            <w:tcW w:type="dxa" w:w="2835"/>
          </w:tcPr>
          <w:p>
            <w:pPr>
              <w:bidi/>
              <w:jc w:val="right"/>
            </w:pPr>
            <w:r/>
            <w:r>
              <w:rPr>
                <w:rFonts w:ascii="David" w:hAnsi="David" w:cs="David"/>
                <w:b w:val="0"/>
                <w:sz w:val="20"/>
                <w:rtl/>
              </w:rPr>
              <w:t>בענין קדיש דרבנן</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וכמו שמבואר בברכות כא: ומגילה כג.] וממילא צריך שיהיו דוקא י׳ גדולים …</w:t>
            </w:r>
          </w:p>
        </w:tc>
      </w:tr>
      <w:tr>
        <w:tc>
          <w:tcPr>
            <w:tcW w:type="dxa" w:w="850"/>
          </w:tcPr>
          <w:p>
            <w:pPr>
              <w:bidi/>
              <w:jc w:val="right"/>
            </w:pPr>
            <w:r/>
            <w:r>
              <w:rPr>
                <w:rFonts w:ascii="David" w:hAnsi="David" w:cs="David"/>
                <w:b w:val="0"/>
                <w:sz w:val="20"/>
                <w:rtl/>
              </w:rPr>
              <w:t>334</w:t>
            </w:r>
          </w:p>
        </w:tc>
        <w:tc>
          <w:tcPr>
            <w:tcW w:type="dxa" w:w="2835"/>
          </w:tcPr>
          <w:p>
            <w:pPr>
              <w:bidi/>
              <w:jc w:val="right"/>
            </w:pPr>
            <w:r/>
            <w:r>
              <w:rPr>
                <w:rFonts w:ascii="David" w:hAnsi="David" w:cs="David"/>
                <w:b w:val="0"/>
                <w:sz w:val="20"/>
                <w:rtl/>
              </w:rPr>
              <w:t>בענין קדיש דרבנן</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וכוונתו שכן מבואר שם ברמ״א סעיף א.] אין לומר אשרי שקודם מנחה אלא כשיש …</w:t>
            </w:r>
          </w:p>
        </w:tc>
      </w:tr>
      <w:tr>
        <w:tc>
          <w:tcPr>
            <w:tcW w:type="dxa" w:w="850"/>
          </w:tcPr>
          <w:p>
            <w:pPr>
              <w:bidi/>
              <w:jc w:val="right"/>
            </w:pPr>
            <w:r/>
            <w:r>
              <w:rPr>
                <w:rFonts w:ascii="David" w:hAnsi="David" w:cs="David"/>
                <w:b w:val="0"/>
                <w:sz w:val="20"/>
                <w:rtl/>
              </w:rPr>
              <w:t>334</w:t>
            </w:r>
          </w:p>
        </w:tc>
        <w:tc>
          <w:tcPr>
            <w:tcW w:type="dxa" w:w="2835"/>
          </w:tcPr>
          <w:p>
            <w:pPr>
              <w:bidi/>
              <w:jc w:val="right"/>
            </w:pPr>
            <w:r/>
            <w:r>
              <w:rPr>
                <w:rFonts w:ascii="David" w:hAnsi="David" w:cs="David"/>
                <w:b w:val="0"/>
                <w:sz w:val="20"/>
                <w:rtl/>
              </w:rPr>
              <w:t>בענין קדיש דרבנן</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וכך הוא נמי הסכת המגר״א רלד.ה]</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מקשה התוס לקמן (דף י:) הלכה כרבי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ועוד יש לעיין בדברי התוס׳ שלכאו׳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אומנם דבריו מוקשים ביותר שזה דוחק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כתב הרא״ש (סימן י׳) וא״ת והוא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(ב״י סימן נח). והב״ח שם פר״ח נח.א (מאמר מרדכי סימן נח סק״ב ועוד.]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(מאמר מרדכי סימן נח סק״ב ועוד.] בדבריו כמו שהתבאר נמי בדברי הרי״ף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צ״ב מה המקור לדברי הרמב״ם והנה יש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ועוד צ״ע כיצד יש לפרש דברי הגמ׳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ומיהו בהלכות תפילה (פ״ג ה״א)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והנה בעיקר דברי הרמב״ם התבאר שאנו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ה) ובאמת נראה שגם בפירוש המשנוית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ו) זאת ועוד שלא נראה מלישנא דגמ׳ שיש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ז) ומאידך אנו מוצאים שהרמב״ם בתשובה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ח) ועוד צ״ב מדוע לא הביא כמו הרי״ף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ט) יש לעיין לשיטת הרי״ף והרמב״ם שזה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ולהכי לא פריך ליה גבי ק״ש שהיה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והנה תמוה מאוד מה היכי תימצה מעלה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והטעם מבואר ברע״א (פ״ג מ״ה) וז״ל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ויש לעיין בדבריו אם יש קפידא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צ״ע דבגמ׳ (ברכות דף כב:) ירד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אמנם יש להקשות מדאיתא בשנות אליהו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הערה בשנות אליהו במשניות ד״ה עד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עוד קשה ביאור הגר״א על שו״ע (סי׳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וכן קשה על משנ״ב (סי׳ נ״ח ס״ק ג׳)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כדי לקיים ק״ש במצווה מן המובחר] וכדי להספיק אותו מניין שמתפללים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זירא בהידור מצווה עד שליש במצווה [שאם מוצא ב׳ ספרי תורות לקנות ואחד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להראות???? של ספר תורה ותפארת בעלה].</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כדי להראות חזותו לרבים רש״י להראות???? של ספר תורה ותפארת בעלה].</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עיין בתוס׳ (ד״ה ׳לק״ש׳) דס״ל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והנה יש לעיין בדברי התוס׳ הכא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ועיין במאמר מרדכי (סי׳ נח סק״ב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והנה לעיל הבאנו דברי הרא״ש (סימן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והנה מדבריו נראה דאביי דפסק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 ונראה דדין זה תלוי בביאור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ז]. ועי׳ ברי״ף (דף ד: - ה.) וז״ל: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ח]. כתב הרמב״ם (פ״א מהל׳ קר״ש הי״א)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 ובאמת צ״ב בשיטת הרמב״ם מה מקור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 אלא דהאמת דגם ברמב״ם גופא אינו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יא]. והנה לשון הרמב״ם מבואר דמה שאפשר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יב]. יל״ד לדעת הרמב״ם והרי״ף דעיקר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יג]. עיין בתוס׳ ביומא (דף לז: ד״ה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יד]. בתוס׳ ביומא (שם) הביאו עוד שיטה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טו]. כתב הרבנו יונה (ד: ד״ה ׳תניא׳)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טז]. והנה יש לעיין בפי׳ הרב״י דהרי אם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יז]. פסק השו״ע (סימן נח סעיף א) ״זמן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יח]. ועי׳ ברכי יוסף (ס״ק ב) שהקשה במה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יט]. כתב במעשה רב (סימן כה) ״להתפלל …</w:t>
            </w:r>
          </w:p>
        </w:tc>
      </w:tr>
      <w:tr>
        <w:tc>
          <w:tcPr>
            <w:tcW w:type="dxa" w:w="850"/>
          </w:tcPr>
          <w:p>
            <w:pPr>
              <w:bidi/>
              <w:jc w:val="right"/>
            </w:pPr>
            <w:r/>
            <w:r>
              <w:rPr>
                <w:rFonts w:ascii="David" w:hAnsi="David" w:cs="David"/>
                <w:b w:val="0"/>
                <w:sz w:val="20"/>
                <w:rtl/>
              </w:rPr>
              <w:t>376</w:t>
            </w:r>
          </w:p>
        </w:tc>
        <w:tc>
          <w:tcPr>
            <w:tcW w:type="dxa" w:w="2835"/>
          </w:tcPr>
          <w:p>
            <w:pPr>
              <w:bidi/>
              <w:jc w:val="right"/>
            </w:pPr>
            <w:r/>
            <w:r>
              <w:rPr>
                <w:rFonts w:ascii="David" w:hAnsi="David" w:cs="David"/>
                <w:b w:val="0"/>
                <w:sz w:val="20"/>
                <w:rtl/>
              </w:rPr>
              <w:t>בענין עניית אמן באמצע הברכה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ש״צ מילה במילה כל הברכה וחתימתה ??? אמן להם לענות אמן דא״כ המ״ל עונה …</w:t>
            </w:r>
          </w:p>
        </w:tc>
      </w:tr>
      <w:tr>
        <w:tc>
          <w:tcPr>
            <w:tcW w:type="dxa" w:w="850"/>
          </w:tcPr>
          <w:p>
            <w:pPr>
              <w:bidi/>
              <w:jc w:val="right"/>
            </w:pPr>
            <w:r/>
            <w:r>
              <w:rPr>
                <w:rFonts w:ascii="David" w:hAnsi="David" w:cs="David"/>
                <w:b w:val="0"/>
                <w:sz w:val="20"/>
                <w:rtl/>
              </w:rPr>
              <w:t>376</w:t>
            </w:r>
          </w:p>
        </w:tc>
        <w:tc>
          <w:tcPr>
            <w:tcW w:type="dxa" w:w="2835"/>
          </w:tcPr>
          <w:p>
            <w:pPr>
              <w:bidi/>
              <w:jc w:val="right"/>
            </w:pPr>
            <w:r/>
            <w:r>
              <w:rPr>
                <w:rFonts w:ascii="David" w:hAnsi="David" w:cs="David"/>
                <w:b w:val="0"/>
                <w:sz w:val="20"/>
                <w:rtl/>
              </w:rPr>
              <w:t>בענין עניית אמן באמצע הברכה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היה נוהג אבל שאר אדם רשאי מיעבד ??? אם למהר ולענות אמן הרשות בידו ואם …</w:t>
            </w:r>
          </w:p>
        </w:tc>
      </w:tr>
      <w:tr>
        <w:tc>
          <w:tcPr>
            <w:tcW w:type="dxa" w:w="850"/>
          </w:tcPr>
          <w:p>
            <w:pPr>
              <w:bidi/>
              <w:jc w:val="right"/>
            </w:pPr>
            <w:r/>
            <w:r>
              <w:rPr>
                <w:rFonts w:ascii="David" w:hAnsi="David" w:cs="David"/>
                <w:b w:val="0"/>
                <w:sz w:val="20"/>
                <w:rtl/>
              </w:rPr>
              <w:t>376</w:t>
            </w:r>
          </w:p>
        </w:tc>
        <w:tc>
          <w:tcPr>
            <w:tcW w:type="dxa" w:w="2835"/>
          </w:tcPr>
          <w:p>
            <w:pPr>
              <w:bidi/>
              <w:jc w:val="right"/>
            </w:pPr>
            <w:r/>
            <w:r>
              <w:rPr>
                <w:rFonts w:ascii="David" w:hAnsi="David" w:cs="David"/>
                <w:b w:val="0"/>
                <w:sz w:val="20"/>
                <w:rtl/>
              </w:rPr>
              <w:t>בענין עניית אמן באמצע הברכה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ברוך אתה ה׳ שבאמצע ברכת ברוך שאמר ??? אז הוי רק שבחא בעלמא.</w:t>
            </w:r>
          </w:p>
        </w:tc>
      </w:tr>
      <w:tr>
        <w:tc>
          <w:tcPr>
            <w:tcW w:type="dxa" w:w="850"/>
          </w:tcPr>
          <w:p>
            <w:pPr>
              <w:bidi/>
              <w:jc w:val="right"/>
            </w:pPr>
            <w:r/>
            <w:r>
              <w:rPr>
                <w:rFonts w:ascii="David" w:hAnsi="David" w:cs="David"/>
                <w:b w:val="0"/>
                <w:sz w:val="20"/>
                <w:rtl/>
              </w:rPr>
              <w:t>376</w:t>
            </w:r>
          </w:p>
        </w:tc>
        <w:tc>
          <w:tcPr>
            <w:tcW w:type="dxa" w:w="2835"/>
          </w:tcPr>
          <w:p>
            <w:pPr>
              <w:bidi/>
              <w:jc w:val="right"/>
            </w:pPr>
            <w:r/>
            <w:r>
              <w:rPr>
                <w:rFonts w:ascii="David" w:hAnsi="David" w:cs="David"/>
                <w:b w:val="0"/>
                <w:sz w:val="20"/>
                <w:rtl/>
              </w:rPr>
              <w:t>בענין עניית אמן באמצע הברכה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באמצע ברכת ישתבח שאינו כשאר ??? לעיל בברכה של ״ברוך שאמר״ וכו׳ …</w:t>
            </w:r>
          </w:p>
        </w:tc>
      </w:tr>
      <w:tr>
        <w:tc>
          <w:tcPr>
            <w:tcW w:type="dxa" w:w="850"/>
          </w:tcPr>
          <w:p>
            <w:pPr>
              <w:bidi/>
              <w:jc w:val="right"/>
            </w:pPr>
            <w:r/>
            <w:r>
              <w:rPr>
                <w:rFonts w:ascii="David" w:hAnsi="David" w:cs="David"/>
                <w:b w:val="0"/>
                <w:sz w:val="20"/>
                <w:rtl/>
              </w:rPr>
              <w:t>383</w:t>
            </w:r>
          </w:p>
        </w:tc>
        <w:tc>
          <w:tcPr>
            <w:tcW w:type="dxa" w:w="2835"/>
          </w:tcPr>
          <w:p>
            <w:pPr>
              <w:bidi/>
              <w:jc w:val="right"/>
            </w:pPr>
            <w:r/>
            <w:r>
              <w:rPr>
                <w:rFonts w:ascii="David" w:hAnsi="David" w:cs="David"/>
                <w:b w:val="0"/>
                <w:sz w:val="20"/>
                <w:rtl/>
              </w:rPr>
              <w:t>בענין סוף זמן בק״ש</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דהב״י שמה הביא שהרי״ף והרא״ש א׳ ???? דליתא לדר׳ היכא דטעי והתפלל עד …</w:t>
            </w:r>
          </w:p>
        </w:tc>
      </w:tr>
      <w:tr>
        <w:tc>
          <w:tcPr>
            <w:tcW w:type="dxa" w:w="850"/>
          </w:tcPr>
          <w:p>
            <w:pPr>
              <w:bidi/>
              <w:jc w:val="right"/>
            </w:pPr>
            <w:r/>
            <w:r>
              <w:rPr>
                <w:rFonts w:ascii="David" w:hAnsi="David" w:cs="David"/>
                <w:b w:val="0"/>
                <w:sz w:val="20"/>
                <w:rtl/>
              </w:rPr>
              <w:t>401</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ושורש הסוגיה מבואר בר״ה כח. כט.] ששם בעיקר אנו מוצאים מח׳ יסודית …</w:t>
            </w:r>
          </w:p>
        </w:tc>
      </w:tr>
      <w:tr>
        <w:tc>
          <w:tcPr>
            <w:tcW w:type="dxa" w:w="850"/>
          </w:tcPr>
          <w:p>
            <w:pPr>
              <w:bidi/>
              <w:jc w:val="right"/>
            </w:pPr>
            <w:r/>
            <w:r>
              <w:rPr>
                <w:rFonts w:ascii="David" w:hAnsi="David" w:cs="David"/>
                <w:b w:val="0"/>
                <w:sz w:val="20"/>
                <w:rtl/>
              </w:rPr>
              <w:t>401</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דברי ר׳ זירא משום דס״ל דהכי הלכתא( אף על גב דרבה ורבא והנך דשלחו …</w:t>
            </w:r>
          </w:p>
        </w:tc>
      </w:tr>
      <w:tr>
        <w:tc>
          <w:tcPr>
            <w:tcW w:type="dxa" w:w="850"/>
          </w:tcPr>
          <w:p>
            <w:pPr>
              <w:bidi/>
              <w:jc w:val="right"/>
            </w:pPr>
            <w:r/>
            <w:r>
              <w:rPr>
                <w:rFonts w:ascii="David" w:hAnsi="David" w:cs="David"/>
                <w:b w:val="0"/>
                <w:sz w:val="20"/>
                <w:rtl/>
              </w:rPr>
              <w:t>401</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לגופה כמבואר בגמ׳ בשבת כט: ועוד.] שנח׳ שם ר״י ור״ש גבי הדין של …</w:t>
            </w:r>
          </w:p>
        </w:tc>
      </w:tr>
      <w:tr>
        <w:tc>
          <w:tcPr>
            <w:tcW w:type="dxa" w:w="850"/>
          </w:tcPr>
          <w:p>
            <w:pPr>
              <w:bidi/>
              <w:jc w:val="right"/>
            </w:pPr>
            <w:r/>
            <w:r>
              <w:rPr>
                <w:rFonts w:ascii="David" w:hAnsi="David" w:cs="David"/>
                <w:b w:val="0"/>
                <w:sz w:val="20"/>
                <w:rtl/>
              </w:rPr>
              <w:t>401</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שאיתא בדברי חז״ל באיזהו מקומן [שבת [לג:] ירושלמי שביעית [ט.א] …</w:t>
            </w:r>
          </w:p>
        </w:tc>
      </w:tr>
      <w:tr>
        <w:tc>
          <w:tcPr>
            <w:tcW w:type="dxa" w:w="850"/>
          </w:tcPr>
          <w:p>
            <w:pPr>
              <w:bidi/>
              <w:jc w:val="right"/>
            </w:pPr>
            <w:r/>
            <w:r>
              <w:rPr>
                <w:rFonts w:ascii="David" w:hAnsi="David" w:cs="David"/>
                <w:b w:val="0"/>
                <w:sz w:val="20"/>
                <w:rtl/>
              </w:rPr>
              <w:t>401</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שהוא כלל לא שיבח את מעשיהם הללו [ועיין נמי עוד בענין זה בע״ז [ג:]</w:t>
            </w:r>
          </w:p>
        </w:tc>
      </w:tr>
      <w:tr>
        <w:tc>
          <w:tcPr>
            <w:tcW w:type="dxa" w:w="850"/>
          </w:tcPr>
          <w:p>
            <w:pPr>
              <w:bidi/>
              <w:jc w:val="right"/>
            </w:pPr>
            <w:r/>
            <w:r>
              <w:rPr>
                <w:rFonts w:ascii="David" w:hAnsi="David" w:cs="David"/>
                <w:b w:val="0"/>
                <w:sz w:val="20"/>
                <w:rtl/>
              </w:rPr>
              <w:t>401</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סימן ט. להרב אברהם יהודה שווארץ] שאכן למא״ד מצות אי״צ כוונה אנו …</w:t>
            </w:r>
          </w:p>
        </w:tc>
      </w:tr>
      <w:tr>
        <w:tc>
          <w:tcPr>
            <w:tcW w:type="dxa" w:w="850"/>
          </w:tcPr>
          <w:p>
            <w:pPr>
              <w:bidi/>
              <w:jc w:val="right"/>
            </w:pPr>
            <w:r/>
            <w:r>
              <w:rPr>
                <w:rFonts w:ascii="David" w:hAnsi="David" w:cs="David"/>
                <w:b w:val="0"/>
                <w:sz w:val="20"/>
                <w:rtl/>
              </w:rPr>
              <w:t>401</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דברי ר׳ זירא משום דס״ל דהכי הלכתא( אף על גב דרבה ורבא והנך דשלחו …</w:t>
            </w:r>
          </w:p>
        </w:tc>
      </w:tr>
      <w:tr>
        <w:tc>
          <w:tcPr>
            <w:tcW w:type="dxa" w:w="850"/>
          </w:tcPr>
          <w:p>
            <w:pPr>
              <w:bidi/>
              <w:jc w:val="right"/>
            </w:pPr>
            <w:r/>
            <w:r>
              <w:rPr>
                <w:rFonts w:ascii="David" w:hAnsi="David" w:cs="David"/>
                <w:b w:val="0"/>
                <w:sz w:val="20"/>
                <w:rtl/>
              </w:rPr>
              <w:t>401</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בדברי הרשב״א ברוכת יג: ד״ה שמע.] שהוא נמי עמד על עיקר הדבר בביאור …</w:t>
            </w:r>
          </w:p>
        </w:tc>
      </w:tr>
      <w:tr>
        <w:tc>
          <w:tcPr>
            <w:tcW w:type="dxa" w:w="850"/>
          </w:tcPr>
          <w:p>
            <w:pPr>
              <w:bidi/>
              <w:jc w:val="right"/>
            </w:pPr>
            <w:r/>
            <w:r>
              <w:rPr>
                <w:rFonts w:ascii="David" w:hAnsi="David" w:cs="David"/>
                <w:b w:val="0"/>
                <w:sz w:val="20"/>
                <w:rtl/>
              </w:rPr>
              <w:t>401</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וכן ראיתי בחידשוי הרשב״ץ ]הנד״מ ע״י מכון אהבת שלום ברכת יג. …</w:t>
            </w:r>
          </w:p>
        </w:tc>
      </w:tr>
      <w:tr>
        <w:tc>
          <w:tcPr>
            <w:tcW w:type="dxa" w:w="850"/>
          </w:tcPr>
          <w:p>
            <w:pPr>
              <w:bidi/>
              <w:jc w:val="right"/>
            </w:pPr>
            <w:r/>
            <w:r>
              <w:rPr>
                <w:rFonts w:ascii="David" w:hAnsi="David" w:cs="David"/>
                <w:b w:val="0"/>
                <w:sz w:val="20"/>
                <w:rtl/>
              </w:rPr>
              <w:t>401</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שאז אכן מודה הרמב״ם שצריך כוונה. [ובעיקר מה שיש לדון בדבריו של הר״ן …</w:t>
            </w:r>
          </w:p>
        </w:tc>
      </w:tr>
      <w:tr>
        <w:tc>
          <w:tcPr>
            <w:tcW w:type="dxa" w:w="850"/>
          </w:tcPr>
          <w:p>
            <w:pPr>
              <w:bidi/>
              <w:jc w:val="right"/>
            </w:pPr>
            <w:r/>
            <w:r>
              <w:rPr>
                <w:rFonts w:ascii="David" w:hAnsi="David" w:cs="David"/>
                <w:b w:val="0"/>
                <w:sz w:val="20"/>
                <w:rtl/>
              </w:rPr>
              <w:t>401</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אי״צ כוונה וכמו שכתב בברכות יג.] ובר״ה כח.] שלהלכה מצות אי״צ כוונה …</w:t>
            </w:r>
          </w:p>
        </w:tc>
      </w:tr>
      <w:tr>
        <w:tc>
          <w:tcPr>
            <w:tcW w:type="dxa" w:w="850"/>
          </w:tcPr>
          <w:p>
            <w:pPr>
              <w:bidi/>
              <w:jc w:val="right"/>
            </w:pPr>
            <w:r/>
            <w:r>
              <w:rPr>
                <w:rFonts w:ascii="David" w:hAnsi="David" w:cs="David"/>
                <w:b w:val="0"/>
                <w:sz w:val="20"/>
                <w:rtl/>
              </w:rPr>
              <w:t>401</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ממה שאנו מוצאים במשנה במגילה יח.] ונפסק ברמב״ם מגילה [פרק ב. ה.] …</w:t>
            </w:r>
          </w:p>
        </w:tc>
      </w:tr>
      <w:tr>
        <w:tc>
          <w:tcPr>
            <w:tcW w:type="dxa" w:w="850"/>
          </w:tcPr>
          <w:p>
            <w:pPr>
              <w:bidi/>
              <w:jc w:val="right"/>
            </w:pPr>
            <w:r/>
            <w:r>
              <w:rPr>
                <w:rFonts w:ascii="David" w:hAnsi="David" w:cs="David"/>
                <w:b w:val="0"/>
                <w:sz w:val="20"/>
                <w:rtl/>
              </w:rPr>
              <w:t>401</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דברי ר׳ זירא משום דס״ל דהכי הלכתא( אף על גב דרבה ורבא והנך דשלחו …</w:t>
            </w:r>
          </w:p>
        </w:tc>
      </w:tr>
      <w:tr>
        <w:tc>
          <w:tcPr>
            <w:tcW w:type="dxa" w:w="850"/>
          </w:tcPr>
          <w:p>
            <w:pPr>
              <w:bidi/>
              <w:jc w:val="right"/>
            </w:pPr>
            <w:r/>
            <w:r>
              <w:rPr>
                <w:rFonts w:ascii="David" w:hAnsi="David" w:cs="David"/>
                <w:b w:val="0"/>
                <w:sz w:val="20"/>
                <w:rtl/>
              </w:rPr>
              <w:t>401</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וכן ראיתי בחידשוי הרשב״ץ ]הנד״מ ע״י מכון אהבת שלון ברכת יג. …</w:t>
            </w:r>
          </w:p>
        </w:tc>
      </w:tr>
      <w:tr>
        <w:tc>
          <w:tcPr>
            <w:tcW w:type="dxa" w:w="850"/>
          </w:tcPr>
          <w:p>
            <w:pPr>
              <w:bidi/>
              <w:jc w:val="right"/>
            </w:pPr>
            <w:r/>
            <w:r>
              <w:rPr>
                <w:rFonts w:ascii="David" w:hAnsi="David" w:cs="David"/>
                <w:b w:val="0"/>
                <w:sz w:val="20"/>
                <w:rtl/>
              </w:rPr>
              <w:t>401</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בדברי הרשב״ם בסויגה בפסחים שם קיד:] וז״ל מצוה להביא כרפס כלומר מצוה …</w:t>
            </w:r>
          </w:p>
        </w:tc>
      </w:tr>
      <w:tr>
        <w:tc>
          <w:tcPr>
            <w:tcW w:type="dxa" w:w="850"/>
          </w:tcPr>
          <w:p>
            <w:pPr>
              <w:bidi/>
              <w:jc w:val="right"/>
            </w:pPr>
            <w:r/>
            <w:r>
              <w:rPr>
                <w:rFonts w:ascii="David" w:hAnsi="David" w:cs="David"/>
                <w:b w:val="0"/>
                <w:sz w:val="20"/>
                <w:rtl/>
              </w:rPr>
              <w:t>401</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הנה לכאו׳ מתבאר מדברי ה״ר יונה [בסדר ליל פסח הנד״מ במכון אופק</w:t>
            </w:r>
          </w:p>
        </w:tc>
      </w:tr>
      <w:tr>
        <w:tc>
          <w:tcPr>
            <w:tcW w:type="dxa" w:w="850"/>
          </w:tcPr>
          <w:p>
            <w:pPr>
              <w:bidi/>
              <w:jc w:val="right"/>
            </w:pPr>
            <w:r/>
            <w:r>
              <w:rPr>
                <w:rFonts w:ascii="David" w:hAnsi="David" w:cs="David"/>
                <w:b w:val="0"/>
                <w:sz w:val="20"/>
                <w:rtl/>
              </w:rPr>
              <w:t>401</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על כך ממה שמבואר גבי ספירת העומר [שפסק השו״ע [תפט.ד.] מי ששואל אותו …</w:t>
            </w:r>
          </w:p>
        </w:tc>
      </w:tr>
      <w:tr>
        <w:tc>
          <w:tcPr>
            <w:tcW w:type="dxa" w:w="850"/>
          </w:tcPr>
          <w:p>
            <w:pPr>
              <w:bidi/>
              <w:jc w:val="right"/>
            </w:pPr>
            <w:r/>
            <w:r>
              <w:rPr>
                <w:rFonts w:ascii="David" w:hAnsi="David" w:cs="David"/>
                <w:b w:val="0"/>
                <w:sz w:val="20"/>
                <w:rtl/>
              </w:rPr>
              <w:t>401</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והרי השו״ע עצמו [ס.ד] תקפט. יא.] פסק שמצות צריכות כוונה ולמה הכא …</w:t>
            </w:r>
          </w:p>
        </w:tc>
      </w:tr>
      <w:tr>
        <w:tc>
          <w:tcPr>
            <w:tcW w:type="dxa" w:w="850"/>
          </w:tcPr>
          <w:p>
            <w:pPr>
              <w:bidi/>
              <w:jc w:val="right"/>
            </w:pPr>
            <w:r/>
            <w:r>
              <w:rPr>
                <w:rFonts w:ascii="David" w:hAnsi="David" w:cs="David"/>
                <w:b w:val="0"/>
                <w:sz w:val="20"/>
                <w:rtl/>
              </w:rPr>
              <w:t>401</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על האבנ״ז בתושבה או״ח סימן ס.] וכ״כ להעיר נמי הגאון בעל הפני …</w:t>
            </w:r>
          </w:p>
        </w:tc>
      </w:tr>
      <w:tr>
        <w:tc>
          <w:tcPr>
            <w:tcW w:type="dxa" w:w="850"/>
          </w:tcPr>
          <w:p>
            <w:pPr>
              <w:bidi/>
              <w:jc w:val="right"/>
            </w:pPr>
            <w:r/>
            <w:r>
              <w:rPr>
                <w:rFonts w:ascii="David" w:hAnsi="David" w:cs="David"/>
                <w:b w:val="0"/>
                <w:sz w:val="20"/>
                <w:rtl/>
              </w:rPr>
              <w:t>401</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שם בתוס׳ בזבחים ב: ד״ה קיימי בי״ד] רק יעשה העבודה ולא יחשוב כלל ואני …</w:t>
            </w:r>
          </w:p>
        </w:tc>
      </w:tr>
      <w:tr>
        <w:tc>
          <w:tcPr>
            <w:tcW w:type="dxa" w:w="850"/>
          </w:tcPr>
          <w:p>
            <w:pPr>
              <w:bidi/>
              <w:jc w:val="right"/>
            </w:pPr>
            <w:r/>
            <w:r>
              <w:rPr>
                <w:rFonts w:ascii="David" w:hAnsi="David" w:cs="David"/>
                <w:b w:val="0"/>
                <w:sz w:val="20"/>
                <w:rtl/>
              </w:rPr>
              <w:t>401</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אחריני היא בפסחים קיד: ובר״ה כח:] אלא בין לרב ובין לר׳ יוחנן בלצאת …</w:t>
            </w:r>
          </w:p>
        </w:tc>
      </w:tr>
      <w:tr>
        <w:tc>
          <w:tcPr>
            <w:tcW w:type="dxa" w:w="850"/>
          </w:tcPr>
          <w:p>
            <w:pPr>
              <w:bidi/>
              <w:jc w:val="right"/>
            </w:pPr>
            <w:r/>
            <w:r>
              <w:rPr>
                <w:rFonts w:ascii="David" w:hAnsi="David" w:cs="David"/>
                <w:b w:val="0"/>
                <w:sz w:val="20"/>
                <w:rtl/>
              </w:rPr>
              <w:t>401</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קשורים שהרי מתבאר בסוגיה בר״ה שם] שאנו אומרים שאף למא״ד מצות אי״צ …</w:t>
            </w:r>
          </w:p>
        </w:tc>
      </w:tr>
      <w:tr>
        <w:tc>
          <w:tcPr>
            <w:tcW w:type="dxa" w:w="850"/>
          </w:tcPr>
          <w:p>
            <w:pPr>
              <w:bidi/>
              <w:jc w:val="right"/>
            </w:pPr>
            <w:r/>
            <w:r>
              <w:rPr>
                <w:rFonts w:ascii="David" w:hAnsi="David" w:cs="David"/>
                <w:b w:val="0"/>
                <w:sz w:val="20"/>
                <w:rtl/>
              </w:rPr>
              <w:t>401</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התוס׳ בשבת קיא: ד״ה טובלין כדרכן] שאנו דנים שגם למא״ד טבילה בזמנה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כ׳ הטור בסי׳ רי״ג אין המברך מוציא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והקשה הפרישה דבסי׳ קצ״ג ס״א הביא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והנה יל״ד מה כוונת הסמ״ג דבעי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אבל יש לתמוה בהבנה זו דמה שייך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ה) עכ״פ אם כוונת הסמ״ג הוא רק דבעי׳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ו) אשר נת׳ לעת עתה לכאו׳ הוא דלמ״ד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ז) בב״י סי׳ תפ״ט הביא מתשו׳ הרשב״א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ח) ונראה להתבונן מעט במקור הסוג׳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ט) ובהמשך הסוג׳ התם, איתא, א״ל ר׳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 והנה הרי״ף הביא בהלכותיו הא דר״ז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יא) מבו׳ דיש ראשונים שנקטו בדעת ר׳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יב) והנה מבו׳ בגמ׳ דאם סבור דחמור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יג) אשר לפי הנ״ל י״ל ג״כ בשומע דאם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יד) ונסכם הדברים שעד עתה נת׳ דיש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טו) והבעה״מ פליג על דעה זו וס״ל דודאי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לרבים מהראשונים] והוכיח זה מתרתי א] אם מצוות אי״צ כוונה לא יתכן דבעי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טז) עלה בידינו א] הא פשיטא דלמ״ד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טז) עלה בידינו א] הא פשיטא דלמ״ד מצוות צריכות כוונה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יז) ומעתה נחזור לנידון השומע ברכה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יח) והנה באות א-ז הובא מהפוסקים דחששו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יט) ובאות א-י הובאו ד׳ הטור והב״י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 הנה נתבאר באר היטב מחלוקת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כא) ובחזו״א הוכיח כצד ב׳ (וביאר זה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כב) ומעתה נבוא לבי׳ השיטות, המהלך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כג) ולמהלך דהסוג׳ אזיל כמ״ד מצוות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כד) ויש לציין דבמלחמות מבו׳ צד נוסף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כה) והנה נת׳ דיסוד הנידון דבכאן הוא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באבן האזל פ״ב מהלכות שופר ה״ד) שעמד בזה ומאחר שלא הבנתי כ״כ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כו) וכעת נבוא לדון במשנ״ת לעיל בדין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ובכ״ז בשאר פרשיות יצא, וצ״ע בזה.)</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כח) אחר דנת׳ אם המשמיע בעי כוונה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כט) כתב הב״י סי׳ ו׳ בשם האגור וז״ל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 כתב הר״ן (ר״ה כט.) בשם הרבינו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לא) ובסברת הדבר דבמכוון שלא לצאת לא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לב) והנה דין זה דבדעתו שלא לצאת נפסק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לג) וילה״ק על יסוד זה דהיכא דמוכח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לד) והנה לפי״ד המ״ב היה מקום להקל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שכבר יצא יד״ח וכן בברכת הנהנין א) עיקר הדין קיי״ל דמצוות צריכות …</w:t>
            </w:r>
          </w:p>
        </w:tc>
      </w:tr>
      <w:tr>
        <w:tc>
          <w:tcPr>
            <w:tcW w:type="dxa" w:w="850"/>
          </w:tcPr>
          <w:p>
            <w:pPr>
              <w:bidi/>
              <w:jc w:val="right"/>
            </w:pPr>
            <w:r/>
            <w:r>
              <w:rPr>
                <w:rFonts w:ascii="David" w:hAnsi="David" w:cs="David"/>
                <w:b w:val="0"/>
                <w:sz w:val="20"/>
                <w:rtl/>
              </w:rPr>
              <w:t>480</w:t>
            </w:r>
          </w:p>
        </w:tc>
        <w:tc>
          <w:tcPr>
            <w:tcW w:type="dxa" w:w="2835"/>
          </w:tcPr>
          <w:p>
            <w:pPr>
              <w:bidi/>
              <w:jc w:val="right"/>
            </w:pPr>
            <w:r/>
            <w:r>
              <w:rPr>
                <w:rFonts w:ascii="David" w:hAnsi="David" w:cs="David"/>
                <w:b w:val="0"/>
                <w:sz w:val="20"/>
                <w:rtl/>
              </w:rPr>
              <w:t>אם בעת עשיית המצוה מכוון בעיקר לדבר אחר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למימר דכוונתו לשניהם בשווה. עי״ש].</w:t>
            </w:r>
          </w:p>
        </w:tc>
      </w:tr>
      <w:tr>
        <w:tc>
          <w:tcPr>
            <w:tcW w:type="dxa" w:w="850"/>
          </w:tcPr>
          <w:p>
            <w:pPr>
              <w:bidi/>
              <w:jc w:val="right"/>
            </w:pPr>
            <w:r/>
            <w:r>
              <w:rPr>
                <w:rFonts w:ascii="David" w:hAnsi="David" w:cs="David"/>
                <w:b w:val="0"/>
                <w:sz w:val="20"/>
                <w:rtl/>
              </w:rPr>
              <w:t>485</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 ]  וכן הביא בספר קב הישר פרק סג.]</w:t>
            </w:r>
          </w:p>
        </w:tc>
      </w:tr>
      <w:tr>
        <w:tc>
          <w:tcPr>
            <w:tcW w:type="dxa" w:w="850"/>
          </w:tcPr>
          <w:p>
            <w:pPr>
              <w:bidi/>
              <w:jc w:val="right"/>
            </w:pPr>
            <w:r/>
            <w:r>
              <w:rPr>
                <w:rFonts w:ascii="David" w:hAnsi="David" w:cs="David"/>
                <w:b w:val="0"/>
                <w:sz w:val="20"/>
                <w:rtl/>
              </w:rPr>
              <w:t>485</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שאין כל בריה יכולה לעמוד במחיצתם.] אלא אף מי שמקבל ע״ע בליבו את …</w:t>
            </w:r>
          </w:p>
        </w:tc>
      </w:tr>
      <w:tr>
        <w:tc>
          <w:tcPr>
            <w:tcW w:type="dxa" w:w="850"/>
          </w:tcPr>
          <w:p>
            <w:pPr>
              <w:bidi/>
              <w:jc w:val="right"/>
            </w:pPr>
            <w:r/>
            <w:r>
              <w:rPr>
                <w:rFonts w:ascii="David" w:hAnsi="David" w:cs="David"/>
                <w:b w:val="0"/>
                <w:sz w:val="20"/>
                <w:rtl/>
              </w:rPr>
              <w:t>485</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עת הוא קורה מחדש מבואר בברכות סג:] ועוד פתח ר׳ יהודה בכבוד תורה ודרש …</w:t>
            </w:r>
          </w:p>
        </w:tc>
      </w:tr>
      <w:tr>
        <w:tc>
          <w:tcPr>
            <w:tcW w:type="dxa" w:w="850"/>
          </w:tcPr>
          <w:p>
            <w:pPr>
              <w:bidi/>
              <w:jc w:val="right"/>
            </w:pPr>
            <w:r/>
            <w:r>
              <w:rPr>
                <w:rFonts w:ascii="David" w:hAnsi="David" w:cs="David"/>
                <w:b w:val="0"/>
                <w:sz w:val="20"/>
                <w:rtl/>
              </w:rPr>
              <w:t>485</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והנה כתב שם המהרש״א בחידושי אגדות.] לבאר שיש לאמר שמה שמצינו הכא על …</w:t>
            </w:r>
          </w:p>
        </w:tc>
      </w:tr>
      <w:tr>
        <w:tc>
          <w:tcPr>
            <w:tcW w:type="dxa" w:w="850"/>
          </w:tcPr>
          <w:p>
            <w:pPr>
              <w:bidi/>
              <w:jc w:val="right"/>
            </w:pPr>
            <w:r/>
            <w:r>
              <w:rPr>
                <w:rFonts w:ascii="David" w:hAnsi="David" w:cs="David"/>
                <w:b w:val="0"/>
                <w:sz w:val="20"/>
                <w:rtl/>
              </w:rPr>
              <w:t>485</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וכמו שאנו מוצאים בגמ׳ ביומא לט.] ראש בית אב אומר לו אישי כ״ג הגבה …</w:t>
            </w:r>
          </w:p>
        </w:tc>
      </w:tr>
      <w:tr>
        <w:tc>
          <w:tcPr>
            <w:tcW w:type="dxa" w:w="850"/>
          </w:tcPr>
          <w:p>
            <w:pPr>
              <w:bidi/>
              <w:jc w:val="right"/>
            </w:pPr>
            <w:r/>
            <w:r>
              <w:rPr>
                <w:rFonts w:ascii="David" w:hAnsi="David" w:cs="David"/>
                <w:b w:val="0"/>
                <w:sz w:val="20"/>
                <w:rtl/>
              </w:rPr>
              <w:t>485</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בזה שכן עיקר המקור של הטור תריט.] שאמר שביוה״כ כן אומרים בשכמל״ו …</w:t>
            </w:r>
          </w:p>
        </w:tc>
      </w:tr>
      <w:tr>
        <w:tc>
          <w:tcPr>
            <w:tcW w:type="dxa" w:w="850"/>
          </w:tcPr>
          <w:p>
            <w:pPr>
              <w:bidi/>
              <w:jc w:val="right"/>
            </w:pPr>
            <w:r/>
            <w:r>
              <w:rPr>
                <w:rFonts w:ascii="David" w:hAnsi="David" w:cs="David"/>
                <w:b w:val="0"/>
                <w:sz w:val="20"/>
                <w:rtl/>
              </w:rPr>
              <w:t>485</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עיין מהרש״ם ח״ה סימן ט.]</w:t>
            </w:r>
          </w:p>
        </w:tc>
      </w:tr>
      <w:tr>
        <w:tc>
          <w:tcPr>
            <w:tcW w:type="dxa" w:w="850"/>
          </w:tcPr>
          <w:p>
            <w:pPr>
              <w:bidi/>
              <w:jc w:val="right"/>
            </w:pPr>
            <w:r/>
            <w:r>
              <w:rPr>
                <w:rFonts w:ascii="David" w:hAnsi="David" w:cs="David"/>
                <w:b w:val="0"/>
                <w:sz w:val="20"/>
                <w:rtl/>
              </w:rPr>
              <w:t>485</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עיין רב פעלים ג או״ח טו.]</w:t>
            </w:r>
          </w:p>
        </w:tc>
      </w:tr>
      <w:tr>
        <w:tc>
          <w:tcPr>
            <w:tcW w:type="dxa" w:w="850"/>
          </w:tcPr>
          <w:p>
            <w:pPr>
              <w:bidi/>
              <w:jc w:val="right"/>
            </w:pPr>
            <w:r/>
            <w:r>
              <w:rPr>
                <w:rFonts w:ascii="David" w:hAnsi="David" w:cs="David"/>
                <w:b w:val="0"/>
                <w:sz w:val="20"/>
                <w:rtl/>
              </w:rPr>
              <w:t>495</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הנה מבואר במשנה ר״פ היה קורא …</w:t>
            </w:r>
          </w:p>
        </w:tc>
      </w:tr>
      <w:tr>
        <w:tc>
          <w:tcPr>
            <w:tcW w:type="dxa" w:w="850"/>
          </w:tcPr>
          <w:p>
            <w:pPr>
              <w:bidi/>
              <w:jc w:val="right"/>
            </w:pPr>
            <w:r/>
            <w:r>
              <w:rPr>
                <w:rFonts w:ascii="David" w:hAnsi="David" w:cs="David"/>
                <w:b w:val="0"/>
                <w:sz w:val="20"/>
                <w:rtl/>
              </w:rPr>
              <w:t>495</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כתב הרמב״ם בספר המצוות (מצוות עשה …</w:t>
            </w:r>
          </w:p>
        </w:tc>
      </w:tr>
      <w:tr>
        <w:tc>
          <w:tcPr>
            <w:tcW w:type="dxa" w:w="850"/>
          </w:tcPr>
          <w:p>
            <w:pPr>
              <w:bidi/>
              <w:jc w:val="right"/>
            </w:pPr>
            <w:r/>
            <w:r>
              <w:rPr>
                <w:rFonts w:ascii="David" w:hAnsi="David" w:cs="David"/>
                <w:b w:val="0"/>
                <w:sz w:val="20"/>
                <w:rtl/>
              </w:rPr>
              <w:t>495</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והנה בגמ׳ ברכות יג: איתא דר׳ …</w:t>
            </w:r>
          </w:p>
        </w:tc>
      </w:tr>
      <w:tr>
        <w:tc>
          <w:tcPr>
            <w:tcW w:type="dxa" w:w="850"/>
          </w:tcPr>
          <w:p>
            <w:pPr>
              <w:bidi/>
              <w:jc w:val="right"/>
            </w:pPr>
            <w:r/>
            <w:r>
              <w:rPr>
                <w:rFonts w:ascii="David" w:hAnsi="David" w:cs="David"/>
                <w:b w:val="0"/>
                <w:sz w:val="20"/>
                <w:rtl/>
              </w:rPr>
              <w:t>495</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ולשון החינוך (מצוה ת״כ) כלומר …</w:t>
            </w:r>
          </w:p>
        </w:tc>
      </w:tr>
      <w:tr>
        <w:tc>
          <w:tcPr>
            <w:tcW w:type="dxa" w:w="850"/>
          </w:tcPr>
          <w:p>
            <w:pPr>
              <w:bidi/>
              <w:jc w:val="right"/>
            </w:pPr>
            <w:r/>
            <w:r>
              <w:rPr>
                <w:rFonts w:ascii="David" w:hAnsi="David" w:cs="David"/>
                <w:b w:val="0"/>
                <w:sz w:val="20"/>
                <w:rtl/>
              </w:rPr>
              <w:t>495</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ברמב״ן על הפסוק אנכי ה׳ אלקיך אשר …</w:t>
            </w:r>
          </w:p>
        </w:tc>
      </w:tr>
      <w:tr>
        <w:tc>
          <w:tcPr>
            <w:tcW w:type="dxa" w:w="850"/>
          </w:tcPr>
          <w:p>
            <w:pPr>
              <w:bidi/>
              <w:jc w:val="right"/>
            </w:pPr>
            <w:r/>
            <w:r>
              <w:rPr>
                <w:rFonts w:ascii="David" w:hAnsi="David" w:cs="David"/>
                <w:b w:val="0"/>
                <w:sz w:val="20"/>
                <w:rtl/>
              </w:rPr>
              <w:t>495</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 כתב הרמ״א (סי׳ ס״א סי״ד) ויש …</w:t>
            </w:r>
          </w:p>
        </w:tc>
      </w:tr>
      <w:tr>
        <w:tc>
          <w:tcPr>
            <w:tcW w:type="dxa" w:w="850"/>
          </w:tcPr>
          <w:p>
            <w:pPr>
              <w:bidi/>
              <w:jc w:val="right"/>
            </w:pPr>
            <w:r/>
            <w:r>
              <w:rPr>
                <w:rFonts w:ascii="David" w:hAnsi="David" w:cs="David"/>
                <w:b w:val="0"/>
                <w:sz w:val="20"/>
                <w:rtl/>
              </w:rPr>
              <w:t>495</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ז] והנה פי׳ השם דאלוקינו יל״ע בו, …</w:t>
            </w:r>
          </w:p>
        </w:tc>
      </w:tr>
      <w:tr>
        <w:tc>
          <w:tcPr>
            <w:tcW w:type="dxa" w:w="850"/>
          </w:tcPr>
          <w:p>
            <w:pPr>
              <w:bidi/>
              <w:jc w:val="right"/>
            </w:pPr>
            <w:r/>
            <w:r>
              <w:rPr>
                <w:rFonts w:ascii="David" w:hAnsi="David" w:cs="David"/>
                <w:b w:val="0"/>
                <w:sz w:val="20"/>
                <w:rtl/>
              </w:rPr>
              <w:t>495</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ח] והנה לא נתבאר בדבריהם מהו אלוקינו …</w:t>
            </w:r>
          </w:p>
        </w:tc>
      </w:tr>
      <w:tr>
        <w:tc>
          <w:tcPr>
            <w:tcW w:type="dxa" w:w="850"/>
          </w:tcPr>
          <w:p>
            <w:pPr>
              <w:bidi/>
              <w:jc w:val="right"/>
            </w:pPr>
            <w:r/>
            <w:r>
              <w:rPr>
                <w:rFonts w:ascii="David" w:hAnsi="David" w:cs="David"/>
                <w:b w:val="0"/>
                <w:sz w:val="20"/>
                <w:rtl/>
              </w:rPr>
              <w:t>495</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 סיכום, נקט ג׳ מהלכים בראשונים מהו …</w:t>
            </w:r>
          </w:p>
        </w:tc>
      </w:tr>
      <w:tr>
        <w:tc>
          <w:tcPr>
            <w:tcW w:type="dxa" w:w="850"/>
          </w:tcPr>
          <w:p>
            <w:pPr>
              <w:bidi/>
              <w:jc w:val="right"/>
            </w:pPr>
            <w:r/>
            <w:r>
              <w:rPr>
                <w:rFonts w:ascii="David" w:hAnsi="David" w:cs="David"/>
                <w:b w:val="0"/>
                <w:sz w:val="20"/>
                <w:rtl/>
              </w:rPr>
              <w:t>495</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לעבדו ולהרמב״ן כלול זה באלוקינו. ו??? דיל״ד בכוונת העל הכל שנפסק ברמ״א …</w:t>
            </w:r>
          </w:p>
        </w:tc>
      </w:tr>
      <w:tr>
        <w:tc>
          <w:tcPr>
            <w:tcW w:type="dxa" w:w="850"/>
          </w:tcPr>
          <w:p>
            <w:pPr>
              <w:bidi/>
              <w:jc w:val="right"/>
            </w:pPr>
            <w:r/>
            <w:r>
              <w:rPr>
                <w:rFonts w:ascii="David" w:hAnsi="David" w:cs="David"/>
                <w:b w:val="0"/>
                <w:sz w:val="20"/>
                <w:rtl/>
              </w:rPr>
              <w:t>495</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 יש להעיר הערה נוספת דבסעי׳ י״ד …</w:t>
            </w:r>
          </w:p>
        </w:tc>
      </w:tr>
      <w:tr>
        <w:tc>
          <w:tcPr>
            <w:tcW w:type="dxa" w:w="850"/>
          </w:tcPr>
          <w:p>
            <w:pPr>
              <w:bidi/>
              <w:jc w:val="right"/>
            </w:pPr>
            <w:r/>
            <w:r>
              <w:rPr>
                <w:rFonts w:ascii="David" w:hAnsi="David" w:cs="David"/>
                <w:b w:val="0"/>
                <w:sz w:val="20"/>
                <w:rtl/>
              </w:rPr>
              <w:t>498</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והנה כתב שם המהרש״א בחידושי אגדות.] לבאר שיש</w:t>
            </w:r>
          </w:p>
        </w:tc>
      </w:tr>
      <w:tr>
        <w:tc>
          <w:tcPr>
            <w:tcW w:type="dxa" w:w="850"/>
          </w:tcPr>
          <w:p>
            <w:pPr>
              <w:bidi/>
              <w:jc w:val="right"/>
            </w:pPr>
            <w:r/>
            <w:r>
              <w:rPr>
                <w:rFonts w:ascii="David" w:hAnsi="David" w:cs="David"/>
                <w:b w:val="0"/>
                <w:sz w:val="20"/>
                <w:rtl/>
              </w:rPr>
              <w:t>498</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וכמו שאנו מוצאים בגמ׳ ביומא לט.] ראש בית אב אומר לו אישי כ״ג הגבה …</w:t>
            </w:r>
          </w:p>
        </w:tc>
      </w:tr>
      <w:tr>
        <w:tc>
          <w:tcPr>
            <w:tcW w:type="dxa" w:w="850"/>
          </w:tcPr>
          <w:p>
            <w:pPr>
              <w:bidi/>
              <w:jc w:val="right"/>
            </w:pPr>
            <w:r/>
            <w:r>
              <w:rPr>
                <w:rFonts w:ascii="David" w:hAnsi="David" w:cs="David"/>
                <w:b w:val="0"/>
                <w:sz w:val="20"/>
                <w:rtl/>
              </w:rPr>
              <w:t>498</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שאין בה מפושעי ישראל אינה תענית.] ולכך ביוה״כ אנו מצרפים איתנו …</w:t>
            </w:r>
          </w:p>
        </w:tc>
      </w:tr>
      <w:tr>
        <w:tc>
          <w:tcPr>
            <w:tcW w:type="dxa" w:w="850"/>
          </w:tcPr>
          <w:p>
            <w:pPr>
              <w:bidi/>
              <w:jc w:val="right"/>
            </w:pPr>
            <w:r/>
            <w:r>
              <w:rPr>
                <w:rFonts w:ascii="David" w:hAnsi="David" w:cs="David"/>
                <w:b w:val="0"/>
                <w:sz w:val="20"/>
                <w:rtl/>
              </w:rPr>
              <w:t>498</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שמבואר בברכות יג: ושו״ע ס.ה וסג. ד] שאנו אומרים שבפס׳ ראשון צריך הוא …</w:t>
            </w:r>
          </w:p>
        </w:tc>
      </w:tr>
      <w:tr>
        <w:tc>
          <w:tcPr>
            <w:tcW w:type="dxa" w:w="850"/>
          </w:tcPr>
          <w:p>
            <w:pPr>
              <w:bidi/>
              <w:jc w:val="right"/>
            </w:pPr>
            <w:r/>
            <w:r>
              <w:rPr>
                <w:rFonts w:ascii="David" w:hAnsi="David" w:cs="David"/>
                <w:b w:val="0"/>
                <w:sz w:val="20"/>
                <w:rtl/>
              </w:rPr>
              <w:t>498</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וכן אמרו במשנה בברכות יג.] אמר ר׳ יהושע בן קרחה י למה קדמה …</w:t>
            </w:r>
          </w:p>
        </w:tc>
      </w:tr>
      <w:tr>
        <w:tc>
          <w:tcPr>
            <w:tcW w:type="dxa" w:w="850"/>
          </w:tcPr>
          <w:p>
            <w:pPr>
              <w:bidi/>
              <w:jc w:val="right"/>
            </w:pPr>
            <w:r/>
            <w:r>
              <w:rPr>
                <w:rFonts w:ascii="David" w:hAnsi="David" w:cs="David"/>
                <w:b w:val="0"/>
                <w:sz w:val="20"/>
                <w:rtl/>
              </w:rPr>
              <w:t>498</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הזוהר בכמה דוכתי מהזוהר הקדוש [ואתחנן [רסד:] שופטים [ערה:] וכן …</w:t>
            </w:r>
          </w:p>
        </w:tc>
      </w:tr>
      <w:tr>
        <w:tc>
          <w:tcPr>
            <w:tcW w:type="dxa" w:w="850"/>
          </w:tcPr>
          <w:p>
            <w:pPr>
              <w:bidi/>
              <w:jc w:val="right"/>
            </w:pPr>
            <w:r/>
            <w:r>
              <w:rPr>
                <w:rFonts w:ascii="David" w:hAnsi="David" w:cs="David"/>
                <w:b w:val="0"/>
                <w:sz w:val="20"/>
                <w:rtl/>
              </w:rPr>
              <w:t>498</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פ״ז.] וחסד לאברהם מעין ז. נהר כד.]</w:t>
            </w:r>
          </w:p>
        </w:tc>
      </w:tr>
      <w:tr>
        <w:tc>
          <w:tcPr>
            <w:tcW w:type="dxa" w:w="850"/>
          </w:tcPr>
          <w:p>
            <w:pPr>
              <w:bidi/>
              <w:jc w:val="right"/>
            </w:pPr>
            <w:r/>
            <w:r>
              <w:rPr>
                <w:rFonts w:ascii="David" w:hAnsi="David" w:cs="David"/>
                <w:b w:val="0"/>
                <w:sz w:val="20"/>
                <w:rtl/>
              </w:rPr>
              <w:t>503</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הנה בענין הזה של קר״ש אנו מוצאים …</w:t>
            </w:r>
          </w:p>
        </w:tc>
      </w:tr>
      <w:tr>
        <w:tc>
          <w:tcPr>
            <w:tcW w:type="dxa" w:w="850"/>
          </w:tcPr>
          <w:p>
            <w:pPr>
              <w:bidi/>
              <w:jc w:val="right"/>
            </w:pPr>
            <w:r/>
            <w:r>
              <w:rPr>
                <w:rFonts w:ascii="David" w:hAnsi="David" w:cs="David"/>
                <w:b w:val="0"/>
                <w:sz w:val="20"/>
                <w:rtl/>
              </w:rPr>
              <w:t>503</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והנה בעיקר הענין של להשלים לרמ״ח …</w:t>
            </w:r>
          </w:p>
        </w:tc>
      </w:tr>
      <w:tr>
        <w:tc>
          <w:tcPr>
            <w:tcW w:type="dxa" w:w="850"/>
          </w:tcPr>
          <w:p>
            <w:pPr>
              <w:bidi/>
              <w:jc w:val="right"/>
            </w:pPr>
            <w:r/>
            <w:r>
              <w:rPr>
                <w:rFonts w:ascii="David" w:hAnsi="David" w:cs="David"/>
                <w:b w:val="0"/>
                <w:sz w:val="20"/>
                <w:rtl/>
              </w:rPr>
              <w:t>503</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עיין רב פעלים ב או״ח טו.]</w:t>
            </w:r>
          </w:p>
        </w:tc>
      </w:tr>
      <w:tr>
        <w:tc>
          <w:tcPr>
            <w:tcW w:type="dxa" w:w="850"/>
          </w:tcPr>
          <w:p>
            <w:pPr>
              <w:bidi/>
              <w:jc w:val="right"/>
            </w:pPr>
            <w:r/>
            <w:r>
              <w:rPr>
                <w:rFonts w:ascii="David" w:hAnsi="David" w:cs="David"/>
                <w:b w:val="0"/>
                <w:sz w:val="20"/>
                <w:rtl/>
              </w:rPr>
              <w:t>503</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בספרו אמת ליעקב שפת אמת שאלה נב.] ששם הוא נמי הביא את המקור הזה …</w:t>
            </w:r>
          </w:p>
        </w:tc>
      </w:tr>
      <w:tr>
        <w:tc>
          <w:tcPr>
            <w:tcW w:type="dxa" w:w="850"/>
          </w:tcPr>
          <w:p>
            <w:pPr>
              <w:bidi/>
              <w:jc w:val="right"/>
            </w:pPr>
            <w:r/>
            <w:r>
              <w:rPr>
                <w:rFonts w:ascii="David" w:hAnsi="David" w:cs="David"/>
                <w:b w:val="0"/>
                <w:sz w:val="20"/>
                <w:rtl/>
              </w:rPr>
              <w:t>503</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דף לא.] וכן נזכר בשערי תשובה כאן] בן איש חי [ש״א וארא א.]</w:t>
            </w:r>
          </w:p>
        </w:tc>
      </w:tr>
      <w:tr>
        <w:tc>
          <w:tcPr>
            <w:tcW w:type="dxa" w:w="850"/>
          </w:tcPr>
          <w:p>
            <w:pPr>
              <w:bidi/>
              <w:jc w:val="right"/>
            </w:pPr>
            <w:r/>
            <w:r>
              <w:rPr>
                <w:rFonts w:ascii="David" w:hAnsi="David" w:cs="David"/>
                <w:b w:val="0"/>
                <w:sz w:val="20"/>
                <w:rtl/>
              </w:rPr>
              <w:t>503</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וז״ל שו״ת מהרלב״ח סימן עג.] וז״ל</w:t>
            </w:r>
          </w:p>
        </w:tc>
      </w:tr>
      <w:tr>
        <w:tc>
          <w:tcPr>
            <w:tcW w:type="dxa" w:w="850"/>
          </w:tcPr>
          <w:p>
            <w:pPr>
              <w:bidi/>
              <w:jc w:val="right"/>
            </w:pPr>
            <w:r/>
            <w:r>
              <w:rPr>
                <w:rFonts w:ascii="David" w:hAnsi="David" w:cs="David"/>
                <w:b w:val="0"/>
                <w:sz w:val="20"/>
                <w:rtl/>
              </w:rPr>
              <w:t>503</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דעת הב״ח וכן הוא בדברי הט״ז ס״ק ג.] וכן הפר״ח כו שציין כדברי הירושלמי …</w:t>
            </w:r>
          </w:p>
        </w:tc>
      </w:tr>
      <w:tr>
        <w:tc>
          <w:tcPr>
            <w:tcW w:type="dxa" w:w="850"/>
          </w:tcPr>
          <w:p>
            <w:pPr>
              <w:bidi/>
              <w:jc w:val="right"/>
            </w:pPr>
            <w:r/>
            <w:r>
              <w:rPr>
                <w:rFonts w:ascii="David" w:hAnsi="David" w:cs="David"/>
                <w:b w:val="0"/>
                <w:sz w:val="20"/>
                <w:rtl/>
              </w:rPr>
              <w:t>503</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ממה שמבואר בירושלמי דף על הדף שם.]</w:t>
            </w:r>
          </w:p>
        </w:tc>
      </w:tr>
      <w:tr>
        <w:tc>
          <w:tcPr>
            <w:tcW w:type="dxa" w:w="850"/>
          </w:tcPr>
          <w:p>
            <w:pPr>
              <w:bidi/>
              <w:jc w:val="right"/>
            </w:pPr>
            <w:r/>
            <w:r>
              <w:rPr>
                <w:rFonts w:ascii="David" w:hAnsi="David" w:cs="David"/>
                <w:b w:val="0"/>
                <w:sz w:val="20"/>
                <w:rtl/>
              </w:rPr>
              <w:t>503</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לו) והחי יתן אל לבו אם במלאכי השרת …</w:t>
            </w:r>
          </w:p>
        </w:tc>
      </w:tr>
      <w:tr>
        <w:tc>
          <w:tcPr>
            <w:tcW w:type="dxa" w:w="850"/>
          </w:tcPr>
          <w:p>
            <w:pPr>
              <w:bidi/>
              <w:jc w:val="right"/>
            </w:pPr>
            <w:r/>
            <w:r>
              <w:rPr>
                <w:rFonts w:ascii="David" w:hAnsi="David" w:cs="David"/>
                <w:b w:val="0"/>
                <w:sz w:val="20"/>
                <w:rtl/>
              </w:rPr>
              <w:t>515</w:t>
            </w:r>
          </w:p>
        </w:tc>
        <w:tc>
          <w:tcPr>
            <w:tcW w:type="dxa" w:w="2835"/>
          </w:tcPr>
          <w:p>
            <w:pPr>
              <w:bidi/>
              <w:jc w:val="right"/>
            </w:pPr>
            <w:r/>
            <w:r>
              <w:rPr>
                <w:rFonts w:ascii="David" w:hAnsi="David" w:cs="David"/>
                <w:b w:val="0"/>
                <w:sz w:val="20"/>
                <w:rtl/>
              </w:rPr>
              <w:t>בענין כפילת שמע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הנה מבואר בגמ׳ בברכות לג: לד.] מודים מודים משתקין אותו: אמר ר׳ …</w:t>
            </w:r>
          </w:p>
        </w:tc>
      </w:tr>
      <w:tr>
        <w:tc>
          <w:tcPr>
            <w:tcW w:type="dxa" w:w="850"/>
          </w:tcPr>
          <w:p>
            <w:pPr>
              <w:bidi/>
              <w:jc w:val="right"/>
            </w:pPr>
            <w:r/>
            <w:r>
              <w:rPr>
                <w:rFonts w:ascii="David" w:hAnsi="David" w:cs="David"/>
                <w:b w:val="0"/>
                <w:sz w:val="20"/>
                <w:rtl/>
              </w:rPr>
              <w:t>515</w:t>
            </w:r>
          </w:p>
        </w:tc>
        <w:tc>
          <w:tcPr>
            <w:tcW w:type="dxa" w:w="2835"/>
          </w:tcPr>
          <w:p>
            <w:pPr>
              <w:bidi/>
              <w:jc w:val="right"/>
            </w:pPr>
            <w:r/>
            <w:r>
              <w:rPr>
                <w:rFonts w:ascii="David" w:hAnsi="David" w:cs="David"/>
                <w:b w:val="0"/>
                <w:sz w:val="20"/>
                <w:rtl/>
              </w:rPr>
              <w:t>בענין כפילת שמע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שכן איתא בגמ׳ בסוכה נג:] על המבואר שם במשנה שהיו אומרים …</w:t>
            </w:r>
          </w:p>
        </w:tc>
      </w:tr>
      <w:tr>
        <w:tc>
          <w:tcPr>
            <w:tcW w:type="dxa" w:w="850"/>
          </w:tcPr>
          <w:p>
            <w:pPr>
              <w:bidi/>
              <w:jc w:val="right"/>
            </w:pPr>
            <w:r/>
            <w:r>
              <w:rPr>
                <w:rFonts w:ascii="David" w:hAnsi="David" w:cs="David"/>
                <w:b w:val="0"/>
                <w:sz w:val="20"/>
                <w:rtl/>
              </w:rPr>
              <w:t>515</w:t>
            </w:r>
          </w:p>
        </w:tc>
        <w:tc>
          <w:tcPr>
            <w:tcW w:type="dxa" w:w="2835"/>
          </w:tcPr>
          <w:p>
            <w:pPr>
              <w:bidi/>
              <w:jc w:val="right"/>
            </w:pPr>
            <w:r/>
            <w:r>
              <w:rPr>
                <w:rFonts w:ascii="David" w:hAnsi="David" w:cs="David"/>
                <w:b w:val="0"/>
                <w:sz w:val="20"/>
                <w:rtl/>
              </w:rPr>
              <w:t>בענין כפילת שמע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עמד על דבריו בחידושי החת״ס כאן] וכתב לבאר</w:t>
            </w:r>
          </w:p>
        </w:tc>
      </w:tr>
      <w:tr>
        <w:tc>
          <w:tcPr>
            <w:tcW w:type="dxa" w:w="850"/>
          </w:tcPr>
          <w:p>
            <w:pPr>
              <w:bidi/>
              <w:jc w:val="right"/>
            </w:pPr>
            <w:r/>
            <w:r>
              <w:rPr>
                <w:rFonts w:ascii="David" w:hAnsi="David" w:cs="David"/>
                <w:b w:val="0"/>
                <w:sz w:val="20"/>
                <w:rtl/>
              </w:rPr>
              <w:t>515</w:t>
            </w:r>
          </w:p>
        </w:tc>
        <w:tc>
          <w:tcPr>
            <w:tcW w:type="dxa" w:w="2835"/>
          </w:tcPr>
          <w:p>
            <w:pPr>
              <w:bidi/>
              <w:jc w:val="right"/>
            </w:pPr>
            <w:r/>
            <w:r>
              <w:rPr>
                <w:rFonts w:ascii="David" w:hAnsi="David" w:cs="David"/>
                <w:b w:val="0"/>
                <w:sz w:val="20"/>
                <w:rtl/>
              </w:rPr>
              <w:t>בענין כפילת שמע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הזה. וכ״כ תוס׳ הרא״ש ותוס׳ ר״פ שם.]</w:t>
            </w:r>
          </w:p>
        </w:tc>
      </w:tr>
      <w:tr>
        <w:tc>
          <w:tcPr>
            <w:tcW w:type="dxa" w:w="850"/>
          </w:tcPr>
          <w:p>
            <w:pPr>
              <w:bidi/>
              <w:jc w:val="right"/>
            </w:pPr>
            <w:r/>
            <w:r>
              <w:rPr>
                <w:rFonts w:ascii="David" w:hAnsi="David" w:cs="David"/>
                <w:b w:val="0"/>
                <w:sz w:val="20"/>
                <w:rtl/>
              </w:rPr>
              <w:t>525</w:t>
            </w:r>
          </w:p>
        </w:tc>
        <w:tc>
          <w:tcPr>
            <w:tcW w:type="dxa" w:w="2835"/>
          </w:tcPr>
          <w:p>
            <w:pPr>
              <w:bidi/>
              <w:jc w:val="right"/>
            </w:pPr>
            <w:r/>
            <w:r>
              <w:rPr>
                <w:rFonts w:ascii="David" w:hAnsi="David" w:cs="David"/>
                <w:b w:val="0"/>
                <w:sz w:val="20"/>
                <w:rtl/>
              </w:rPr>
              <w:t>דקדוק באותיותיה מהו</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רבי ישמעאל ברבי יוסי בשם אביו]. ועוד דאף רבי יהודה לא פליג אדרבי …</w:t>
            </w:r>
          </w:p>
        </w:tc>
      </w:tr>
      <w:tr>
        <w:tc>
          <w:tcPr>
            <w:tcW w:type="dxa" w:w="850"/>
          </w:tcPr>
          <w:p>
            <w:pPr>
              <w:bidi/>
              <w:jc w:val="right"/>
            </w:pPr>
            <w:r/>
            <w:r>
              <w:rPr>
                <w:rFonts w:ascii="David" w:hAnsi="David" w:cs="David"/>
                <w:b w:val="0"/>
                <w:sz w:val="20"/>
                <w:rtl/>
              </w:rPr>
              <w:t>528</w:t>
            </w:r>
          </w:p>
        </w:tc>
        <w:tc>
          <w:tcPr>
            <w:tcW w:type="dxa" w:w="2835"/>
          </w:tcPr>
          <w:p>
            <w:pPr>
              <w:bidi/>
              <w:jc w:val="right"/>
            </w:pPr>
            <w:r/>
            <w:r>
              <w:rPr>
                <w:rFonts w:ascii="David" w:hAnsi="David" w:cs="David"/>
                <w:b w:val="0"/>
                <w:sz w:val="20"/>
                <w:rtl/>
              </w:rPr>
              <w:t>בענין תפלה וקר״ש בכל לשון</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הבה״ל להלן קא ד״ה יכול להתפלל.] וז״ל אבל אם אינו בכי האי גוונא …</w:t>
            </w:r>
          </w:p>
        </w:tc>
      </w:tr>
      <w:tr>
        <w:tc>
          <w:tcPr>
            <w:tcW w:type="dxa" w:w="850"/>
          </w:tcPr>
          <w:p>
            <w:pPr>
              <w:bidi/>
              <w:jc w:val="right"/>
            </w:pPr>
            <w:r/>
            <w:r>
              <w:rPr>
                <w:rFonts w:ascii="David" w:hAnsi="David" w:cs="David"/>
                <w:b w:val="0"/>
                <w:sz w:val="20"/>
                <w:rtl/>
              </w:rPr>
              <w:t>562</w:t>
            </w:r>
          </w:p>
        </w:tc>
        <w:tc>
          <w:tcPr>
            <w:tcW w:type="dxa" w:w="2835"/>
          </w:tcPr>
          <w:p>
            <w:pPr>
              <w:bidi/>
              <w:jc w:val="right"/>
            </w:pPr>
            <w:r/>
            <w:r>
              <w:rPr>
                <w:rFonts w:ascii="David" w:hAnsi="David" w:cs="David"/>
                <w:b w:val="0"/>
                <w:sz w:val="20"/>
                <w:rtl/>
              </w:rPr>
              <w:t>העוסק במלאכה או בשאר דברים האם צריך לפסוק לקריאת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במצוה הוא דנימא יפטר מן המצוה. [בשלמא לעיל, סבר רבא להוכיח דממתני׳ …</w:t>
            </w:r>
          </w:p>
        </w:tc>
      </w:tr>
    </w:tbl>
    <w:sectPr w:rsidR="00FC693F" w:rsidRPr="0006063C" w:rsidSect="00034616">
      <w:pgSz w:w="12240" w:h="15840"/>
      <w:pgMar w:top="1440" w:right="1020" w:bottom="144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