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David" w:hAnsi="David"/>
          <w:b/>
          <w:sz w:val="36"/>
          <w:rtl/>
        </w:rPr>
        <w:t>הערות על הטקסט המקורי</w:t>
      </w:r>
    </w:p>
    <w:p>
      <w:pPr>
        <w:bidi/>
        <w:jc w:val="right"/>
      </w:pPr>
      <w:r>
        <w:rPr>
          <w:rFonts w:ascii="David" w:hAnsi="David"/>
          <w:sz w:val="22"/>
          <w:rtl/>
        </w:rPr>
        <w:t>בקריאה המלאה של החוברת נמצאו מקומות שבהם הטקסט עצמו אינו תקין, כגון סוגריים שנפתחו ולא נסגרו ורווח לפני פיסוק. לא שיניתי תוכן. מי שרוצה יתקן במקור וישלח שוב, והחוברת תיבנה מחדש. מספרי העמודים הם לפי מספור החוברת.</w:t>
      </w:r>
    </w:p>
    <w:tbl>
      <w:tblPr>
        <w:tblStyle w:val="TableGrid"/>
        <w:tblW w:type="auto" w:w="0"/>
        <w:tblLook w:firstColumn="1" w:firstRow="1" w:lastColumn="0" w:lastRow="0" w:noHBand="0" w:noVBand="1" w:val="04A0"/>
        <w:bidiVisual/>
      </w:tblPr>
      <w:tblGrid>
        <w:gridCol w:w="2550"/>
        <w:gridCol w:w="2550"/>
        <w:gridCol w:w="2550"/>
        <w:gridCol w:w="2550"/>
      </w:tblGrid>
      <w:tr>
        <w:tc>
          <w:tcPr>
            <w:tcW w:type="dxa" w:w="850"/>
          </w:tcPr>
          <w:p>
            <w:pPr>
              <w:bidi/>
              <w:jc w:val="right"/>
            </w:pPr>
            <w:r/>
            <w:r>
              <w:rPr>
                <w:rFonts w:ascii="David" w:hAnsi="David" w:cs="David"/>
                <w:b/>
                <w:sz w:val="20"/>
                <w:rtl/>
              </w:rPr>
              <w:t>עמוד</w:t>
            </w:r>
          </w:p>
        </w:tc>
        <w:tc>
          <w:tcPr>
            <w:tcW w:type="dxa" w:w="2835"/>
          </w:tcPr>
          <w:p>
            <w:pPr>
              <w:bidi/>
              <w:jc w:val="right"/>
            </w:pPr>
            <w:r/>
            <w:r>
              <w:rPr>
                <w:rFonts w:ascii="David" w:hAnsi="David" w:cs="David"/>
                <w:b/>
                <w:sz w:val="20"/>
                <w:rtl/>
              </w:rPr>
              <w:t>מאמר</w:t>
            </w:r>
          </w:p>
        </w:tc>
        <w:tc>
          <w:tcPr>
            <w:tcW w:type="dxa" w:w="2268"/>
          </w:tcPr>
          <w:p>
            <w:pPr>
              <w:bidi/>
              <w:jc w:val="right"/>
            </w:pPr>
            <w:r/>
            <w:r>
              <w:rPr>
                <w:rFonts w:ascii="David" w:hAnsi="David" w:cs="David"/>
                <w:b/>
                <w:sz w:val="20"/>
                <w:rtl/>
              </w:rPr>
              <w:t>סוג</w:t>
            </w:r>
          </w:p>
        </w:tc>
        <w:tc>
          <w:tcPr>
            <w:tcW w:type="dxa" w:w="3798"/>
          </w:tcPr>
          <w:p>
            <w:pPr>
              <w:bidi/>
              <w:jc w:val="right"/>
            </w:pPr>
            <w:r/>
            <w:r>
              <w:rPr>
                <w:rFonts w:ascii="David" w:hAnsi="David" w:cs="David"/>
                <w:b/>
                <w:sz w:val="20"/>
                <w:rtl/>
              </w:rPr>
              <w:t>קטע</w:t>
            </w:r>
          </w:p>
        </w:tc>
      </w:tr>
      <w:tr>
        <w:tc>
          <w:tcPr>
            <w:tcW w:type="dxa" w:w="850"/>
          </w:tcPr>
          <w:p>
            <w:pPr>
              <w:bidi/>
              <w:jc w:val="right"/>
            </w:pPr>
            <w:r/>
            <w:r>
              <w:rPr>
                <w:rFonts w:ascii="David" w:hAnsi="David" w:cs="David"/>
                <w:b w:val="0"/>
                <w:sz w:val="20"/>
                <w:rtl/>
              </w:rPr>
              <w:t>5</w:t>
            </w:r>
          </w:p>
        </w:tc>
        <w:tc>
          <w:tcPr>
            <w:tcW w:type="dxa" w:w="2835"/>
          </w:tcPr>
          <w:p>
            <w:pPr>
              <w:bidi/>
              <w:jc w:val="right"/>
            </w:pPr>
            <w:r/>
            <w:r>
              <w:rPr>
                <w:rFonts w:ascii="David" w:hAnsi="David" w:cs="David"/>
                <w:b w:val="0"/>
                <w:sz w:val="20"/>
                <w:rtl/>
              </w:rPr>
              <w:t>החובה להתאמץ בדור אחרון</w:t>
            </w:r>
          </w:p>
        </w:tc>
        <w:tc>
          <w:tcPr>
            <w:tcW w:type="dxa" w:w="2268"/>
          </w:tcPr>
          <w:p>
            <w:pPr>
              <w:bidi/>
              <w:jc w:val="right"/>
            </w:pPr>
            <w:r/>
            <w:r>
              <w:rPr>
                <w:rFonts w:ascii="David" w:hAnsi="David" w:cs="David"/>
                <w:b w:val="0"/>
                <w:sz w:val="20"/>
                <w:rtl/>
              </w:rPr>
              <w:t>סימני שאלה (???) בטקסט</w:t>
            </w:r>
          </w:p>
        </w:tc>
        <w:tc>
          <w:tcPr>
            <w:tcW w:type="dxa" w:w="3798"/>
          </w:tcPr>
          <w:p>
            <w:pPr>
              <w:bidi/>
              <w:jc w:val="right"/>
            </w:pPr>
            <w:r/>
            <w:r>
              <w:rPr>
                <w:rFonts w:ascii="David" w:hAnsi="David" w:cs="David"/>
                <w:b w:val="0"/>
                <w:sz w:val="20"/>
                <w:rtl/>
              </w:rPr>
              <w:t>… אדם להגיע ליראת שמים כזאת ולכך (???) לחדש לנו שהדרך המועלת והנכונה …</w:t>
            </w:r>
          </w:p>
        </w:tc>
      </w:tr>
      <w:tr>
        <w:tc>
          <w:tcPr>
            <w:tcW w:type="dxa" w:w="850"/>
          </w:tcPr>
          <w:p>
            <w:pPr>
              <w:bidi/>
              <w:jc w:val="right"/>
            </w:pPr>
            <w:r/>
            <w:r>
              <w:rPr>
                <w:rFonts w:ascii="David" w:hAnsi="David" w:cs="David"/>
                <w:b w:val="0"/>
                <w:sz w:val="20"/>
                <w:rtl/>
              </w:rPr>
              <w:t>13</w:t>
            </w:r>
          </w:p>
        </w:tc>
        <w:tc>
          <w:tcPr>
            <w:tcW w:type="dxa" w:w="2835"/>
          </w:tcPr>
          <w:p>
            <w:pPr>
              <w:bidi/>
              <w:jc w:val="right"/>
            </w:pPr>
            <w:r/>
            <w:r>
              <w:rPr>
                <w:rFonts w:ascii="David" w:hAnsi="David" w:cs="David"/>
                <w:b w:val="0"/>
                <w:sz w:val="20"/>
                <w:rtl/>
              </w:rPr>
              <w:t>הלכות נטילת ידיים שחרית</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[לכאורה לטעם הראשון של רש״י זה …</w:t>
            </w:r>
          </w:p>
        </w:tc>
      </w:tr>
      <w:tr>
        <w:tc>
          <w:tcPr>
            <w:tcW w:type="dxa" w:w="850"/>
          </w:tcPr>
          <w:p>
            <w:pPr>
              <w:bidi/>
              <w:jc w:val="right"/>
            </w:pPr>
            <w:r/>
            <w:r>
              <w:rPr>
                <w:rFonts w:ascii="David" w:hAnsi="David" w:cs="David"/>
                <w:b w:val="0"/>
                <w:sz w:val="20"/>
                <w:rtl/>
              </w:rPr>
              <w:t>42</w:t>
            </w:r>
          </w:p>
        </w:tc>
        <w:tc>
          <w:tcPr>
            <w:tcW w:type="dxa" w:w="2835"/>
          </w:tcPr>
          <w:p>
            <w:pPr>
              <w:bidi/>
              <w:jc w:val="right"/>
            </w:pPr>
            <w:r/>
            <w:r>
              <w:rPr>
                <w:rFonts w:ascii="David" w:hAnsi="David" w:cs="David"/>
                <w:b w:val="0"/>
                <w:sz w:val="20"/>
                <w:rtl/>
              </w:rPr>
              <w:t>בענין נטילת ידיים של שחרית</w:t>
            </w:r>
          </w:p>
        </w:tc>
        <w:tc>
          <w:tcPr>
            <w:tcW w:type="dxa" w:w="2268"/>
          </w:tcPr>
          <w:p>
            <w:pPr>
              <w:bidi/>
              <w:jc w:val="right"/>
            </w:pPr>
            <w:r/>
            <w:r>
              <w:rPr>
                <w:rFonts w:ascii="David" w:hAnsi="David" w:cs="David"/>
                <w:b w:val="0"/>
                <w:sz w:val="20"/>
                <w:rtl/>
              </w:rPr>
              <w:t>סוגריים עגולים ( ) לא מאוזנים</w:t>
            </w:r>
          </w:p>
        </w:tc>
        <w:tc>
          <w:tcPr>
            <w:tcW w:type="dxa" w:w="3798"/>
          </w:tcPr>
          <w:p>
            <w:pPr>
              <w:bidi/>
              <w:jc w:val="right"/>
            </w:pPr>
            <w:r/>
            <w:r>
              <w:rPr>
                <w:rFonts w:ascii="David" w:hAnsi="David" w:cs="David"/>
                <w:b w:val="0"/>
                <w:sz w:val="20"/>
                <w:rtl/>
              </w:rPr>
              <w:t>… יש שלהחמיר רק ברפש ולא בטיט (ונראה משום שרפש זה לכלוך שיש בו …</w:t>
            </w:r>
          </w:p>
        </w:tc>
      </w:tr>
      <w:tr>
        <w:tc>
          <w:tcPr>
            <w:tcW w:type="dxa" w:w="850"/>
          </w:tcPr>
          <w:p>
            <w:pPr>
              <w:bidi/>
              <w:jc w:val="right"/>
            </w:pPr>
            <w:r/>
            <w:r>
              <w:rPr>
                <w:rFonts w:ascii="David" w:hAnsi="David" w:cs="David"/>
                <w:b w:val="0"/>
                <w:sz w:val="20"/>
                <w:rtl/>
              </w:rPr>
              <w:t>78</w:t>
            </w:r>
          </w:p>
        </w:tc>
        <w:tc>
          <w:tcPr>
            <w:tcW w:type="dxa" w:w="2835"/>
          </w:tcPr>
          <w:p>
            <w:pPr>
              <w:bidi/>
              <w:jc w:val="right"/>
            </w:pPr>
            <w:r/>
            <w:r>
              <w:rPr>
                <w:rFonts w:ascii="David" w:hAnsi="David" w:cs="David"/>
                <w:b w:val="0"/>
                <w:sz w:val="20"/>
                <w:rtl/>
              </w:rPr>
              <w:t>דין כוונת הברכות</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ובאלוקים שהוא בעל הכוחות כולם. [המצוה השישית ולא תתורו. וכתב שם …</w:t>
            </w:r>
          </w:p>
        </w:tc>
      </w:tr>
      <w:tr>
        <w:tc>
          <w:tcPr>
            <w:tcW w:type="dxa" w:w="850"/>
          </w:tcPr>
          <w:p>
            <w:pPr>
              <w:bidi/>
              <w:jc w:val="right"/>
            </w:pPr>
            <w:r/>
            <w:r>
              <w:rPr>
                <w:rFonts w:ascii="David" w:hAnsi="David" w:cs="David"/>
                <w:b w:val="0"/>
                <w:sz w:val="20"/>
                <w:rtl/>
              </w:rPr>
              <w:t>90</w:t>
            </w:r>
          </w:p>
        </w:tc>
        <w:tc>
          <w:tcPr>
            <w:tcW w:type="dxa" w:w="2835"/>
          </w:tcPr>
          <w:p>
            <w:pPr>
              <w:bidi/>
              <w:jc w:val="right"/>
            </w:pPr>
            <w:r/>
            <w:r>
              <w:rPr>
                <w:rFonts w:ascii="David" w:hAnsi="David" w:cs="David"/>
                <w:b w:val="0"/>
                <w:sz w:val="20"/>
                <w:rtl/>
              </w:rPr>
              <w:t>פירוש ברכת אשר יצר</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בו הקב״ה טוב המאכל ודוחה הפסולת׳. [כלומר, בהוצאתו שהיא רפואה לכל בשרי …</w:t>
            </w:r>
          </w:p>
        </w:tc>
      </w:tr>
      <w:tr>
        <w:tc>
          <w:tcPr>
            <w:tcW w:type="dxa" w:w="850"/>
          </w:tcPr>
          <w:p>
            <w:pPr>
              <w:bidi/>
              <w:jc w:val="right"/>
            </w:pPr>
            <w:r/>
            <w:r>
              <w:rPr>
                <w:rFonts w:ascii="David" w:hAnsi="David" w:cs="David"/>
                <w:b w:val="0"/>
                <w:sz w:val="20"/>
                <w:rtl/>
              </w:rPr>
              <w:t>102</w:t>
            </w:r>
          </w:p>
        </w:tc>
        <w:tc>
          <w:tcPr>
            <w:tcW w:type="dxa" w:w="2835"/>
          </w:tcPr>
          <w:p>
            <w:pPr>
              <w:bidi/>
              <w:jc w:val="right"/>
            </w:pPr>
            <w:r/>
            <w:r>
              <w:rPr>
                <w:rFonts w:ascii="David" w:hAnsi="David" w:cs="David"/>
                <w:b w:val="0"/>
                <w:sz w:val="20"/>
                <w:rtl/>
              </w:rPr>
              <w:t>בענין ברכת אשר יצר</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הקימה ואכן כך פסק השו״ע בסימן ד.א] ועוד הוסיף לדייק בלשונו בריש סימן …</w:t>
            </w:r>
          </w:p>
        </w:tc>
      </w:tr>
      <w:tr>
        <w:tc>
          <w:tcPr>
            <w:tcW w:type="dxa" w:w="850"/>
          </w:tcPr>
          <w:p>
            <w:pPr>
              <w:bidi/>
              <w:jc w:val="right"/>
            </w:pPr>
            <w:r/>
            <w:r>
              <w:rPr>
                <w:rFonts w:ascii="David" w:hAnsi="David" w:cs="David"/>
                <w:b w:val="0"/>
                <w:sz w:val="20"/>
                <w:rtl/>
              </w:rPr>
              <w:t>102</w:t>
            </w:r>
          </w:p>
        </w:tc>
        <w:tc>
          <w:tcPr>
            <w:tcW w:type="dxa" w:w="2835"/>
          </w:tcPr>
          <w:p>
            <w:pPr>
              <w:bidi/>
              <w:jc w:val="right"/>
            </w:pPr>
            <w:r/>
            <w:r>
              <w:rPr>
                <w:rFonts w:ascii="David" w:hAnsi="David" w:cs="David"/>
                <w:b w:val="0"/>
                <w:sz w:val="20"/>
                <w:rtl/>
              </w:rPr>
              <w:t>בענין ברכת אשר יצר</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איתא בגמ׳ בברכות [מו.] ופסחים קד:] כל הברכות כולן פותח בהן בברוך …</w:t>
            </w:r>
          </w:p>
        </w:tc>
      </w:tr>
      <w:tr>
        <w:tc>
          <w:tcPr>
            <w:tcW w:type="dxa" w:w="850"/>
          </w:tcPr>
          <w:p>
            <w:pPr>
              <w:bidi/>
              <w:jc w:val="right"/>
            </w:pPr>
            <w:r/>
            <w:r>
              <w:rPr>
                <w:rFonts w:ascii="David" w:hAnsi="David" w:cs="David"/>
                <w:b w:val="0"/>
                <w:sz w:val="20"/>
                <w:rtl/>
              </w:rPr>
              <w:t>102</w:t>
            </w:r>
          </w:p>
        </w:tc>
        <w:tc>
          <w:tcPr>
            <w:tcW w:type="dxa" w:w="2835"/>
          </w:tcPr>
          <w:p>
            <w:pPr>
              <w:bidi/>
              <w:jc w:val="right"/>
            </w:pPr>
            <w:r/>
            <w:r>
              <w:rPr>
                <w:rFonts w:ascii="David" w:hAnsi="David" w:cs="David"/>
                <w:b w:val="0"/>
                <w:sz w:val="20"/>
                <w:rtl/>
              </w:rPr>
              <w:t>בענין ברכת אשר יצר</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ע״כ.  וכן הוא התוס׳ הרא״ש בברכות.] ותוס׳ רבי יהודה החסיד [שם.] …</w:t>
            </w:r>
          </w:p>
        </w:tc>
      </w:tr>
      <w:tr>
        <w:tc>
          <w:tcPr>
            <w:tcW w:type="dxa" w:w="850"/>
          </w:tcPr>
          <w:p>
            <w:pPr>
              <w:bidi/>
              <w:jc w:val="right"/>
            </w:pPr>
            <w:r/>
            <w:r>
              <w:rPr>
                <w:rFonts w:ascii="David" w:hAnsi="David" w:cs="David"/>
                <w:b w:val="0"/>
                <w:sz w:val="20"/>
                <w:rtl/>
              </w:rPr>
              <w:t>102</w:t>
            </w:r>
          </w:p>
        </w:tc>
        <w:tc>
          <w:tcPr>
            <w:tcW w:type="dxa" w:w="2835"/>
          </w:tcPr>
          <w:p>
            <w:pPr>
              <w:bidi/>
              <w:jc w:val="right"/>
            </w:pPr>
            <w:r/>
            <w:r>
              <w:rPr>
                <w:rFonts w:ascii="David" w:hAnsi="David" w:cs="David"/>
                <w:b w:val="0"/>
                <w:sz w:val="20"/>
                <w:rtl/>
              </w:rPr>
              <w:t>בענין ברכת אשר יצר</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וכמו שביאר הרמ״א דרכ״מ ריש סימן ו.] את הענין הנוסח של ברכת אשר יצר …</w:t>
            </w:r>
          </w:p>
        </w:tc>
      </w:tr>
      <w:tr>
        <w:tc>
          <w:tcPr>
            <w:tcW w:type="dxa" w:w="850"/>
          </w:tcPr>
          <w:p>
            <w:pPr>
              <w:bidi/>
              <w:jc w:val="right"/>
            </w:pPr>
            <w:r/>
            <w:r>
              <w:rPr>
                <w:rFonts w:ascii="David" w:hAnsi="David" w:cs="David"/>
                <w:b w:val="0"/>
                <w:sz w:val="20"/>
                <w:rtl/>
              </w:rPr>
              <w:t>102</w:t>
            </w:r>
          </w:p>
        </w:tc>
        <w:tc>
          <w:tcPr>
            <w:tcW w:type="dxa" w:w="2835"/>
          </w:tcPr>
          <w:p>
            <w:pPr>
              <w:bidi/>
              <w:jc w:val="right"/>
            </w:pPr>
            <w:r/>
            <w:r>
              <w:rPr>
                <w:rFonts w:ascii="David" w:hAnsi="David" w:cs="David"/>
                <w:b w:val="0"/>
                <w:sz w:val="20"/>
                <w:rtl/>
              </w:rPr>
              <w:t>בענין ברכת אשר יצר</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בעיקר הדבר אנו מוצאים שהמנחת שלמה [ב ד ס״ק כח. הסתפק בדבר הז הוביעקר …</w:t>
            </w:r>
          </w:p>
        </w:tc>
      </w:tr>
      <w:tr>
        <w:tc>
          <w:tcPr>
            <w:tcW w:type="dxa" w:w="850"/>
          </w:tcPr>
          <w:p>
            <w:pPr>
              <w:bidi/>
              <w:jc w:val="right"/>
            </w:pPr>
            <w:r/>
            <w:r>
              <w:rPr>
                <w:rFonts w:ascii="David" w:hAnsi="David" w:cs="David"/>
                <w:b w:val="0"/>
                <w:sz w:val="20"/>
                <w:rtl/>
              </w:rPr>
              <w:t>137</w:t>
            </w:r>
          </w:p>
        </w:tc>
        <w:tc>
          <w:tcPr>
            <w:tcW w:type="dxa" w:w="2835"/>
          </w:tcPr>
          <w:p>
            <w:pPr>
              <w:bidi/>
              <w:jc w:val="right"/>
            </w:pPr>
            <w:r/>
            <w:r>
              <w:rPr>
                <w:rFonts w:ascii="David" w:hAnsi="David" w:cs="David"/>
                <w:b w:val="0"/>
                <w:sz w:val="20"/>
                <w:rtl/>
              </w:rPr>
              <w:t>בדיני ברכת התורה והמקורות</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״איזהו מקומן״ וברייתא דר׳ ישמעאל [טעם ברכת כהנים ואלו דברים שצריך …</w:t>
            </w:r>
          </w:p>
        </w:tc>
      </w:tr>
      <w:tr>
        <w:tc>
          <w:tcPr>
            <w:tcW w:type="dxa" w:w="850"/>
          </w:tcPr>
          <w:p>
            <w:pPr>
              <w:bidi/>
              <w:jc w:val="right"/>
            </w:pPr>
            <w:r/>
            <w:r>
              <w:rPr>
                <w:rFonts w:ascii="David" w:hAnsi="David" w:cs="David"/>
                <w:b w:val="0"/>
                <w:sz w:val="20"/>
                <w:rtl/>
              </w:rPr>
              <w:t>149</w:t>
            </w:r>
          </w:p>
        </w:tc>
        <w:tc>
          <w:tcPr>
            <w:tcW w:type="dxa" w:w="2835"/>
          </w:tcPr>
          <w:p>
            <w:pPr>
              <w:bidi/>
              <w:jc w:val="right"/>
            </w:pPr>
            <w:r/>
            <w:r>
              <w:rPr>
                <w:rFonts w:ascii="David" w:hAnsi="David" w:cs="David"/>
                <w:b w:val="0"/>
                <w:sz w:val="20"/>
                <w:rtl/>
              </w:rPr>
              <w:t>סיכום שיטות הראשונים בדין זהירות בברכות התורה</w:t>
            </w:r>
          </w:p>
        </w:tc>
        <w:tc>
          <w:tcPr>
            <w:tcW w:type="dxa" w:w="2268"/>
          </w:tcPr>
          <w:p>
            <w:pPr>
              <w:bidi/>
              <w:jc w:val="right"/>
            </w:pPr>
            <w:r/>
            <w:r>
              <w:rPr>
                <w:rFonts w:ascii="David" w:hAnsi="David" w:cs="David"/>
                <w:b w:val="0"/>
                <w:sz w:val="20"/>
                <w:rtl/>
              </w:rPr>
              <w:t>סוגריים עגולים ( ) לא מאוזנים</w:t>
            </w:r>
          </w:p>
        </w:tc>
        <w:tc>
          <w:tcPr>
            <w:tcW w:type="dxa" w:w="3798"/>
          </w:tcPr>
          <w:p>
            <w:pPr>
              <w:bidi/>
              <w:jc w:val="right"/>
            </w:pPr>
            <w:r/>
            <w:r>
              <w:rPr>
                <w:rFonts w:ascii="David" w:hAnsi="David" w:cs="David"/>
                <w:b w:val="0"/>
                <w:sz w:val="20"/>
                <w:rtl/>
              </w:rPr>
              <w:t>(והמדקדק בדברי הגמ׳ ובדברי המפרש שם …</w:t>
            </w:r>
          </w:p>
        </w:tc>
      </w:tr>
      <w:tr>
        <w:tc>
          <w:tcPr>
            <w:tcW w:type="dxa" w:w="850"/>
          </w:tcPr>
          <w:p>
            <w:pPr>
              <w:bidi/>
              <w:jc w:val="right"/>
            </w:pPr>
            <w:r/>
            <w:r>
              <w:rPr>
                <w:rFonts w:ascii="David" w:hAnsi="David" w:cs="David"/>
                <w:b w:val="0"/>
                <w:sz w:val="20"/>
                <w:rtl/>
              </w:rPr>
              <w:t>149</w:t>
            </w:r>
          </w:p>
        </w:tc>
        <w:tc>
          <w:tcPr>
            <w:tcW w:type="dxa" w:w="2835"/>
          </w:tcPr>
          <w:p>
            <w:pPr>
              <w:bidi/>
              <w:jc w:val="right"/>
            </w:pPr>
            <w:r/>
            <w:r>
              <w:rPr>
                <w:rFonts w:ascii="David" w:hAnsi="David" w:cs="David"/>
                <w:b w:val="0"/>
                <w:sz w:val="20"/>
                <w:rtl/>
              </w:rPr>
              <w:t>סיכום שיטות הראשונים בדין זהירות בברכות התורה</w:t>
            </w:r>
          </w:p>
        </w:tc>
        <w:tc>
          <w:tcPr>
            <w:tcW w:type="dxa" w:w="2268"/>
          </w:tcPr>
          <w:p>
            <w:pPr>
              <w:bidi/>
              <w:jc w:val="right"/>
            </w:pPr>
            <w:r/>
            <w:r>
              <w:rPr>
                <w:rFonts w:ascii="David" w:hAnsi="David" w:cs="David"/>
                <w:b w:val="0"/>
                <w:sz w:val="20"/>
                <w:rtl/>
              </w:rPr>
              <w:t>סוגריים עגולים ( ) לא מאוזנים</w:t>
            </w:r>
          </w:p>
        </w:tc>
        <w:tc>
          <w:tcPr>
            <w:tcW w:type="dxa" w:w="3798"/>
          </w:tcPr>
          <w:p>
            <w:pPr>
              <w:bidi/>
              <w:jc w:val="right"/>
            </w:pPr>
            <w:r/>
            <w:r>
              <w:rPr>
                <w:rFonts w:ascii="David" w:hAnsi="David" w:cs="David"/>
                <w:b w:val="0"/>
                <w:sz w:val="20"/>
                <w:rtl/>
              </w:rPr>
              <w:t>… ת״ח שוב אין תורה פוסקת מזרעו לעולם).</w:t>
            </w:r>
          </w:p>
        </w:tc>
      </w:tr>
      <w:tr>
        <w:tc>
          <w:tcPr>
            <w:tcW w:type="dxa" w:w="850"/>
          </w:tcPr>
          <w:p>
            <w:pPr>
              <w:bidi/>
              <w:jc w:val="right"/>
            </w:pPr>
            <w:r/>
            <w:r>
              <w:rPr>
                <w:rFonts w:ascii="David" w:hAnsi="David" w:cs="David"/>
                <w:b w:val="0"/>
                <w:sz w:val="20"/>
                <w:rtl/>
              </w:rPr>
              <w:t>173</w:t>
            </w:r>
          </w:p>
        </w:tc>
        <w:tc>
          <w:tcPr>
            <w:tcW w:type="dxa" w:w="2835"/>
          </w:tcPr>
          <w:p>
            <w:pPr>
              <w:bidi/>
              <w:jc w:val="right"/>
            </w:pPr>
            <w:r/>
            <w:r>
              <w:rPr>
                <w:rFonts w:ascii="David" w:hAnsi="David" w:cs="David"/>
                <w:b w:val="0"/>
                <w:sz w:val="20"/>
                <w:rtl/>
              </w:rPr>
              <w:t>בביאור גדר ברכות התורה לגבי הפסק וחיוב נשים</w:t>
            </w:r>
          </w:p>
        </w:tc>
        <w:tc>
          <w:tcPr>
            <w:tcW w:type="dxa" w:w="2268"/>
          </w:tcPr>
          <w:p>
            <w:pPr>
              <w:bidi/>
              <w:jc w:val="right"/>
            </w:pPr>
            <w:r/>
            <w:r>
              <w:rPr>
                <w:rFonts w:ascii="David" w:hAnsi="David" w:cs="David"/>
                <w:b w:val="0"/>
                <w:sz w:val="20"/>
                <w:rtl/>
              </w:rPr>
              <w:t>סוגריים עגולים ( ) לא מאוזנים</w:t>
            </w:r>
          </w:p>
        </w:tc>
        <w:tc>
          <w:tcPr>
            <w:tcW w:type="dxa" w:w="3798"/>
          </w:tcPr>
          <w:p>
            <w:pPr>
              <w:bidi/>
              <w:jc w:val="right"/>
            </w:pPr>
            <w:r/>
            <w:r>
              <w:rPr>
                <w:rFonts w:ascii="David" w:hAnsi="David" w:cs="David"/>
                <w:b w:val="0"/>
                <w:sz w:val="20"/>
                <w:rtl/>
              </w:rPr>
              <w:t>איתא בגמ׳ (דף: ״אמר רב יהודא אמר שמואל השכים …</w:t>
            </w:r>
          </w:p>
        </w:tc>
      </w:tr>
      <w:tr>
        <w:tc>
          <w:tcPr>
            <w:tcW w:type="dxa" w:w="850"/>
          </w:tcPr>
          <w:p>
            <w:pPr>
              <w:bidi/>
              <w:jc w:val="right"/>
            </w:pPr>
            <w:r/>
            <w:r>
              <w:rPr>
                <w:rFonts w:ascii="David" w:hAnsi="David" w:cs="David"/>
                <w:b w:val="0"/>
                <w:sz w:val="20"/>
                <w:rtl/>
              </w:rPr>
              <w:t>185</w:t>
            </w:r>
          </w:p>
        </w:tc>
        <w:tc>
          <w:tcPr>
            <w:tcW w:type="dxa" w:w="2835"/>
          </w:tcPr>
          <w:p>
            <w:pPr>
              <w:bidi/>
              <w:jc w:val="right"/>
            </w:pPr>
            <w:r/>
            <w:r>
              <w:rPr>
                <w:rFonts w:ascii="David" w:hAnsi="David" w:cs="David"/>
                <w:b w:val="0"/>
                <w:sz w:val="20"/>
                <w:rtl/>
              </w:rPr>
              <w:t>בענין ברכות 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צדקך״ שביארו בירולשמי ברכות א.ה] שזה קאי על ז׳ הברכות שאנו אומרים …</w:t>
            </w:r>
          </w:p>
        </w:tc>
      </w:tr>
      <w:tr>
        <w:tc>
          <w:tcPr>
            <w:tcW w:type="dxa" w:w="850"/>
          </w:tcPr>
          <w:p>
            <w:pPr>
              <w:bidi/>
              <w:jc w:val="right"/>
            </w:pPr>
            <w:r/>
            <w:r>
              <w:rPr>
                <w:rFonts w:ascii="David" w:hAnsi="David" w:cs="David"/>
                <w:b w:val="0"/>
                <w:sz w:val="20"/>
                <w:rtl/>
              </w:rPr>
              <w:t>185</w:t>
            </w:r>
          </w:p>
        </w:tc>
        <w:tc>
          <w:tcPr>
            <w:tcW w:type="dxa" w:w="2835"/>
          </w:tcPr>
          <w:p>
            <w:pPr>
              <w:bidi/>
              <w:jc w:val="right"/>
            </w:pPr>
            <w:r/>
            <w:r>
              <w:rPr>
                <w:rFonts w:ascii="David" w:hAnsi="David" w:cs="David"/>
                <w:b w:val="0"/>
                <w:sz w:val="20"/>
                <w:rtl/>
              </w:rPr>
              <w:t>בענין ברכות 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מיוחד שהוי דבר שהנמה נהנית בו.] [עיין בחידושי ר׳ דוד שם וחידושי …</w:t>
            </w:r>
          </w:p>
        </w:tc>
      </w:tr>
      <w:tr>
        <w:tc>
          <w:tcPr>
            <w:tcW w:type="dxa" w:w="850"/>
          </w:tcPr>
          <w:p>
            <w:pPr>
              <w:bidi/>
              <w:jc w:val="right"/>
            </w:pPr>
            <w:r/>
            <w:r>
              <w:rPr>
                <w:rFonts w:ascii="David" w:hAnsi="David" w:cs="David"/>
                <w:b w:val="0"/>
                <w:sz w:val="20"/>
                <w:rtl/>
              </w:rPr>
              <w:t>185</w:t>
            </w:r>
          </w:p>
        </w:tc>
        <w:tc>
          <w:tcPr>
            <w:tcW w:type="dxa" w:w="2835"/>
          </w:tcPr>
          <w:p>
            <w:pPr>
              <w:bidi/>
              <w:jc w:val="right"/>
            </w:pPr>
            <w:r/>
            <w:r>
              <w:rPr>
                <w:rFonts w:ascii="David" w:hAnsi="David" w:cs="David"/>
                <w:b w:val="0"/>
                <w:sz w:val="20"/>
                <w:rtl/>
              </w:rPr>
              <w:t>בענין ברכות 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הנה מבואר במשנה ברכות יג.] היה קורא בתורה והגיע זמן המקרא אם …</w:t>
            </w:r>
          </w:p>
        </w:tc>
      </w:tr>
      <w:tr>
        <w:tc>
          <w:tcPr>
            <w:tcW w:type="dxa" w:w="850"/>
          </w:tcPr>
          <w:p>
            <w:pPr>
              <w:bidi/>
              <w:jc w:val="right"/>
            </w:pPr>
            <w:r/>
            <w:r>
              <w:rPr>
                <w:rFonts w:ascii="David" w:hAnsi="David" w:cs="David"/>
                <w:b w:val="0"/>
                <w:sz w:val="20"/>
                <w:rtl/>
              </w:rPr>
              <w:t>185</w:t>
            </w:r>
          </w:p>
        </w:tc>
        <w:tc>
          <w:tcPr>
            <w:tcW w:type="dxa" w:w="2835"/>
          </w:tcPr>
          <w:p>
            <w:pPr>
              <w:bidi/>
              <w:jc w:val="right"/>
            </w:pPr>
            <w:r/>
            <w:r>
              <w:rPr>
                <w:rFonts w:ascii="David" w:hAnsi="David" w:cs="David"/>
                <w:b w:val="0"/>
                <w:sz w:val="20"/>
                <w:rtl/>
              </w:rPr>
              <w:t>בענין ברכות קר״ש</w:t>
            </w:r>
          </w:p>
        </w:tc>
        <w:tc>
          <w:tcPr>
            <w:tcW w:type="dxa" w:w="2268"/>
          </w:tcPr>
          <w:p>
            <w:pPr>
              <w:bidi/>
              <w:jc w:val="right"/>
            </w:pPr>
            <w:r/>
            <w:r>
              <w:rPr>
                <w:rFonts w:ascii="David" w:hAnsi="David" w:cs="David"/>
                <w:b w:val="0"/>
                <w:sz w:val="20"/>
                <w:rtl/>
              </w:rPr>
              <w:t>רווח לפני סימן פיסוק</w:t>
            </w:r>
          </w:p>
        </w:tc>
        <w:tc>
          <w:tcPr>
            <w:tcW w:type="dxa" w:w="3798"/>
          </w:tcPr>
          <w:p>
            <w:pPr>
              <w:bidi/>
              <w:jc w:val="right"/>
            </w:pPr>
            <w:r/>
            <w:r>
              <w:rPr>
                <w:rFonts w:ascii="David" w:hAnsi="David" w:cs="David"/>
                <w:b w:val="0"/>
                <w:sz w:val="20"/>
                <w:rtl/>
              </w:rPr>
              <w:t>… ארוכה עיין רש״י ותוס׳ שם על המשנה .] לכך זהו הטעם שהיתה הו,א שנימא …</w:t>
            </w:r>
          </w:p>
        </w:tc>
      </w:tr>
      <w:tr>
        <w:tc>
          <w:tcPr>
            <w:tcW w:type="dxa" w:w="850"/>
          </w:tcPr>
          <w:p>
            <w:pPr>
              <w:bidi/>
              <w:jc w:val="right"/>
            </w:pPr>
            <w:r/>
            <w:r>
              <w:rPr>
                <w:rFonts w:ascii="David" w:hAnsi="David" w:cs="David"/>
                <w:b w:val="0"/>
                <w:sz w:val="20"/>
                <w:rtl/>
              </w:rPr>
              <w:t>190</w:t>
            </w:r>
          </w:p>
        </w:tc>
        <w:tc>
          <w:tcPr>
            <w:tcW w:type="dxa" w:w="2835"/>
          </w:tcPr>
          <w:p>
            <w:pPr>
              <w:bidi/>
              <w:jc w:val="right"/>
            </w:pPr>
            <w:r/>
            <w:r>
              <w:rPr>
                <w:rFonts w:ascii="David" w:hAnsi="David" w:cs="David"/>
                <w:b w:val="0"/>
                <w:sz w:val="20"/>
                <w:rtl/>
              </w:rPr>
              <w:t>גדר רואין זה את זה בצירוף עשרה למנין</w:t>
            </w:r>
          </w:p>
        </w:tc>
        <w:tc>
          <w:tcPr>
            <w:tcW w:type="dxa" w:w="2268"/>
          </w:tcPr>
          <w:p>
            <w:pPr>
              <w:bidi/>
              <w:jc w:val="right"/>
            </w:pPr>
            <w:r/>
            <w:r>
              <w:rPr>
                <w:rFonts w:ascii="David" w:hAnsi="David" w:cs="David"/>
                <w:b w:val="0"/>
                <w:sz w:val="20"/>
                <w:rtl/>
              </w:rPr>
              <w:t>סוגריים עגולים ( ) לא מאוזנים</w:t>
            </w:r>
          </w:p>
        </w:tc>
        <w:tc>
          <w:tcPr>
            <w:tcW w:type="dxa" w:w="3798"/>
          </w:tcPr>
          <w:p>
            <w:pPr>
              <w:bidi/>
              <w:jc w:val="right"/>
            </w:pPr>
            <w:r/>
            <w:r>
              <w:rPr>
                <w:rFonts w:ascii="David" w:hAnsi="David" w:cs="David"/>
                <w:b w:val="0"/>
                <w:sz w:val="20"/>
                <w:rtl/>
              </w:rPr>
              <w:t>הנה מבואר בהגמ׳ (עירובין צ״ב(: דעשרה שרוצים להצטרף …</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 ]  וכן הביא בספר קב הישר פרק סג.]</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שאין כל בריה יכולה לעמוד במחיצתם.] אלא אף מי שמקבל ע״ע בליבו את …</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עת הוא קורה מחדש מבואר בברכות סג:] ועוד פתח ר׳ יהודה בכבוד תורה ודרש …</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כתב שם המהרש״א בחידושי אגדות .] לבאר שיש לאמר שמה שמצינו הכא על …</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רווח לפני סימן פיסוק</w:t>
            </w:r>
          </w:p>
        </w:tc>
        <w:tc>
          <w:tcPr>
            <w:tcW w:type="dxa" w:w="3798"/>
          </w:tcPr>
          <w:p>
            <w:pPr>
              <w:bidi/>
              <w:jc w:val="right"/>
            </w:pPr>
            <w:r/>
            <w:r>
              <w:rPr>
                <w:rFonts w:ascii="David" w:hAnsi="David" w:cs="David"/>
                <w:b w:val="0"/>
                <w:sz w:val="20"/>
                <w:rtl/>
              </w:rPr>
              <w:t>והנה כתב שם המהרש״א בחידושי אגדות .] לבאר שיש לאמר שמה שמצינו הכא על …</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וכמו שאנו מוצאים בגמ׳ ביומא לט.] ראש בית אב אומר לו אישי כ״ג הגבה …</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רווח לפני סימן פיסוק</w:t>
            </w:r>
          </w:p>
        </w:tc>
        <w:tc>
          <w:tcPr>
            <w:tcW w:type="dxa" w:w="3798"/>
          </w:tcPr>
          <w:p>
            <w:pPr>
              <w:bidi/>
              <w:jc w:val="right"/>
            </w:pPr>
            <w:r/>
            <w:r>
              <w:rPr>
                <w:rFonts w:ascii="David" w:hAnsi="David" w:cs="David"/>
                <w:b w:val="0"/>
                <w:sz w:val="20"/>
                <w:rtl/>
              </w:rPr>
              <w:t>… להקשות לפי מה שכתב הטור הכא [סא .ג] שהביא מי שאומר לאמר ״קל מלך …</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בזה שכן עיקר המקור של הטור תריט.] שאמר שביוה״כ כן אומרים בשכמל״ו …</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עיין מהרש״ם ח״ה סימן ט.]</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רווח לפני סימן פיסוק</w:t>
            </w:r>
          </w:p>
        </w:tc>
        <w:tc>
          <w:tcPr>
            <w:tcW w:type="dxa" w:w="3798"/>
          </w:tcPr>
          <w:p>
            <w:pPr>
              <w:bidi/>
              <w:jc w:val="right"/>
            </w:pPr>
            <w:r/>
            <w:r>
              <w:rPr>
                <w:rFonts w:ascii="David" w:hAnsi="David" w:cs="David"/>
                <w:b w:val="0"/>
                <w:sz w:val="20"/>
                <w:rtl/>
              </w:rPr>
              <w:t>… לקמן שאסור וכ״ש אמת תרי זימני ... וכל מי שאינו עושה כן [היינו …</w:t>
            </w:r>
          </w:p>
        </w:tc>
      </w:tr>
      <w:tr>
        <w:tc>
          <w:tcPr>
            <w:tcW w:type="dxa" w:w="850"/>
          </w:tcPr>
          <w:p>
            <w:pPr>
              <w:bidi/>
              <w:jc w:val="right"/>
            </w:pPr>
            <w:r/>
            <w:r>
              <w:rPr>
                <w:rFonts w:ascii="David" w:hAnsi="David" w:cs="David"/>
                <w:b w:val="0"/>
                <w:sz w:val="20"/>
                <w:rtl/>
              </w:rPr>
              <w:t>200</w:t>
            </w:r>
          </w:p>
        </w:tc>
        <w:tc>
          <w:tcPr>
            <w:tcW w:type="dxa" w:w="2835"/>
          </w:tcPr>
          <w:p>
            <w:pPr>
              <w:bidi/>
              <w:jc w:val="right"/>
            </w:pPr>
            <w:r/>
            <w:r>
              <w:rPr>
                <w:rFonts w:ascii="David" w:hAnsi="David" w:cs="David"/>
                <w:b w:val="0"/>
                <w:sz w:val="20"/>
                <w:rtl/>
              </w:rPr>
              <w:t>ענין הכוונה בקר״ש וענין המסירות נפש בקר״ש</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עיין רב פעלים ג או״ח טו.]</w:t>
            </w:r>
          </w:p>
        </w:tc>
      </w:tr>
      <w:tr>
        <w:tc>
          <w:tcPr>
            <w:tcW w:type="dxa" w:w="850"/>
          </w:tcPr>
          <w:p>
            <w:pPr>
              <w:bidi/>
              <w:jc w:val="right"/>
            </w:pPr>
            <w:r/>
            <w:r>
              <w:rPr>
                <w:rFonts w:ascii="David" w:hAnsi="David" w:cs="David"/>
                <w:b w:val="0"/>
                <w:sz w:val="20"/>
                <w:rtl/>
              </w:rPr>
              <w:t>211</w:t>
            </w:r>
          </w:p>
        </w:tc>
        <w:tc>
          <w:tcPr>
            <w:tcW w:type="dxa" w:w="2835"/>
          </w:tcPr>
          <w:p>
            <w:pPr>
              <w:bidi/>
              <w:jc w:val="right"/>
            </w:pPr>
            <w:r/>
            <w:r>
              <w:rPr>
                <w:rFonts w:ascii="David" w:hAnsi="David" w:cs="David"/>
                <w:b w:val="0"/>
                <w:sz w:val="20"/>
                <w:rtl/>
              </w:rPr>
              <w:t>בענין אמירת ברוך שם כבוד מלכותו לעולם ועד</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כתב שם המהרש״א בחידושי אגדות .] לבאר שיש</w:t>
            </w:r>
          </w:p>
        </w:tc>
      </w:tr>
      <w:tr>
        <w:tc>
          <w:tcPr>
            <w:tcW w:type="dxa" w:w="850"/>
          </w:tcPr>
          <w:p>
            <w:pPr>
              <w:bidi/>
              <w:jc w:val="right"/>
            </w:pPr>
            <w:r/>
            <w:r>
              <w:rPr>
                <w:rFonts w:ascii="David" w:hAnsi="David" w:cs="David"/>
                <w:b w:val="0"/>
                <w:sz w:val="20"/>
                <w:rtl/>
              </w:rPr>
              <w:t>211</w:t>
            </w:r>
          </w:p>
        </w:tc>
        <w:tc>
          <w:tcPr>
            <w:tcW w:type="dxa" w:w="2835"/>
          </w:tcPr>
          <w:p>
            <w:pPr>
              <w:bidi/>
              <w:jc w:val="right"/>
            </w:pPr>
            <w:r/>
            <w:r>
              <w:rPr>
                <w:rFonts w:ascii="David" w:hAnsi="David" w:cs="David"/>
                <w:b w:val="0"/>
                <w:sz w:val="20"/>
                <w:rtl/>
              </w:rPr>
              <w:t>בענין אמירת ברוך שם כבוד מלכותו לעולם ועד</w:t>
            </w:r>
          </w:p>
        </w:tc>
        <w:tc>
          <w:tcPr>
            <w:tcW w:type="dxa" w:w="2268"/>
          </w:tcPr>
          <w:p>
            <w:pPr>
              <w:bidi/>
              <w:jc w:val="right"/>
            </w:pPr>
            <w:r/>
            <w:r>
              <w:rPr>
                <w:rFonts w:ascii="David" w:hAnsi="David" w:cs="David"/>
                <w:b w:val="0"/>
                <w:sz w:val="20"/>
                <w:rtl/>
              </w:rPr>
              <w:t>רווח לפני סימן פיסוק</w:t>
            </w:r>
          </w:p>
        </w:tc>
        <w:tc>
          <w:tcPr>
            <w:tcW w:type="dxa" w:w="3798"/>
          </w:tcPr>
          <w:p>
            <w:pPr>
              <w:bidi/>
              <w:jc w:val="right"/>
            </w:pPr>
            <w:r/>
            <w:r>
              <w:rPr>
                <w:rFonts w:ascii="David" w:hAnsi="David" w:cs="David"/>
                <w:b w:val="0"/>
                <w:sz w:val="20"/>
                <w:rtl/>
              </w:rPr>
              <w:t>והנה כתב שם המהרש״א בחידושי אגדות .] לבאר שיש</w:t>
            </w:r>
          </w:p>
        </w:tc>
      </w:tr>
      <w:tr>
        <w:tc>
          <w:tcPr>
            <w:tcW w:type="dxa" w:w="850"/>
          </w:tcPr>
          <w:p>
            <w:pPr>
              <w:bidi/>
              <w:jc w:val="right"/>
            </w:pPr>
            <w:r/>
            <w:r>
              <w:rPr>
                <w:rFonts w:ascii="David" w:hAnsi="David" w:cs="David"/>
                <w:b w:val="0"/>
                <w:sz w:val="20"/>
                <w:rtl/>
              </w:rPr>
              <w:t>211</w:t>
            </w:r>
          </w:p>
        </w:tc>
        <w:tc>
          <w:tcPr>
            <w:tcW w:type="dxa" w:w="2835"/>
          </w:tcPr>
          <w:p>
            <w:pPr>
              <w:bidi/>
              <w:jc w:val="right"/>
            </w:pPr>
            <w:r/>
            <w:r>
              <w:rPr>
                <w:rFonts w:ascii="David" w:hAnsi="David" w:cs="David"/>
                <w:b w:val="0"/>
                <w:sz w:val="20"/>
                <w:rtl/>
              </w:rPr>
              <w:t>בענין אמירת ברוך שם כבוד מלכותו לעולם ועד</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וכמו שאנו מוצאים בגמ׳ ביומא לט.] ראש בית אב אומר לו אישי כ״ג הגבה …</w:t>
            </w:r>
          </w:p>
        </w:tc>
      </w:tr>
      <w:tr>
        <w:tc>
          <w:tcPr>
            <w:tcW w:type="dxa" w:w="850"/>
          </w:tcPr>
          <w:p>
            <w:pPr>
              <w:bidi/>
              <w:jc w:val="right"/>
            </w:pPr>
            <w:r/>
            <w:r>
              <w:rPr>
                <w:rFonts w:ascii="David" w:hAnsi="David" w:cs="David"/>
                <w:b w:val="0"/>
                <w:sz w:val="20"/>
                <w:rtl/>
              </w:rPr>
              <w:t>211</w:t>
            </w:r>
          </w:p>
        </w:tc>
        <w:tc>
          <w:tcPr>
            <w:tcW w:type="dxa" w:w="2835"/>
          </w:tcPr>
          <w:p>
            <w:pPr>
              <w:bidi/>
              <w:jc w:val="right"/>
            </w:pPr>
            <w:r/>
            <w:r>
              <w:rPr>
                <w:rFonts w:ascii="David" w:hAnsi="David" w:cs="David"/>
                <w:b w:val="0"/>
                <w:sz w:val="20"/>
                <w:rtl/>
              </w:rPr>
              <w:t>בענין אמירת ברוך שם כבוד מלכותו לעולם ועד</w:t>
            </w:r>
          </w:p>
        </w:tc>
        <w:tc>
          <w:tcPr>
            <w:tcW w:type="dxa" w:w="2268"/>
          </w:tcPr>
          <w:p>
            <w:pPr>
              <w:bidi/>
              <w:jc w:val="right"/>
            </w:pPr>
            <w:r/>
            <w:r>
              <w:rPr>
                <w:rFonts w:ascii="David" w:hAnsi="David" w:cs="David"/>
                <w:b w:val="0"/>
                <w:sz w:val="20"/>
                <w:rtl/>
              </w:rPr>
              <w:t>רווח לפני סימן פיסוק</w:t>
            </w:r>
          </w:p>
        </w:tc>
        <w:tc>
          <w:tcPr>
            <w:tcW w:type="dxa" w:w="3798"/>
          </w:tcPr>
          <w:p>
            <w:pPr>
              <w:bidi/>
              <w:jc w:val="right"/>
            </w:pPr>
            <w:r/>
            <w:r>
              <w:rPr>
                <w:rFonts w:ascii="David" w:hAnsi="David" w:cs="David"/>
                <w:b w:val="0"/>
                <w:sz w:val="20"/>
                <w:rtl/>
              </w:rPr>
              <w:t>… על הצל״ח לפי מה שכתב הטור הכא [סא .ג] שהביא מי שאומר לאמר ״קל מלך …</w:t>
            </w:r>
          </w:p>
        </w:tc>
      </w:tr>
      <w:tr>
        <w:tc>
          <w:tcPr>
            <w:tcW w:type="dxa" w:w="850"/>
          </w:tcPr>
          <w:p>
            <w:pPr>
              <w:bidi/>
              <w:jc w:val="right"/>
            </w:pPr>
            <w:r/>
            <w:r>
              <w:rPr>
                <w:rFonts w:ascii="David" w:hAnsi="David" w:cs="David"/>
                <w:b w:val="0"/>
                <w:sz w:val="20"/>
                <w:rtl/>
              </w:rPr>
              <w:t>211</w:t>
            </w:r>
          </w:p>
        </w:tc>
        <w:tc>
          <w:tcPr>
            <w:tcW w:type="dxa" w:w="2835"/>
          </w:tcPr>
          <w:p>
            <w:pPr>
              <w:bidi/>
              <w:jc w:val="right"/>
            </w:pPr>
            <w:r/>
            <w:r>
              <w:rPr>
                <w:rFonts w:ascii="David" w:hAnsi="David" w:cs="David"/>
                <w:b w:val="0"/>
                <w:sz w:val="20"/>
                <w:rtl/>
              </w:rPr>
              <w:t>בענין אמירת ברוך שם כבוד מלכותו לעולם ועד</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שאין בה מפושעי ישראל אינה תענית.] ולכך ביוה״כ אנו מצרפים איתנו …</w:t>
            </w:r>
          </w:p>
        </w:tc>
      </w:tr>
      <w:tr>
        <w:tc>
          <w:tcPr>
            <w:tcW w:type="dxa" w:w="850"/>
          </w:tcPr>
          <w:p>
            <w:pPr>
              <w:bidi/>
              <w:jc w:val="right"/>
            </w:pPr>
            <w:r/>
            <w:r>
              <w:rPr>
                <w:rFonts w:ascii="David" w:hAnsi="David" w:cs="David"/>
                <w:b w:val="0"/>
                <w:sz w:val="20"/>
                <w:rtl/>
              </w:rPr>
              <w:t>211</w:t>
            </w:r>
          </w:p>
        </w:tc>
        <w:tc>
          <w:tcPr>
            <w:tcW w:type="dxa" w:w="2835"/>
          </w:tcPr>
          <w:p>
            <w:pPr>
              <w:bidi/>
              <w:jc w:val="right"/>
            </w:pPr>
            <w:r/>
            <w:r>
              <w:rPr>
                <w:rFonts w:ascii="David" w:hAnsi="David" w:cs="David"/>
                <w:b w:val="0"/>
                <w:sz w:val="20"/>
                <w:rtl/>
              </w:rPr>
              <w:t>בענין אמירת ברוך שם כבוד מלכותו לעולם ועד</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שמבואר בברכות יג: ושו״ע ס.ה וסג. ד] שאנו אומרים שבפס׳ ראשון צריך הוא …</w:t>
            </w:r>
          </w:p>
        </w:tc>
      </w:tr>
      <w:tr>
        <w:tc>
          <w:tcPr>
            <w:tcW w:type="dxa" w:w="850"/>
          </w:tcPr>
          <w:p>
            <w:pPr>
              <w:bidi/>
              <w:jc w:val="right"/>
            </w:pPr>
            <w:r/>
            <w:r>
              <w:rPr>
                <w:rFonts w:ascii="David" w:hAnsi="David" w:cs="David"/>
                <w:b w:val="0"/>
                <w:sz w:val="20"/>
                <w:rtl/>
              </w:rPr>
              <w:t>211</w:t>
            </w:r>
          </w:p>
        </w:tc>
        <w:tc>
          <w:tcPr>
            <w:tcW w:type="dxa" w:w="2835"/>
          </w:tcPr>
          <w:p>
            <w:pPr>
              <w:bidi/>
              <w:jc w:val="right"/>
            </w:pPr>
            <w:r/>
            <w:r>
              <w:rPr>
                <w:rFonts w:ascii="David" w:hAnsi="David" w:cs="David"/>
                <w:b w:val="0"/>
                <w:sz w:val="20"/>
                <w:rtl/>
              </w:rPr>
              <w:t>בענין אמירת ברוך שם כבוד מלכותו לעולם ועד</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וכן אמרו במשנה בברכות יג.] אמר ר׳ יהושע בן קרחה י למה קדמה …</w:t>
            </w:r>
          </w:p>
        </w:tc>
      </w:tr>
      <w:tr>
        <w:tc>
          <w:tcPr>
            <w:tcW w:type="dxa" w:w="850"/>
          </w:tcPr>
          <w:p>
            <w:pPr>
              <w:bidi/>
              <w:jc w:val="right"/>
            </w:pPr>
            <w:r/>
            <w:r>
              <w:rPr>
                <w:rFonts w:ascii="David" w:hAnsi="David" w:cs="David"/>
                <w:b w:val="0"/>
                <w:sz w:val="20"/>
                <w:rtl/>
              </w:rPr>
              <w:t>211</w:t>
            </w:r>
          </w:p>
        </w:tc>
        <w:tc>
          <w:tcPr>
            <w:tcW w:type="dxa" w:w="2835"/>
          </w:tcPr>
          <w:p>
            <w:pPr>
              <w:bidi/>
              <w:jc w:val="right"/>
            </w:pPr>
            <w:r/>
            <w:r>
              <w:rPr>
                <w:rFonts w:ascii="David" w:hAnsi="David" w:cs="David"/>
                <w:b w:val="0"/>
                <w:sz w:val="20"/>
                <w:rtl/>
              </w:rPr>
              <w:t>בענין אמירת ברוך שם כבוד מלכותו לעולם ועד</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הזוהר בכמה דוכתי מהזוהר הקדוש [ואתחנן [רסד:] שופטים [ערה:] וכן …</w:t>
            </w:r>
          </w:p>
        </w:tc>
      </w:tr>
      <w:tr>
        <w:tc>
          <w:tcPr>
            <w:tcW w:type="dxa" w:w="850"/>
          </w:tcPr>
          <w:p>
            <w:pPr>
              <w:bidi/>
              <w:jc w:val="right"/>
            </w:pPr>
            <w:r/>
            <w:r>
              <w:rPr>
                <w:rFonts w:ascii="David" w:hAnsi="David" w:cs="David"/>
                <w:b w:val="0"/>
                <w:sz w:val="20"/>
                <w:rtl/>
              </w:rPr>
              <w:t>211</w:t>
            </w:r>
          </w:p>
        </w:tc>
        <w:tc>
          <w:tcPr>
            <w:tcW w:type="dxa" w:w="2835"/>
          </w:tcPr>
          <w:p>
            <w:pPr>
              <w:bidi/>
              <w:jc w:val="right"/>
            </w:pPr>
            <w:r/>
            <w:r>
              <w:rPr>
                <w:rFonts w:ascii="David" w:hAnsi="David" w:cs="David"/>
                <w:b w:val="0"/>
                <w:sz w:val="20"/>
                <w:rtl/>
              </w:rPr>
              <w:t>בענין אמירת ברוך שם כבוד מלכותו לעולם ועד</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פ״ז.] וחסד לאברהם מעין ז. נהר כד.]</w:t>
            </w:r>
          </w:p>
        </w:tc>
      </w:tr>
      <w:tr>
        <w:tc>
          <w:tcPr>
            <w:tcW w:type="dxa" w:w="850"/>
          </w:tcPr>
          <w:p>
            <w:pPr>
              <w:bidi/>
              <w:jc w:val="right"/>
            </w:pPr>
            <w:r/>
            <w:r>
              <w:rPr>
                <w:rFonts w:ascii="David" w:hAnsi="David" w:cs="David"/>
                <w:b w:val="0"/>
                <w:sz w:val="20"/>
                <w:rtl/>
              </w:rPr>
              <w:t>216</w:t>
            </w:r>
          </w:p>
        </w:tc>
        <w:tc>
          <w:tcPr>
            <w:tcW w:type="dxa" w:w="2835"/>
          </w:tcPr>
          <w:p>
            <w:pPr>
              <w:bidi/>
              <w:jc w:val="right"/>
            </w:pPr>
            <w:r/>
            <w:r>
              <w:rPr>
                <w:rFonts w:ascii="David" w:hAnsi="David" w:cs="David"/>
                <w:b w:val="0"/>
                <w:sz w:val="20"/>
                <w:rtl/>
              </w:rPr>
              <w:t>בענין כפילת שמע שמע</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הנה מבואר בגמ׳ בברכות לג: לד.] מודים מודים משתקין אותו: אמר ר׳ …</w:t>
            </w:r>
          </w:p>
        </w:tc>
      </w:tr>
      <w:tr>
        <w:tc>
          <w:tcPr>
            <w:tcW w:type="dxa" w:w="850"/>
          </w:tcPr>
          <w:p>
            <w:pPr>
              <w:bidi/>
              <w:jc w:val="right"/>
            </w:pPr>
            <w:r/>
            <w:r>
              <w:rPr>
                <w:rFonts w:ascii="David" w:hAnsi="David" w:cs="David"/>
                <w:b w:val="0"/>
                <w:sz w:val="20"/>
                <w:rtl/>
              </w:rPr>
              <w:t>216</w:t>
            </w:r>
          </w:p>
        </w:tc>
        <w:tc>
          <w:tcPr>
            <w:tcW w:type="dxa" w:w="2835"/>
          </w:tcPr>
          <w:p>
            <w:pPr>
              <w:bidi/>
              <w:jc w:val="right"/>
            </w:pPr>
            <w:r/>
            <w:r>
              <w:rPr>
                <w:rFonts w:ascii="David" w:hAnsi="David" w:cs="David"/>
                <w:b w:val="0"/>
                <w:sz w:val="20"/>
                <w:rtl/>
              </w:rPr>
              <w:t>בענין כפילת שמע שמע</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שכן איתא בגמ׳ בסוכה נג:] על המבואר שם במשנה שהיו אומרים …</w:t>
            </w:r>
          </w:p>
        </w:tc>
      </w:tr>
      <w:tr>
        <w:tc>
          <w:tcPr>
            <w:tcW w:type="dxa" w:w="850"/>
          </w:tcPr>
          <w:p>
            <w:pPr>
              <w:bidi/>
              <w:jc w:val="right"/>
            </w:pPr>
            <w:r/>
            <w:r>
              <w:rPr>
                <w:rFonts w:ascii="David" w:hAnsi="David" w:cs="David"/>
                <w:b w:val="0"/>
                <w:sz w:val="20"/>
                <w:rtl/>
              </w:rPr>
              <w:t>216</w:t>
            </w:r>
          </w:p>
        </w:tc>
        <w:tc>
          <w:tcPr>
            <w:tcW w:type="dxa" w:w="2835"/>
          </w:tcPr>
          <w:p>
            <w:pPr>
              <w:bidi/>
              <w:jc w:val="right"/>
            </w:pPr>
            <w:r/>
            <w:r>
              <w:rPr>
                <w:rFonts w:ascii="David" w:hAnsi="David" w:cs="David"/>
                <w:b w:val="0"/>
                <w:sz w:val="20"/>
                <w:rtl/>
              </w:rPr>
              <w:t>בענין כפילת שמע שמע</w:t>
            </w:r>
          </w:p>
        </w:tc>
        <w:tc>
          <w:tcPr>
            <w:tcW w:type="dxa" w:w="2268"/>
          </w:tcPr>
          <w:p>
            <w:pPr>
              <w:bidi/>
              <w:jc w:val="right"/>
            </w:pPr>
            <w:r/>
            <w:r>
              <w:rPr>
                <w:rFonts w:ascii="David" w:hAnsi="David" w:cs="David"/>
                <w:b w:val="0"/>
                <w:sz w:val="20"/>
                <w:rtl/>
              </w:rPr>
              <w:t>רווח לפני סימן פיסוק</w:t>
            </w:r>
          </w:p>
        </w:tc>
        <w:tc>
          <w:tcPr>
            <w:tcW w:type="dxa" w:w="3798"/>
          </w:tcPr>
          <w:p>
            <w:pPr>
              <w:bidi/>
              <w:jc w:val="right"/>
            </w:pPr>
            <w:r/>
            <w:r>
              <w:rPr>
                <w:rFonts w:ascii="David" w:hAnsi="David" w:cs="David"/>
                <w:b w:val="0"/>
                <w:sz w:val="20"/>
                <w:rtl/>
              </w:rPr>
              <w:t>… ה׳ הוא האלהים [מלכים א׳ יח לט .] כיון שמצינו שהפסוק כופל אותו אין …</w:t>
            </w:r>
          </w:p>
        </w:tc>
      </w:tr>
      <w:tr>
        <w:tc>
          <w:tcPr>
            <w:tcW w:type="dxa" w:w="850"/>
          </w:tcPr>
          <w:p>
            <w:pPr>
              <w:bidi/>
              <w:jc w:val="right"/>
            </w:pPr>
            <w:r/>
            <w:r>
              <w:rPr>
                <w:rFonts w:ascii="David" w:hAnsi="David" w:cs="David"/>
                <w:b w:val="0"/>
                <w:sz w:val="20"/>
                <w:rtl/>
              </w:rPr>
              <w:t>216</w:t>
            </w:r>
          </w:p>
        </w:tc>
        <w:tc>
          <w:tcPr>
            <w:tcW w:type="dxa" w:w="2835"/>
          </w:tcPr>
          <w:p>
            <w:pPr>
              <w:bidi/>
              <w:jc w:val="right"/>
            </w:pPr>
            <w:r/>
            <w:r>
              <w:rPr>
                <w:rFonts w:ascii="David" w:hAnsi="David" w:cs="David"/>
                <w:b w:val="0"/>
                <w:sz w:val="20"/>
                <w:rtl/>
              </w:rPr>
              <w:t>בענין כפילת שמע שמע</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עמד על דבריו בחידושי החת״ס כאן] וכתב לבאר</w:t>
            </w:r>
          </w:p>
        </w:tc>
      </w:tr>
      <w:tr>
        <w:tc>
          <w:tcPr>
            <w:tcW w:type="dxa" w:w="850"/>
          </w:tcPr>
          <w:p>
            <w:pPr>
              <w:bidi/>
              <w:jc w:val="right"/>
            </w:pPr>
            <w:r/>
            <w:r>
              <w:rPr>
                <w:rFonts w:ascii="David" w:hAnsi="David" w:cs="David"/>
                <w:b w:val="0"/>
                <w:sz w:val="20"/>
                <w:rtl/>
              </w:rPr>
              <w:t>216</w:t>
            </w:r>
          </w:p>
        </w:tc>
        <w:tc>
          <w:tcPr>
            <w:tcW w:type="dxa" w:w="2835"/>
          </w:tcPr>
          <w:p>
            <w:pPr>
              <w:bidi/>
              <w:jc w:val="right"/>
            </w:pPr>
            <w:r/>
            <w:r>
              <w:rPr>
                <w:rFonts w:ascii="David" w:hAnsi="David" w:cs="David"/>
                <w:b w:val="0"/>
                <w:sz w:val="20"/>
                <w:rtl/>
              </w:rPr>
              <w:t>בענין כפילת שמע שמע</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הזה. וכ״כ תוס׳ הרא״ש ותוס׳ ר״פ שם.]</w:t>
            </w:r>
          </w:p>
        </w:tc>
      </w:tr>
      <w:tr>
        <w:tc>
          <w:tcPr>
            <w:tcW w:type="dxa" w:w="850"/>
          </w:tcPr>
          <w:p>
            <w:pPr>
              <w:bidi/>
              <w:jc w:val="right"/>
            </w:pPr>
            <w:r/>
            <w:r>
              <w:rPr>
                <w:rFonts w:ascii="David" w:hAnsi="David" w:cs="David"/>
                <w:b w:val="0"/>
                <w:sz w:val="20"/>
                <w:rtl/>
              </w:rPr>
              <w:t>222</w:t>
            </w:r>
          </w:p>
        </w:tc>
        <w:tc>
          <w:tcPr>
            <w:tcW w:type="dxa" w:w="2835"/>
          </w:tcPr>
          <w:p>
            <w:pPr>
              <w:bidi/>
              <w:jc w:val="right"/>
            </w:pPr>
            <w:r/>
            <w:r>
              <w:rPr>
                <w:rFonts w:ascii="David" w:hAnsi="David" w:cs="David"/>
                <w:b w:val="0"/>
                <w:sz w:val="20"/>
                <w:rtl/>
              </w:rPr>
              <w:t>בענין תפלה וקר״ש בכל לשון</w:t>
            </w:r>
          </w:p>
        </w:tc>
        <w:tc>
          <w:tcPr>
            <w:tcW w:type="dxa" w:w="2268"/>
          </w:tcPr>
          <w:p>
            <w:pPr>
              <w:bidi/>
              <w:jc w:val="right"/>
            </w:pPr>
            <w:r/>
            <w:r>
              <w:rPr>
                <w:rFonts w:ascii="David" w:hAnsi="David" w:cs="David"/>
                <w:b w:val="0"/>
                <w:sz w:val="20"/>
                <w:rtl/>
              </w:rPr>
              <w:t>סוגריים מרובעים [ ] לא מאוזנים</w:t>
            </w:r>
          </w:p>
        </w:tc>
        <w:tc>
          <w:tcPr>
            <w:tcW w:type="dxa" w:w="3798"/>
          </w:tcPr>
          <w:p>
            <w:pPr>
              <w:bidi/>
              <w:jc w:val="right"/>
            </w:pPr>
            <w:r/>
            <w:r>
              <w:rPr>
                <w:rFonts w:ascii="David" w:hAnsi="David" w:cs="David"/>
                <w:b w:val="0"/>
                <w:sz w:val="20"/>
                <w:rtl/>
              </w:rPr>
              <w:t>… הבה״ל להלן קא ד״ה יכול להתפלל.] וז״ל אבל אם אינו בכי האי גוונא …</w:t>
            </w:r>
          </w:p>
        </w:tc>
      </w:tr>
    </w:tbl>
    <w:sectPr w:rsidR="00FC693F" w:rsidRPr="0006063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