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118 מאמרים, מהם 65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(65)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269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משקרא ק״ש אין צריך לברך שכבר נפטר באהבה רבה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משקרא קש אין צריך לברך שכבר נפטר באהבה רבה.docx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ובשמו; בראש הקובץ מופיעה הכותרת ״ברכת אברהם״ והיא הובאה כתת-כותרת; הכותרת נלקחה משם הקובץ; ללא סעיף בשם הקובץ – הוצב בתחילת הסימן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431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435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ביאור הסוגיה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ביאור הסוגיה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המחבר אינו מופיע בשם הקובץ או בגוף הטקסט – נקבע לפי מאפייני הקובץ (נאור רוזין) והמשכיות הסדרה בסימן ס׳ סעיף ד׳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448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הכוונה של הטעם של המצוה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כוונת טעם המצוה.docx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המחבר אינו מופיע בשם הקובץ או בגוף הטקסט – נקבע לפי מאפייני הקובץ (נאור רוזין); ממשיך את ״עיקרי הדברים״ (״התבאר עד כה בהרחבה״)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עיקרי הדברים לספר בענין מצות צריכות כוונה נהור רוזין.docx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מילים); גרסה מעודכנת (אוקטובר 2026) במקום הגרסה הקודמת; המחבר לפי שם הקובץ (קודם יוחס בטעות לרב זאדה)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538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בענין השלמת הרמ״ח תיבות שבק״ש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סיכום השיטות בענין השלמת הרמח תיבות שבקש.docx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ובשמו; טקסט שונה מ״סימן סא.docx״ באותו נושא – נכללו שניהם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שהה לגמור את כולה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סה בדין שהה לגמור את כולה.docx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ובשמו; ללא סעיף בשם הקובץ – הוצב בתחילת הסימן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603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